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3E591660" w:rsidR="0064636E" w:rsidRPr="00D47EEA" w:rsidRDefault="0064636E" w:rsidP="00BE7D39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BE7D39">
              <w:t>1</w:t>
            </w:r>
            <w:r w:rsidR="00841EB5">
              <w:t>/</w:t>
            </w:r>
            <w:r>
              <w:t>Add.</w:t>
            </w:r>
            <w:r w:rsidR="00BE7D39">
              <w:t>13</w:t>
            </w:r>
            <w:r>
              <w:t>/Rev.</w:t>
            </w:r>
            <w:r w:rsidR="00BE7D39">
              <w:t>5</w:t>
            </w:r>
            <w:r>
              <w:t>/</w:t>
            </w:r>
            <w:r w:rsidR="00D623A7">
              <w:t>Amend.</w:t>
            </w:r>
            <w:r w:rsidR="00BE7D39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BE7D39">
              <w:t>1</w:t>
            </w:r>
            <w:r w:rsidR="00841EB5">
              <w:t>/Add.</w:t>
            </w:r>
            <w:r w:rsidR="00BE7D39">
              <w:t>13</w:t>
            </w:r>
            <w:r w:rsidR="00841EB5">
              <w:t>/Rev.</w:t>
            </w:r>
            <w:r w:rsidR="00BE7D39">
              <w:t>5</w:t>
            </w:r>
            <w:r w:rsidR="00841EB5">
              <w:t>/Amend.</w:t>
            </w:r>
            <w:r w:rsidR="00BE7D39">
              <w:t>5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54385833" w:rsidR="00C84414" w:rsidRDefault="000319C1" w:rsidP="003C3936">
            <w:pPr>
              <w:spacing w:before="120"/>
            </w:pPr>
            <w:r>
              <w:t>26 March</w:t>
            </w:r>
            <w:r w:rsidR="00BE7D39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01E494E6" w14:textId="1854D981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6F045B" w:rsidRPr="00213492">
        <w:t>Concerning the</w:t>
      </w:r>
      <w:r w:rsidR="006F045B" w:rsidRPr="00213492">
        <w:rPr>
          <w:smallCaps/>
        </w:rPr>
        <w:t xml:space="preserve"> </w:t>
      </w:r>
      <w:r w:rsidR="006F045B"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6F045B" w:rsidRPr="00213492">
        <w:t>on the Basis of</w:t>
      </w:r>
      <w:proofErr w:type="gramEnd"/>
      <w:r w:rsidR="006F045B" w:rsidRPr="00213492">
        <w:t xml:space="preserve">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598A660A" w:rsidR="00C711C7" w:rsidRPr="00392A12" w:rsidRDefault="006F045B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5815BDF6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BE7D39">
        <w:t>13</w:t>
      </w:r>
      <w:r>
        <w:t xml:space="preserve"> – </w:t>
      </w:r>
      <w:r w:rsidR="00834408">
        <w:t xml:space="preserve">UN </w:t>
      </w:r>
      <w:bookmarkStart w:id="2" w:name="_GoBack"/>
      <w:r>
        <w:t>Regulation No</w:t>
      </w:r>
      <w:bookmarkEnd w:id="2"/>
      <w:r>
        <w:t>.</w:t>
      </w:r>
      <w:r w:rsidR="00271A7F">
        <w:t xml:space="preserve"> </w:t>
      </w:r>
      <w:r w:rsidR="00BE7D39">
        <w:t>14</w:t>
      </w:r>
    </w:p>
    <w:p w14:paraId="4E272B2A" w14:textId="0FDEE5C8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BE7D39">
        <w:t>5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BE7D39">
        <w:t>5</w:t>
      </w:r>
    </w:p>
    <w:p w14:paraId="4FAFC05A" w14:textId="745C2539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705096">
        <w:rPr>
          <w:spacing w:val="-2"/>
        </w:rPr>
        <w:t>8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705096">
        <w:rPr>
          <w:spacing w:val="-2"/>
        </w:rPr>
        <w:t>07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705096">
        <w:t>10 February 2018</w:t>
      </w:r>
    </w:p>
    <w:p w14:paraId="24730B39" w14:textId="1332072E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E7D39" w:rsidRPr="00BE7D39">
        <w:rPr>
          <w:lang w:val="en-US"/>
        </w:rPr>
        <w:t xml:space="preserve">Uniform provisions concerning the approval of vehicles </w:t>
      </w:r>
      <w:proofErr w:type="gramStart"/>
      <w:r w:rsidR="00BE7D39" w:rsidRPr="00BE7D39">
        <w:rPr>
          <w:lang w:val="en-US"/>
        </w:rPr>
        <w:t>with regard to</w:t>
      </w:r>
      <w:proofErr w:type="gramEnd"/>
      <w:r w:rsidR="00BE7D39" w:rsidRPr="00BE7D39">
        <w:rPr>
          <w:lang w:val="en-US"/>
        </w:rPr>
        <w:t xml:space="preserve"> safety-belt anchorages, ISOFIX anchorages systems, ISOFIX top tether anchorages and </w:t>
      </w:r>
      <w:proofErr w:type="spellStart"/>
      <w:r w:rsidR="00BE7D39" w:rsidRPr="00BE7D39">
        <w:rPr>
          <w:lang w:val="en-US"/>
        </w:rPr>
        <w:t>i</w:t>
      </w:r>
      <w:proofErr w:type="spellEnd"/>
      <w:r w:rsidR="00BE7D39" w:rsidRPr="00BE7D39">
        <w:rPr>
          <w:lang w:val="en-US"/>
        </w:rPr>
        <w:t>-Size seating positions</w:t>
      </w:r>
    </w:p>
    <w:p w14:paraId="6C824AF8" w14:textId="54458B20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BE7D39">
        <w:rPr>
          <w:spacing w:val="-6"/>
          <w:lang w:eastAsia="en-GB"/>
        </w:rPr>
        <w:t>7</w:t>
      </w:r>
      <w:r>
        <w:rPr>
          <w:spacing w:val="-6"/>
          <w:lang w:eastAsia="en-GB"/>
        </w:rPr>
        <w:t>/</w:t>
      </w:r>
      <w:r w:rsidR="00BE7D39">
        <w:rPr>
          <w:spacing w:val="-6"/>
          <w:lang w:eastAsia="en-GB"/>
        </w:rPr>
        <w:t>58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025BB2B0" w14:textId="77777777" w:rsidR="00705096" w:rsidRPr="0089444D" w:rsidRDefault="00D5540C" w:rsidP="00705096">
      <w:pPr>
        <w:pStyle w:val="SingleTxtG"/>
        <w:rPr>
          <w:lang w:val="en-US"/>
        </w:rPr>
      </w:pPr>
      <w:r>
        <w:br w:type="page"/>
      </w:r>
      <w:r w:rsidR="00705096" w:rsidRPr="0089444D">
        <w:rPr>
          <w:i/>
          <w:lang w:val="en-US"/>
        </w:rPr>
        <w:lastRenderedPageBreak/>
        <w:t>Paragraph 2.17</w:t>
      </w:r>
      <w:r w:rsidR="00705096" w:rsidRPr="0089444D">
        <w:rPr>
          <w:lang w:val="en-US"/>
        </w:rPr>
        <w:t>., amend to read</w:t>
      </w:r>
    </w:p>
    <w:p w14:paraId="12E2C043" w14:textId="77777777" w:rsidR="00705096" w:rsidRPr="000474E7" w:rsidRDefault="00705096" w:rsidP="00705096">
      <w:pPr>
        <w:pStyle w:val="SingleTxtG"/>
        <w:ind w:left="2268" w:hanging="1134"/>
        <w:rPr>
          <w:lang w:val="en-US"/>
        </w:rPr>
      </w:pPr>
      <w:r w:rsidRPr="0089444D">
        <w:rPr>
          <w:lang w:val="hu-HU"/>
        </w:rPr>
        <w:t>"</w:t>
      </w:r>
      <w:r w:rsidRPr="000474E7">
        <w:rPr>
          <w:lang w:val="en-US"/>
        </w:rPr>
        <w:t>2.17.</w:t>
      </w:r>
      <w:r w:rsidRPr="000474E7">
        <w:rPr>
          <w:lang w:val="en-US"/>
        </w:rPr>
        <w:tab/>
        <w:t>"</w:t>
      </w:r>
      <w:r w:rsidRPr="000474E7">
        <w:rPr>
          <w:i/>
          <w:lang w:val="en-US"/>
        </w:rPr>
        <w:t>ISOFIX position</w:t>
      </w:r>
      <w:r w:rsidRPr="000474E7">
        <w:rPr>
          <w:lang w:val="en-US"/>
        </w:rPr>
        <w:t xml:space="preserve">" means </w:t>
      </w:r>
      <w:r w:rsidRPr="0089444D">
        <w:rPr>
          <w:bCs/>
          <w:iCs/>
          <w:lang w:val="en-US"/>
        </w:rPr>
        <w:t xml:space="preserve">a position </w:t>
      </w:r>
      <w:r w:rsidRPr="000474E7">
        <w:rPr>
          <w:lang w:val="en-US"/>
        </w:rPr>
        <w:t xml:space="preserve">which allows </w:t>
      </w:r>
      <w:r w:rsidRPr="0089444D">
        <w:rPr>
          <w:bCs/>
          <w:iCs/>
          <w:lang w:val="en-US"/>
        </w:rPr>
        <w:t>the installation of</w:t>
      </w:r>
      <w:r w:rsidRPr="000474E7">
        <w:rPr>
          <w:lang w:val="en-US"/>
        </w:rPr>
        <w:t>:</w:t>
      </w:r>
    </w:p>
    <w:p w14:paraId="1FF69845" w14:textId="77777777" w:rsidR="00705096" w:rsidRPr="000474E7" w:rsidRDefault="00705096" w:rsidP="00705096">
      <w:pPr>
        <w:pStyle w:val="SingleTxtG"/>
        <w:ind w:left="2268" w:hanging="1134"/>
        <w:rPr>
          <w:lang w:val="en-US"/>
        </w:rPr>
      </w:pPr>
      <w:r w:rsidRPr="000474E7" w:rsidDel="002714F6">
        <w:rPr>
          <w:lang w:val="en-US"/>
        </w:rPr>
        <w:t xml:space="preserve"> </w:t>
      </w:r>
      <w:r w:rsidRPr="000474E7">
        <w:rPr>
          <w:lang w:val="en-US"/>
        </w:rPr>
        <w:tab/>
        <w:t>…</w:t>
      </w:r>
    </w:p>
    <w:p w14:paraId="523C55F3" w14:textId="05FF8EA4" w:rsidR="00705096" w:rsidRPr="0089444D" w:rsidRDefault="00705096" w:rsidP="00705096">
      <w:pPr>
        <w:pStyle w:val="SingleTxtG"/>
        <w:ind w:left="3402" w:hanging="1134"/>
        <w:rPr>
          <w:bCs/>
          <w:lang w:val="en-US"/>
        </w:rPr>
      </w:pPr>
      <w:r w:rsidRPr="0089444D">
        <w:rPr>
          <w:bCs/>
          <w:lang w:val="en-US"/>
        </w:rPr>
        <w:t>(f)</w:t>
      </w:r>
      <w:r w:rsidRPr="0089444D">
        <w:rPr>
          <w:bCs/>
          <w:lang w:val="en-US"/>
        </w:rPr>
        <w:tab/>
        <w:t xml:space="preserve">Or an </w:t>
      </w:r>
      <w:proofErr w:type="spellStart"/>
      <w:r w:rsidRPr="0089444D">
        <w:rPr>
          <w:bCs/>
          <w:lang w:val="en-US"/>
        </w:rPr>
        <w:t>i</w:t>
      </w:r>
      <w:proofErr w:type="spellEnd"/>
      <w:r w:rsidRPr="0089444D">
        <w:rPr>
          <w:bCs/>
          <w:lang w:val="en-US"/>
        </w:rPr>
        <w:t xml:space="preserve">-Size child restraint system of integral class as defined in </w:t>
      </w:r>
      <w:r w:rsidR="00353D5F">
        <w:rPr>
          <w:bCs/>
          <w:lang w:val="en-US"/>
        </w:rPr>
        <w:t xml:space="preserve">UN </w:t>
      </w:r>
      <w:r w:rsidRPr="0089444D">
        <w:rPr>
          <w:bCs/>
          <w:lang w:val="en-US"/>
        </w:rPr>
        <w:t>Regulation No. 129."</w:t>
      </w:r>
    </w:p>
    <w:p w14:paraId="6FBA1EAC" w14:textId="77777777" w:rsidR="00705096" w:rsidRPr="0089444D" w:rsidRDefault="00705096" w:rsidP="00705096">
      <w:pPr>
        <w:pStyle w:val="para"/>
      </w:pPr>
      <w:r w:rsidRPr="0089444D">
        <w:rPr>
          <w:i/>
        </w:rPr>
        <w:t>Paragraph 2.29</w:t>
      </w:r>
      <w:r w:rsidRPr="0089444D">
        <w:t>., amend to read:</w:t>
      </w:r>
    </w:p>
    <w:p w14:paraId="52378CB1" w14:textId="39A29A07" w:rsidR="00705096" w:rsidRPr="0089444D" w:rsidRDefault="00705096" w:rsidP="00705096">
      <w:pPr>
        <w:pStyle w:val="para"/>
      </w:pPr>
      <w:r w:rsidRPr="0089444D">
        <w:t>"2.29.</w:t>
      </w:r>
      <w:r w:rsidRPr="0089444D">
        <w:tab/>
        <w:t>"</w:t>
      </w:r>
      <w:r w:rsidRPr="0089444D">
        <w:rPr>
          <w:i/>
        </w:rPr>
        <w:t>A child restraint fixture</w:t>
      </w:r>
      <w:r w:rsidRPr="0089444D">
        <w:t xml:space="preserve">" means a </w:t>
      </w:r>
      <w:r>
        <w:t>fixture according to one of the</w:t>
      </w:r>
      <w:r w:rsidRPr="0089444D">
        <w:t xml:space="preserve"> ISOFIX size envelopes defined in paragraph 4. of Annex 17 – Appendix 2 of </w:t>
      </w:r>
      <w:r w:rsidR="00353D5F">
        <w:t xml:space="preserve">UN </w:t>
      </w:r>
      <w:r w:rsidRPr="0089444D">
        <w:t xml:space="preserve">Regulation No. 16 and particularly whose dimensions are given from Figure 1 to Figure 78 in the previous mentioned paragraph 4. Those child restraint fixtures (CRF) are used in </w:t>
      </w:r>
      <w:r w:rsidR="00353D5F">
        <w:t xml:space="preserve">UN </w:t>
      </w:r>
      <w:r w:rsidRPr="0089444D">
        <w:t xml:space="preserve">Regulation No. 16, to check which ISOFIX child restraint systems size envelopes can be accommodated on the vehicle ISOFIX positions. </w:t>
      </w:r>
      <w:proofErr w:type="gramStart"/>
      <w:r w:rsidRPr="0089444D">
        <w:t>Also</w:t>
      </w:r>
      <w:proofErr w:type="gramEnd"/>
      <w:r w:rsidRPr="0089444D">
        <w:t xml:space="preserve"> one of the CRF, so-called either ISO/F2 or ISO/F2X which is described in </w:t>
      </w:r>
      <w:r w:rsidR="00353D5F">
        <w:t xml:space="preserve">UN </w:t>
      </w:r>
      <w:r w:rsidRPr="0089444D">
        <w:t>Regulation No. 16 (Annex 17, Appendix 2), is used in this Regulation to check the location and the possibility of access to any ISOFIX anchorages system."</w:t>
      </w:r>
    </w:p>
    <w:p w14:paraId="381D44D5" w14:textId="77777777" w:rsidR="00705096" w:rsidRPr="0089444D" w:rsidRDefault="00705096" w:rsidP="00705096">
      <w:pPr>
        <w:pStyle w:val="para"/>
      </w:pPr>
      <w:r w:rsidRPr="0089444D">
        <w:rPr>
          <w:i/>
        </w:rPr>
        <w:t>Paragraph 5.2.2.3</w:t>
      </w:r>
      <w:r w:rsidRPr="0089444D">
        <w:t>., amend to read:</w:t>
      </w:r>
    </w:p>
    <w:p w14:paraId="55E673BF" w14:textId="6B4C2D9A" w:rsidR="00705096" w:rsidRPr="0089444D" w:rsidRDefault="00705096" w:rsidP="00705096">
      <w:pPr>
        <w:pStyle w:val="para"/>
      </w:pPr>
      <w:r w:rsidRPr="0089444D">
        <w:t>"</w:t>
      </w:r>
      <w:r w:rsidRPr="0089444D">
        <w:rPr>
          <w:bCs/>
        </w:rPr>
        <w:t xml:space="preserve">5.2.2.3. </w:t>
      </w:r>
      <w:r w:rsidRPr="0089444D">
        <w:rPr>
          <w:bCs/>
        </w:rPr>
        <w:tab/>
        <w:t xml:space="preserve">An ISOFIX anchorage system, ISOFIX top tether anchorage and vehicle floor contact surface of </w:t>
      </w:r>
      <w:proofErr w:type="spellStart"/>
      <w:r w:rsidRPr="0089444D">
        <w:rPr>
          <w:bCs/>
        </w:rPr>
        <w:t>i</w:t>
      </w:r>
      <w:proofErr w:type="spellEnd"/>
      <w:r w:rsidRPr="0089444D">
        <w:rPr>
          <w:bCs/>
        </w:rPr>
        <w:t xml:space="preserve">-Size seating positions shall be designed for </w:t>
      </w:r>
      <w:proofErr w:type="spellStart"/>
      <w:r w:rsidRPr="0089444D">
        <w:rPr>
          <w:bCs/>
        </w:rPr>
        <w:t>i</w:t>
      </w:r>
      <w:proofErr w:type="spellEnd"/>
      <w:r w:rsidRPr="0089444D">
        <w:rPr>
          <w:bCs/>
        </w:rPr>
        <w:noBreakHyphen/>
        <w:t xml:space="preserve">Size child restraint system of integral class as defined in </w:t>
      </w:r>
      <w:r w:rsidR="00834408">
        <w:rPr>
          <w:bCs/>
        </w:rPr>
        <w:t xml:space="preserve">UN </w:t>
      </w:r>
      <w:r w:rsidRPr="0089444D">
        <w:rPr>
          <w:bCs/>
        </w:rPr>
        <w:t>Regulation No. 129</w:t>
      </w:r>
      <w:r w:rsidRPr="0089444D">
        <w:t>."</w:t>
      </w:r>
    </w:p>
    <w:p w14:paraId="04F35476" w14:textId="77777777" w:rsidR="00705096" w:rsidRPr="0089444D" w:rsidRDefault="00705096" w:rsidP="00705096">
      <w:pPr>
        <w:pStyle w:val="para"/>
      </w:pPr>
      <w:r w:rsidRPr="0089444D">
        <w:rPr>
          <w:i/>
        </w:rPr>
        <w:t>Paragraph 5.2.3.3</w:t>
      </w:r>
      <w:r w:rsidRPr="0089444D">
        <w:t>., amend to read:</w:t>
      </w:r>
    </w:p>
    <w:p w14:paraId="05FBDFD4" w14:textId="1A0286BA" w:rsidR="00705096" w:rsidRPr="000474E7" w:rsidRDefault="00705096" w:rsidP="00705096">
      <w:pPr>
        <w:spacing w:after="120"/>
        <w:ind w:left="2268" w:right="1134" w:hanging="1134"/>
        <w:jc w:val="both"/>
        <w:rPr>
          <w:lang w:val="en-US"/>
        </w:rPr>
      </w:pPr>
      <w:r w:rsidRPr="000474E7">
        <w:rPr>
          <w:lang w:val="en-US"/>
        </w:rPr>
        <w:t>"5.2.3.3.</w:t>
      </w:r>
      <w:r w:rsidRPr="000474E7">
        <w:rPr>
          <w:lang w:val="en-US"/>
        </w:rPr>
        <w:tab/>
        <w:t xml:space="preserve">For any ISOFIX anchorages system installed in the vehicle, it shall be possible to attach either the ISOFIX child restraint fixture "ISO/F2" or "ISO/F2X" as defined by the vehicle manufacturer, described in </w:t>
      </w:r>
      <w:r w:rsidR="00353D5F">
        <w:rPr>
          <w:lang w:val="en-US"/>
        </w:rPr>
        <w:t xml:space="preserve">UN </w:t>
      </w:r>
      <w:r w:rsidRPr="000474E7">
        <w:rPr>
          <w:lang w:val="en-US"/>
        </w:rPr>
        <w:t>Regulation No. 16 (Annex 17, Appendix 2).</w:t>
      </w:r>
    </w:p>
    <w:p w14:paraId="2AC67AE5" w14:textId="2DFBBF35" w:rsidR="00705096" w:rsidRPr="000474E7" w:rsidRDefault="00705096" w:rsidP="00705096">
      <w:pPr>
        <w:spacing w:after="120"/>
        <w:ind w:left="2268" w:right="1134"/>
        <w:jc w:val="both"/>
        <w:rPr>
          <w:highlight w:val="cyan"/>
          <w:lang w:val="en-US"/>
        </w:rPr>
      </w:pPr>
      <w:proofErr w:type="spellStart"/>
      <w:r w:rsidRPr="000474E7">
        <w:rPr>
          <w:bCs/>
          <w:lang w:val="en-US"/>
        </w:rPr>
        <w:t>i</w:t>
      </w:r>
      <w:proofErr w:type="spellEnd"/>
      <w:r w:rsidRPr="000474E7">
        <w:rPr>
          <w:bCs/>
          <w:lang w:val="en-US"/>
        </w:rPr>
        <w:t xml:space="preserve">-Size positions shall accommodate ISOFIX child restraint fixtures "ISO/F2X", and "ISO/R2" together with the support leg installation assessment volume, as defined in </w:t>
      </w:r>
      <w:r w:rsidR="00353D5F">
        <w:rPr>
          <w:bCs/>
          <w:lang w:val="en-US"/>
        </w:rPr>
        <w:t xml:space="preserve">UN </w:t>
      </w:r>
      <w:r w:rsidRPr="000474E7">
        <w:rPr>
          <w:bCs/>
          <w:lang w:val="en-US"/>
        </w:rPr>
        <w:t xml:space="preserve">Regulation No. 16 (Annex 17, Appendix 2). In addition, </w:t>
      </w:r>
      <w:proofErr w:type="spellStart"/>
      <w:r w:rsidRPr="000474E7">
        <w:rPr>
          <w:bCs/>
          <w:lang w:val="en-US"/>
        </w:rPr>
        <w:t>i</w:t>
      </w:r>
      <w:proofErr w:type="spellEnd"/>
      <w:r w:rsidRPr="000474E7">
        <w:rPr>
          <w:bCs/>
          <w:lang w:val="en-US"/>
        </w:rPr>
        <w:t>-Size positions shall accommodate the child restraint fixture of class ISO/B2, as defined in</w:t>
      </w:r>
      <w:r w:rsidR="00353D5F">
        <w:rPr>
          <w:bCs/>
          <w:lang w:val="en-US"/>
        </w:rPr>
        <w:t xml:space="preserve"> UN</w:t>
      </w:r>
      <w:r w:rsidRPr="000474E7">
        <w:rPr>
          <w:bCs/>
          <w:lang w:val="en-US"/>
        </w:rPr>
        <w:t xml:space="preserve"> Regulation No. 16 (Annex 17, Appendix 5)</w:t>
      </w:r>
      <w:r w:rsidRPr="000474E7">
        <w:rPr>
          <w:lang w:val="en-US"/>
        </w:rPr>
        <w:t>."</w:t>
      </w:r>
    </w:p>
    <w:p w14:paraId="1B65637C" w14:textId="77777777" w:rsidR="00705096" w:rsidRPr="0089444D" w:rsidRDefault="00705096" w:rsidP="00705096">
      <w:pPr>
        <w:pStyle w:val="para"/>
      </w:pPr>
      <w:r w:rsidRPr="0089444D">
        <w:rPr>
          <w:i/>
        </w:rPr>
        <w:t>Paragraph 5.2.3.4.</w:t>
      </w:r>
      <w:r w:rsidRPr="0089444D">
        <w:t>, amend to read:</w:t>
      </w:r>
    </w:p>
    <w:p w14:paraId="1BA639AE" w14:textId="2DE324BA" w:rsidR="00705096" w:rsidRDefault="00705096" w:rsidP="00705096">
      <w:pPr>
        <w:pStyle w:val="para"/>
      </w:pPr>
      <w:r w:rsidRPr="0089444D">
        <w:t>"5.2.3.4.</w:t>
      </w:r>
      <w:r w:rsidRPr="0089444D">
        <w:tab/>
        <w:t xml:space="preserve">… </w:t>
      </w:r>
    </w:p>
    <w:p w14:paraId="52FF9370" w14:textId="77777777" w:rsidR="00705096" w:rsidRPr="0089444D" w:rsidRDefault="00705096" w:rsidP="00705096">
      <w:pPr>
        <w:pStyle w:val="para"/>
        <w:ind w:firstLine="0"/>
      </w:pPr>
      <w:r w:rsidRPr="000474E7">
        <w:rPr>
          <w:lang w:val="en-US"/>
        </w:rPr>
        <w:t xml:space="preserve">For </w:t>
      </w:r>
      <w:proofErr w:type="spellStart"/>
      <w:r w:rsidRPr="000474E7">
        <w:rPr>
          <w:lang w:val="en-US"/>
        </w:rPr>
        <w:t>i</w:t>
      </w:r>
      <w:proofErr w:type="spellEnd"/>
      <w:r w:rsidRPr="000474E7">
        <w:rPr>
          <w:lang w:val="en-US"/>
        </w:rPr>
        <w:t xml:space="preserve">-Size </w:t>
      </w:r>
      <w:proofErr w:type="gramStart"/>
      <w:r w:rsidRPr="000474E7">
        <w:rPr>
          <w:lang w:val="en-US"/>
        </w:rPr>
        <w:t>positions,…</w:t>
      </w:r>
      <w:proofErr w:type="gramEnd"/>
      <w:r w:rsidRPr="000474E7">
        <w:rPr>
          <w:lang w:val="en-US"/>
        </w:rPr>
        <w:t xml:space="preserve"> </w:t>
      </w:r>
      <w:r w:rsidRPr="0089444D">
        <w:t>It shall be possible to install the ISOFIX child restraint fixture under the increased pitch angle. This paragraph does not apply to child restraint fixtures of size ISO/B2."</w:t>
      </w:r>
    </w:p>
    <w:p w14:paraId="31C8179D" w14:textId="77777777" w:rsidR="00705096" w:rsidRPr="0089444D" w:rsidRDefault="00705096" w:rsidP="00705096">
      <w:pPr>
        <w:pStyle w:val="para"/>
      </w:pPr>
      <w:r w:rsidRPr="0089444D">
        <w:rPr>
          <w:i/>
        </w:rPr>
        <w:t xml:space="preserve">Paragraph 5.2.4.2., </w:t>
      </w:r>
      <w:r w:rsidRPr="0089444D">
        <w:t>amend to read:</w:t>
      </w:r>
    </w:p>
    <w:p w14:paraId="643EB966" w14:textId="5C7A164D" w:rsidR="00705096" w:rsidRPr="0089444D" w:rsidRDefault="00705096" w:rsidP="00705096">
      <w:pPr>
        <w:pStyle w:val="para"/>
      </w:pPr>
      <w:r w:rsidRPr="0089444D">
        <w:t>"5.2.4.2.</w:t>
      </w:r>
      <w:r w:rsidRPr="0089444D">
        <w:tab/>
        <w:t xml:space="preserve">The ISOFIX top tether anchorage zone may be alternatively located with </w:t>
      </w:r>
      <w:r>
        <w:t>the aid of the Fixture "ISO/F2"</w:t>
      </w:r>
      <w:r w:rsidRPr="0089444D">
        <w:t xml:space="preserve">, as defined in </w:t>
      </w:r>
      <w:r w:rsidR="00353D5F">
        <w:t xml:space="preserve">UN </w:t>
      </w:r>
      <w:r w:rsidRPr="0089444D">
        <w:t>Regulation No. 16 (Annex 17, Appendix 2, Figure 2), in an ISOFIX position equipped with ISOFIX low anchorages as shown in Figure 11 of Annex 9.</w:t>
      </w:r>
    </w:p>
    <w:p w14:paraId="555B7650" w14:textId="77777777" w:rsidR="00705096" w:rsidRPr="0089444D" w:rsidRDefault="00705096" w:rsidP="00705096">
      <w:pPr>
        <w:pStyle w:val="para"/>
      </w:pPr>
      <w:r w:rsidRPr="0089444D">
        <w:tab/>
        <w:t>…</w:t>
      </w:r>
    </w:p>
    <w:p w14:paraId="30D6C95C" w14:textId="77777777" w:rsidR="00705096" w:rsidRPr="0089444D" w:rsidRDefault="00705096" w:rsidP="00705096">
      <w:pPr>
        <w:pStyle w:val="para"/>
      </w:pPr>
      <w:r w:rsidRPr="0089444D">
        <w:tab/>
        <w:t xml:space="preserve">In the side view, the ISOFIX top tether anchorage shall lie behind the </w:t>
      </w:r>
      <w:bookmarkStart w:id="3" w:name="OLE_LINK1"/>
      <w:r>
        <w:t>"ISO/F2"</w:t>
      </w:r>
      <w:r w:rsidRPr="0089444D">
        <w:t xml:space="preserve"> fixture </w:t>
      </w:r>
      <w:bookmarkEnd w:id="3"/>
      <w:r w:rsidRPr="0089444D">
        <w:t xml:space="preserve">rear face. </w:t>
      </w:r>
    </w:p>
    <w:p w14:paraId="3AF79049" w14:textId="77777777" w:rsidR="00705096" w:rsidRPr="0089444D" w:rsidRDefault="00705096" w:rsidP="00705096">
      <w:pPr>
        <w:pStyle w:val="para"/>
      </w:pPr>
      <w:r w:rsidRPr="0089444D">
        <w:lastRenderedPageBreak/>
        <w:tab/>
        <w:t>The in</w:t>
      </w:r>
      <w:r>
        <w:t>tersection between the "ISO/F2"</w:t>
      </w:r>
      <w:r w:rsidRPr="0089444D">
        <w:t xml:space="preserve"> fixture rear face and the horizontal line (Annex 9, Figure 11, reference 3) containing the last rigid point of a hardness greater than 50 Shore A at the top of the seat back defines the reference point 4 (Annex 9, Figure 11) on</w:t>
      </w:r>
      <w:r>
        <w:t xml:space="preserve"> the centreline of the "ISO/F2"</w:t>
      </w:r>
      <w:r w:rsidRPr="0089444D">
        <w:t xml:space="preserve"> fixture. At this reference point, a maximum angle of 45° above the horizontal line defines the upper limit of the top tether anchorage zone. </w:t>
      </w:r>
    </w:p>
    <w:p w14:paraId="46670D65" w14:textId="77777777" w:rsidR="00705096" w:rsidRPr="0089444D" w:rsidRDefault="00705096" w:rsidP="00705096">
      <w:pPr>
        <w:pStyle w:val="para"/>
      </w:pPr>
      <w:r w:rsidRPr="0089444D">
        <w:tab/>
        <w:t>…</w:t>
      </w:r>
    </w:p>
    <w:p w14:paraId="7A79C377" w14:textId="77777777" w:rsidR="00705096" w:rsidRPr="0089444D" w:rsidRDefault="00705096" w:rsidP="00705096">
      <w:pPr>
        <w:pStyle w:val="para"/>
      </w:pPr>
      <w:r w:rsidRPr="0089444D">
        <w:tab/>
        <w:t>The origin of the ISOFIX top tether strap (5) is located at t</w:t>
      </w:r>
      <w:r>
        <w:t>he intersection of the "ISO/F2"</w:t>
      </w:r>
      <w:r w:rsidRPr="0089444D">
        <w:t xml:space="preserve"> fixture with a plane 55</w:t>
      </w:r>
      <w:r>
        <w:t>0 mm distant above the "ISO/F2"</w:t>
      </w:r>
      <w:r w:rsidRPr="0089444D">
        <w:t xml:space="preserve"> fixture horizontal face (1) on the "ISO/F2</w:t>
      </w:r>
      <w:r>
        <w:t>"</w:t>
      </w:r>
      <w:r w:rsidRPr="0089444D">
        <w:t xml:space="preserve"> fixture centreline (6).</w:t>
      </w:r>
    </w:p>
    <w:p w14:paraId="2C4C9C06" w14:textId="77777777" w:rsidR="00705096" w:rsidRPr="0089444D" w:rsidRDefault="00705096" w:rsidP="00705096">
      <w:pPr>
        <w:pStyle w:val="para"/>
      </w:pPr>
      <w:r w:rsidRPr="0089444D">
        <w:tab/>
        <w:t>Further, the ISOFIX top tether anchorage shall be more than 200 mm but not more than 2000 mm from the origin of the ISOFIX top tether strap o</w:t>
      </w:r>
      <w:r>
        <w:t>n the rear face of the "ISO/F2"</w:t>
      </w:r>
      <w:r w:rsidRPr="0089444D">
        <w:t xml:space="preserve"> fixture, measured along the strap when it is drawn over the seat back to the ISOFIX top tether anchorage."</w:t>
      </w:r>
    </w:p>
    <w:p w14:paraId="13753057" w14:textId="1C4DD6EA" w:rsidR="00776D12" w:rsidRDefault="00705096" w:rsidP="00705096">
      <w:pPr>
        <w:spacing w:before="240"/>
        <w:ind w:left="1134" w:right="1134"/>
        <w:jc w:val="center"/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15633D">
        <w:rPr>
          <w:u w:val="single"/>
        </w:rPr>
        <w:tab/>
      </w: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45419674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34408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5390FCD8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834408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2D7D222F" w14:textId="77777777" w:rsidR="00E964DF" w:rsidRPr="00A153B0" w:rsidRDefault="00E964DF" w:rsidP="00E964DF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4953D6A" w14:textId="77777777" w:rsidR="00E964DF" w:rsidRPr="00A153B0" w:rsidRDefault="00E964DF" w:rsidP="00E964DF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AEC1D9" w14:textId="7034FADE" w:rsidR="00B701B3" w:rsidRPr="00E964DF" w:rsidRDefault="00E964DF" w:rsidP="00325D2E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A153B0">
        <w:rPr>
          <w:lang w:val="en-US"/>
        </w:rPr>
        <w:t>on the Basis of</w:t>
      </w:r>
      <w:proofErr w:type="gramEnd"/>
      <w:r w:rsidRPr="00A153B0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01E2E78D" w:rsidR="00B701B3" w:rsidRDefault="00B701B3">
    <w:pPr>
      <w:pStyle w:val="Header"/>
    </w:pPr>
    <w:r w:rsidRPr="00D623A7">
      <w:t>E/ECE/324</w:t>
    </w:r>
    <w:r w:rsidRPr="00841EB5">
      <w:t>/Rev.</w:t>
    </w:r>
    <w:r w:rsidR="00705096">
      <w:t>1</w:t>
    </w:r>
    <w:r w:rsidRPr="00841EB5">
      <w:t>/Add.</w:t>
    </w:r>
    <w:r w:rsidR="00705096">
      <w:t>13</w:t>
    </w:r>
    <w:r w:rsidRPr="00841EB5">
      <w:t>/Rev.</w:t>
    </w:r>
    <w:r w:rsidR="00705096">
      <w:t>5</w:t>
    </w:r>
    <w:r w:rsidRPr="00841EB5">
      <w:t>/Amend.</w:t>
    </w:r>
    <w:r w:rsidR="00705096">
      <w:t>5</w:t>
    </w:r>
    <w:r>
      <w:br/>
    </w:r>
    <w:r w:rsidRPr="00D623A7">
      <w:t>E/ECE/TRANS/505</w:t>
    </w:r>
    <w:r w:rsidRPr="00841EB5">
      <w:t>/Rev.</w:t>
    </w:r>
    <w:r w:rsidR="00705096">
      <w:t>1</w:t>
    </w:r>
    <w:r w:rsidRPr="00841EB5">
      <w:t>/Add.</w:t>
    </w:r>
    <w:r w:rsidR="00705096">
      <w:t>13</w:t>
    </w:r>
    <w:r w:rsidRPr="00841EB5">
      <w:t>/Rev.</w:t>
    </w:r>
    <w:r w:rsidR="00705096">
      <w:t>5</w:t>
    </w:r>
    <w:r w:rsidRPr="00841EB5">
      <w:t>/Amend.</w:t>
    </w:r>
    <w:r w:rsidR="00705096">
      <w:t>5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5BDB633E" w:rsidR="00B701B3" w:rsidRDefault="00B701B3" w:rsidP="00776D12">
    <w:pPr>
      <w:pStyle w:val="Header"/>
      <w:jc w:val="right"/>
    </w:pPr>
    <w:r w:rsidRPr="00D623A7">
      <w:t>E/ECE/324</w:t>
    </w:r>
    <w:r w:rsidR="00705096" w:rsidRPr="00841EB5">
      <w:t>/Rev.</w:t>
    </w:r>
    <w:r w:rsidR="00705096">
      <w:t>1</w:t>
    </w:r>
    <w:r w:rsidR="00705096" w:rsidRPr="00841EB5">
      <w:t>/Add.</w:t>
    </w:r>
    <w:r w:rsidR="00705096">
      <w:t>13</w:t>
    </w:r>
    <w:r w:rsidR="00705096" w:rsidRPr="00841EB5">
      <w:t>/Rev.</w:t>
    </w:r>
    <w:r w:rsidR="00705096">
      <w:t>5</w:t>
    </w:r>
    <w:r w:rsidR="00705096" w:rsidRPr="00841EB5">
      <w:t>/Amend.</w:t>
    </w:r>
    <w:r w:rsidR="00705096">
      <w:t>5</w:t>
    </w:r>
    <w:r>
      <w:br/>
    </w:r>
    <w:r w:rsidRPr="00D623A7">
      <w:t>E/ECE/TRANS/505/</w:t>
    </w:r>
    <w:r w:rsidR="00705096" w:rsidRPr="00841EB5">
      <w:t>Rev.</w:t>
    </w:r>
    <w:r w:rsidR="00705096">
      <w:t>1</w:t>
    </w:r>
    <w:r w:rsidR="00705096" w:rsidRPr="00841EB5">
      <w:t>/Add.</w:t>
    </w:r>
    <w:r w:rsidR="00705096">
      <w:t>13</w:t>
    </w:r>
    <w:r w:rsidR="00705096" w:rsidRPr="00841EB5">
      <w:t>/Rev.</w:t>
    </w:r>
    <w:r w:rsidR="00705096">
      <w:t>5</w:t>
    </w:r>
    <w:r w:rsidR="00705096" w:rsidRPr="00841EB5">
      <w:t>/Amend.</w:t>
    </w:r>
    <w:r w:rsidR="00705096"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319C1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5633D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25D2E"/>
    <w:rsid w:val="0033745A"/>
    <w:rsid w:val="00353D5F"/>
    <w:rsid w:val="003662FF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4E690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6F045B"/>
    <w:rsid w:val="00705096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34408"/>
    <w:rsid w:val="00841EB5"/>
    <w:rsid w:val="008518D5"/>
    <w:rsid w:val="00871FD5"/>
    <w:rsid w:val="008979B1"/>
    <w:rsid w:val="008A6B25"/>
    <w:rsid w:val="008A6C4F"/>
    <w:rsid w:val="008C3804"/>
    <w:rsid w:val="008E0E46"/>
    <w:rsid w:val="00907AD2"/>
    <w:rsid w:val="009472F1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047B9"/>
    <w:rsid w:val="00B04B58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E7D39"/>
    <w:rsid w:val="00BF4A36"/>
    <w:rsid w:val="00C17699"/>
    <w:rsid w:val="00C41A28"/>
    <w:rsid w:val="00C463DD"/>
    <w:rsid w:val="00C711C7"/>
    <w:rsid w:val="00C71A58"/>
    <w:rsid w:val="00C745C3"/>
    <w:rsid w:val="00C84414"/>
    <w:rsid w:val="00CA674C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53330"/>
    <w:rsid w:val="00E7260F"/>
    <w:rsid w:val="00E87921"/>
    <w:rsid w:val="00E964DF"/>
    <w:rsid w:val="00E96630"/>
    <w:rsid w:val="00EA0ED6"/>
    <w:rsid w:val="00EA264E"/>
    <w:rsid w:val="00ED7A2A"/>
    <w:rsid w:val="00EF1D7F"/>
    <w:rsid w:val="00F53EDA"/>
    <w:rsid w:val="00F55704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gt-baf-word-clickable">
    <w:name w:val="gt-baf-word-clickable"/>
    <w:basedOn w:val="DefaultParagraphFont"/>
    <w:rsid w:val="004E690B"/>
  </w:style>
  <w:style w:type="character" w:customStyle="1" w:styleId="paraChar">
    <w:name w:val="para Char"/>
    <w:link w:val="para"/>
    <w:rsid w:val="007050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C26E-561C-4ECA-868D-318FD444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Caillot</cp:lastModifiedBy>
  <cp:revision>5</cp:revision>
  <cp:lastPrinted>2015-05-06T11:39:00Z</cp:lastPrinted>
  <dcterms:created xsi:type="dcterms:W3CDTF">2018-03-23T15:14:00Z</dcterms:created>
  <dcterms:modified xsi:type="dcterms:W3CDTF">2018-03-23T16:46:00Z</dcterms:modified>
</cp:coreProperties>
</file>