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5D2FB9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84D" w:rsidRPr="001B784D" w:rsidRDefault="001B784D" w:rsidP="001B784D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1B784D">
              <w:rPr>
                <w:sz w:val="40"/>
                <w:lang w:val="en-US"/>
              </w:rPr>
              <w:t>E</w:t>
            </w:r>
            <w:r w:rsidRPr="001B784D">
              <w:rPr>
                <w:lang w:val="en-US"/>
              </w:rPr>
              <w:t>/ECE/324/Add.5/Rev.6/Amend.4−</w:t>
            </w:r>
            <w:r w:rsidRPr="001B784D">
              <w:rPr>
                <w:sz w:val="40"/>
                <w:lang w:val="en-US"/>
              </w:rPr>
              <w:t>E</w:t>
            </w:r>
            <w:r w:rsidRPr="001B784D">
              <w:rPr>
                <w:lang w:val="en-US"/>
              </w:rPr>
              <w:t>/ECE/TRANS/505/Add.5/Rev.6/Amend.4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1B784D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1B784D" w:rsidP="00A27C92">
            <w:pPr>
              <w:spacing w:before="480" w:line="240" w:lineRule="exact"/>
            </w:pPr>
            <w:r>
              <w:t>2 novembre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1B784D">
        <w:t>’</w:t>
      </w:r>
      <w:r w:rsidR="00421A10" w:rsidRPr="00583D68">
        <w:t>adoption</w:t>
      </w:r>
      <w:r w:rsidR="001B784D" w:rsidRPr="001B784D">
        <w:t xml:space="preserve"> de Règlements techniques harmonisés de l</w:t>
      </w:r>
      <w:r w:rsidR="001B784D">
        <w:t>’</w:t>
      </w:r>
      <w:r w:rsidR="001B784D" w:rsidRPr="001B784D">
        <w:t>ONU applicables aux véhicules à roues et aux équipements et pièces susceptibles d</w:t>
      </w:r>
      <w:r w:rsidR="001B784D">
        <w:t>’</w:t>
      </w:r>
      <w:r w:rsidR="001B784D" w:rsidRPr="001B784D">
        <w:t>être montés ou utilisés sur les véhicules à roues et les conditions de reconnaissance réciproque des homologations délivrées conformément à ces Règlements</w:t>
      </w:r>
      <w:r w:rsidR="00442E31" w:rsidRPr="001B784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1B784D" w:rsidRPr="001B784D"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1B784D">
        <w:t xml:space="preserve">5 − </w:t>
      </w:r>
      <w:r w:rsidR="00421A10" w:rsidRPr="006549FF">
        <w:t>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1B784D">
        <w:t>6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1B784D">
        <w:t>6 − Amendement 4</w:t>
      </w:r>
    </w:p>
    <w:p w:rsidR="00421A10" w:rsidRPr="0029791D" w:rsidRDefault="001B784D" w:rsidP="0029791D">
      <w:pPr>
        <w:pStyle w:val="SingleTxtG"/>
      </w:pPr>
      <w:r w:rsidRPr="001B784D">
        <w:t>Complément 29 à la série 01 d</w:t>
      </w:r>
      <w:r>
        <w:t>’</w:t>
      </w:r>
      <w:r w:rsidRPr="001B784D">
        <w:t xml:space="preserve">amendements </w:t>
      </w:r>
      <w:r>
        <w:t>− Date d’entrée en vigueur </w:t>
      </w:r>
      <w:r w:rsidRPr="001B784D">
        <w:t>: 16 octobre 2018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1B784D" w:rsidRPr="001B784D">
        <w:t>à l</w:t>
      </w:r>
      <w:r w:rsidR="001B784D">
        <w:t>’</w:t>
      </w:r>
      <w:r w:rsidR="001B784D" w:rsidRPr="001B784D">
        <w:t>homologation des feux indicateurs de direction pour véhicules à moteur et leurs remorques</w:t>
      </w:r>
    </w:p>
    <w:p w:rsidR="001B784D" w:rsidRPr="001B784D" w:rsidRDefault="001B784D" w:rsidP="001B784D">
      <w:pPr>
        <w:pStyle w:val="SingleTxtG"/>
        <w:rPr>
          <w:spacing w:val="-4"/>
        </w:rPr>
      </w:pPr>
      <w:r>
        <w:tab/>
      </w:r>
      <w:r w:rsidRPr="001B784D">
        <w:rPr>
          <w:spacing w:val="-4"/>
        </w:rPr>
        <w:t>Le présent document est communiqué uniquement à titre d</w:t>
      </w:r>
      <w:r>
        <w:rPr>
          <w:spacing w:val="-4"/>
        </w:rPr>
        <w:t>’</w:t>
      </w:r>
      <w:r w:rsidRPr="001B784D">
        <w:rPr>
          <w:spacing w:val="-4"/>
        </w:rPr>
        <w:t>information. Le texte authentique, juridiquement contraignant, est celui du document ECE/TRANS/WP.29/2018/28.</w:t>
      </w:r>
    </w:p>
    <w:p w:rsidR="001B784D" w:rsidRPr="00B57EC4" w:rsidRDefault="001B784D" w:rsidP="001B784D">
      <w:pPr>
        <w:pStyle w:val="SingleTxtG"/>
      </w:pPr>
      <w:r w:rsidRPr="001B784D">
        <w:rPr>
          <w:noProof/>
          <w:spacing w:val="-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6281338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4.6pt;width:481.8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+DFCvd8AAAAJAQAADwAAAAAAAAAAAAAAAAB8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Pr="00B57EC4">
        <w:rPr>
          <w:i/>
        </w:rPr>
        <w:lastRenderedPageBreak/>
        <w:t>Paragraphe 1.3</w:t>
      </w:r>
      <w:r w:rsidRPr="00B57EC4">
        <w:t>, lire</w:t>
      </w:r>
      <w:r>
        <w:t> :</w:t>
      </w:r>
    </w:p>
    <w:p w:rsidR="001B784D" w:rsidRPr="00B57EC4" w:rsidRDefault="001B784D" w:rsidP="001B784D">
      <w:pPr>
        <w:pStyle w:val="SingleTxtG"/>
        <w:ind w:left="2268" w:hanging="1134"/>
        <w:rPr>
          <w:iCs/>
        </w:rPr>
      </w:pPr>
      <w:r w:rsidRPr="00B57EC4">
        <w:t>« 1.3</w:t>
      </w:r>
      <w:r w:rsidRPr="00B57EC4">
        <w:tab/>
        <w:t>Par “</w:t>
      </w:r>
      <w:r w:rsidRPr="001B784D">
        <w:t>indicateurs de direction de types différents</w:t>
      </w:r>
      <w:r w:rsidRPr="00B57EC4">
        <w:t>”, des feux qui présentent des différences essentielles pouvant porter notamment sur</w:t>
      </w:r>
      <w:r>
        <w:t> :</w:t>
      </w:r>
    </w:p>
    <w:p w:rsidR="001B784D" w:rsidRPr="00B57EC4" w:rsidRDefault="001B784D" w:rsidP="001B784D">
      <w:pPr>
        <w:pStyle w:val="SingleTxtG"/>
        <w:ind w:left="2268"/>
      </w:pPr>
      <w:r w:rsidRPr="00B57EC4">
        <w:t>a)</w:t>
      </w:r>
      <w:r w:rsidRPr="00B57EC4">
        <w:tab/>
        <w:t>La marque de fabrique ou de commerce</w:t>
      </w:r>
      <w:r>
        <w:t> :</w:t>
      </w:r>
    </w:p>
    <w:p w:rsidR="001B784D" w:rsidRPr="00B57EC4" w:rsidRDefault="001B784D" w:rsidP="001B784D">
      <w:pPr>
        <w:pStyle w:val="SingleTxtG"/>
        <w:ind w:left="3402" w:hanging="567"/>
        <w:rPr>
          <w:iCs/>
        </w:rPr>
      </w:pPr>
      <w:r w:rsidRPr="00B57EC4">
        <w:rPr>
          <w:iCs/>
        </w:rPr>
        <w:t>i)</w:t>
      </w:r>
      <w:r w:rsidRPr="00B57EC4">
        <w:rPr>
          <w:iCs/>
        </w:rPr>
        <w:tab/>
        <w:t xml:space="preserve">Des feux </w:t>
      </w:r>
      <w:r w:rsidRPr="00B57EC4">
        <w:t>portant</w:t>
      </w:r>
      <w:r w:rsidRPr="00B57EC4">
        <w:rPr>
          <w:iCs/>
        </w:rPr>
        <w:t xml:space="preserve"> la même marque de fabrique ou de commerce mais produits par des fabricants différents doivent être considérés </w:t>
      </w:r>
      <w:r>
        <w:rPr>
          <w:iCs/>
        </w:rPr>
        <w:t>comme étant de types différents ;</w:t>
      </w:r>
    </w:p>
    <w:p w:rsidR="001B784D" w:rsidRPr="00B57EC4" w:rsidRDefault="001B784D" w:rsidP="001B784D">
      <w:pPr>
        <w:pStyle w:val="SingleTxtG"/>
        <w:ind w:left="3402" w:hanging="567"/>
        <w:rPr>
          <w:iCs/>
        </w:rPr>
      </w:pPr>
      <w:r w:rsidRPr="00B57EC4">
        <w:rPr>
          <w:bCs/>
          <w:iCs/>
        </w:rPr>
        <w:t>ii)</w:t>
      </w:r>
      <w:r w:rsidRPr="00B57EC4">
        <w:rPr>
          <w:bCs/>
          <w:iCs/>
        </w:rPr>
        <w:tab/>
        <w:t>Des feux produits par le même fabricant et ne différant entre eux que par la marque de fabrique ou de commerce doivent être considérés comme étant du même type</w:t>
      </w:r>
      <w:r w:rsidRPr="00B57EC4">
        <w:rPr>
          <w:iCs/>
        </w:rPr>
        <w:t>.</w:t>
      </w:r>
    </w:p>
    <w:p w:rsidR="005F0207" w:rsidRDefault="001B784D" w:rsidP="001B784D">
      <w:pPr>
        <w:pStyle w:val="SingleTxtG"/>
        <w:ind w:left="2268"/>
        <w:rPr>
          <w:iCs/>
        </w:rPr>
      </w:pPr>
      <w:r>
        <w:rPr>
          <w:iCs/>
        </w:rPr>
        <w:tab/>
      </w:r>
      <w:r w:rsidRPr="00B57EC4">
        <w:rPr>
          <w:iCs/>
        </w:rPr>
        <w:t>b)</w:t>
      </w:r>
      <w:r w:rsidRPr="00B57EC4">
        <w:rPr>
          <w:iCs/>
        </w:rPr>
        <w:tab/>
        <w:t xml:space="preserve">Les </w:t>
      </w:r>
      <w:r w:rsidRPr="00B57EC4">
        <w:t>caractéristiques</w:t>
      </w:r>
      <w:r>
        <w:t xml:space="preserve"> </w:t>
      </w:r>
      <w:r w:rsidRPr="00B57EC4">
        <w:rPr>
          <w:iCs/>
        </w:rPr>
        <w:t>… ».</w:t>
      </w:r>
    </w:p>
    <w:p w:rsidR="001B784D" w:rsidRPr="001B784D" w:rsidRDefault="001B784D" w:rsidP="001B784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784D" w:rsidRPr="001B784D" w:rsidSect="001B784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A3F" w:rsidRDefault="005E7A3F"/>
  </w:endnote>
  <w:endnote w:type="continuationSeparator" w:id="0">
    <w:p w:rsidR="005E7A3F" w:rsidRDefault="005E7A3F">
      <w:pPr>
        <w:pStyle w:val="Footer"/>
      </w:pPr>
    </w:p>
  </w:endnote>
  <w:endnote w:type="continuationNotice" w:id="1">
    <w:p w:rsidR="005E7A3F" w:rsidRPr="00C451B9" w:rsidRDefault="005E7A3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4D" w:rsidRPr="001B784D" w:rsidRDefault="001B784D" w:rsidP="001B784D">
    <w:pPr>
      <w:pStyle w:val="Footer"/>
      <w:tabs>
        <w:tab w:val="right" w:pos="9638"/>
      </w:tabs>
    </w:pPr>
    <w:r w:rsidRPr="001B784D">
      <w:rPr>
        <w:b/>
        <w:sz w:val="18"/>
      </w:rPr>
      <w:fldChar w:fldCharType="begin"/>
    </w:r>
    <w:r w:rsidRPr="001B784D">
      <w:rPr>
        <w:b/>
        <w:sz w:val="18"/>
      </w:rPr>
      <w:instrText xml:space="preserve"> PAGE  \* MERGEFORMAT </w:instrText>
    </w:r>
    <w:r w:rsidRPr="001B784D">
      <w:rPr>
        <w:b/>
        <w:sz w:val="18"/>
      </w:rPr>
      <w:fldChar w:fldCharType="separate"/>
    </w:r>
    <w:r w:rsidRPr="001B784D">
      <w:rPr>
        <w:b/>
        <w:noProof/>
        <w:sz w:val="18"/>
      </w:rPr>
      <w:t>2</w:t>
    </w:r>
    <w:r w:rsidRPr="001B784D">
      <w:rPr>
        <w:b/>
        <w:sz w:val="18"/>
      </w:rPr>
      <w:fldChar w:fldCharType="end"/>
    </w:r>
    <w:r>
      <w:rPr>
        <w:b/>
        <w:sz w:val="18"/>
      </w:rPr>
      <w:tab/>
    </w:r>
    <w:r>
      <w:t>GE.18-18476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4D" w:rsidRPr="001B784D" w:rsidRDefault="001B784D" w:rsidP="001B784D">
    <w:pPr>
      <w:pStyle w:val="Footer"/>
      <w:tabs>
        <w:tab w:val="right" w:pos="9638"/>
      </w:tabs>
      <w:rPr>
        <w:b/>
        <w:sz w:val="18"/>
      </w:rPr>
    </w:pPr>
    <w:r>
      <w:t>GE.18-18476</w:t>
    </w:r>
    <w:r>
      <w:tab/>
    </w:r>
    <w:r w:rsidRPr="001B784D">
      <w:rPr>
        <w:b/>
        <w:sz w:val="18"/>
      </w:rPr>
      <w:fldChar w:fldCharType="begin"/>
    </w:r>
    <w:r w:rsidRPr="001B784D">
      <w:rPr>
        <w:b/>
        <w:sz w:val="18"/>
      </w:rPr>
      <w:instrText xml:space="preserve"> PAGE  \* MERGEFORMAT </w:instrText>
    </w:r>
    <w:r w:rsidRPr="001B784D">
      <w:rPr>
        <w:b/>
        <w:sz w:val="18"/>
      </w:rPr>
      <w:fldChar w:fldCharType="separate"/>
    </w:r>
    <w:r w:rsidRPr="001B784D">
      <w:rPr>
        <w:b/>
        <w:noProof/>
        <w:sz w:val="18"/>
      </w:rPr>
      <w:t>3</w:t>
    </w:r>
    <w:r w:rsidRPr="001B78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1B784D" w:rsidRDefault="001B784D" w:rsidP="001B784D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18476  (</w:t>
    </w:r>
    <w:proofErr w:type="gramEnd"/>
    <w:r>
      <w:rPr>
        <w:sz w:val="20"/>
      </w:rPr>
      <w:t>F)    201118    211118</w:t>
    </w:r>
    <w:r>
      <w:rPr>
        <w:sz w:val="20"/>
      </w:rPr>
      <w:br/>
    </w:r>
    <w:r w:rsidRPr="001B784D">
      <w:rPr>
        <w:rFonts w:ascii="C39T30Lfz" w:hAnsi="C39T30Lfz"/>
        <w:sz w:val="56"/>
      </w:rPr>
      <w:t></w:t>
    </w:r>
    <w:r w:rsidRPr="001B784D">
      <w:rPr>
        <w:rFonts w:ascii="C39T30Lfz" w:hAnsi="C39T30Lfz"/>
        <w:sz w:val="56"/>
      </w:rPr>
      <w:t></w:t>
    </w:r>
    <w:r w:rsidRPr="001B784D">
      <w:rPr>
        <w:rFonts w:ascii="C39T30Lfz" w:hAnsi="C39T30Lfz"/>
        <w:sz w:val="56"/>
      </w:rPr>
      <w:t></w:t>
    </w:r>
    <w:r w:rsidRPr="001B784D">
      <w:rPr>
        <w:rFonts w:ascii="C39T30Lfz" w:hAnsi="C39T30Lfz"/>
        <w:sz w:val="56"/>
      </w:rPr>
      <w:t></w:t>
    </w:r>
    <w:r w:rsidRPr="001B784D">
      <w:rPr>
        <w:rFonts w:ascii="C39T30Lfz" w:hAnsi="C39T30Lfz"/>
        <w:sz w:val="56"/>
      </w:rPr>
      <w:t></w:t>
    </w:r>
    <w:r w:rsidRPr="001B784D">
      <w:rPr>
        <w:rFonts w:ascii="C39T30Lfz" w:hAnsi="C39T30Lfz"/>
        <w:sz w:val="56"/>
      </w:rPr>
      <w:t></w:t>
    </w:r>
    <w:r w:rsidRPr="001B784D">
      <w:rPr>
        <w:rFonts w:ascii="C39T30Lfz" w:hAnsi="C39T30Lfz"/>
        <w:sz w:val="56"/>
      </w:rPr>
      <w:t></w:t>
    </w:r>
    <w:r w:rsidRPr="001B784D">
      <w:rPr>
        <w:rFonts w:ascii="C39T30Lfz" w:hAnsi="C39T30Lfz"/>
        <w:sz w:val="56"/>
      </w:rPr>
      <w:t></w:t>
    </w:r>
    <w:r w:rsidRPr="001B784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Add.5/Rev.6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5/Rev.6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A3F" w:rsidRPr="00D27D5E" w:rsidRDefault="005E7A3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7A3F" w:rsidRPr="00D171D4" w:rsidRDefault="005E7A3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5E7A3F" w:rsidRPr="00C451B9" w:rsidRDefault="005E7A3F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FootnoteText"/>
      </w:pPr>
      <w:r w:rsidRPr="001B784D">
        <w:tab/>
      </w:r>
      <w:r w:rsidRPr="001B784D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4D" w:rsidRPr="001B784D" w:rsidRDefault="003E095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E/ECE/324/Add.5/Rev.6/Amend.4</w:t>
    </w:r>
    <w:r>
      <w:fldChar w:fldCharType="end"/>
    </w:r>
    <w:r w:rsidR="001B784D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E/ECE/TRANS/505/Add.5/Rev.6/Amend.4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4D" w:rsidRPr="001B784D" w:rsidRDefault="003E095B" w:rsidP="001B784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E/ECE/324/Add.5/Rev.6/Amend.4</w:t>
    </w:r>
    <w:r>
      <w:fldChar w:fldCharType="end"/>
    </w:r>
    <w:r w:rsidR="001B784D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E/ECE/TRANS/505/Add.5/Rev.6/Amend.4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3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200A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B784D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095B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5950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2FB9"/>
    <w:rsid w:val="005D7719"/>
    <w:rsid w:val="005E1B9B"/>
    <w:rsid w:val="005E32D1"/>
    <w:rsid w:val="005E5D1F"/>
    <w:rsid w:val="005E7A3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2BC2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804DF"/>
    <w:rsid w:val="009914C7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9F4DB1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0ADC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B08F9DA9-2ABE-4A91-B242-B8596967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E/ECE/324/Add.5/Rev.6/Amend.4</vt:lpstr>
      <vt:lpstr>E/ECE/324/Add.5/Rev.6/Amend.4</vt:lpstr>
    </vt:vector>
  </TitlesOfParts>
  <Company>CSD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E/ECE/324/Add.5/Rev.6/Amend.4</dc:title>
  <dc:creator>Isabelle VIGNY</dc:creator>
  <cp:keywords>E/ECE/TRANS/505/Add.5/Rev.6/Amend.4</cp:keywords>
  <cp:lastModifiedBy>Marie-Claude Collet</cp:lastModifiedBy>
  <cp:revision>3</cp:revision>
  <cp:lastPrinted>2019-01-08T10:44:00Z</cp:lastPrinted>
  <dcterms:created xsi:type="dcterms:W3CDTF">2019-01-08T10:44:00Z</dcterms:created>
  <dcterms:modified xsi:type="dcterms:W3CDTF">2019-01-08T10:45:00Z</dcterms:modified>
</cp:coreProperties>
</file>