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12FE5322" w:rsidR="0064636E" w:rsidRPr="00D47EEA" w:rsidRDefault="0064636E" w:rsidP="005B1A28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841EB5">
              <w:t>/</w:t>
            </w:r>
            <w:r>
              <w:t>Add.</w:t>
            </w:r>
            <w:r w:rsidR="009B15D0">
              <w:t>5</w:t>
            </w:r>
            <w:r>
              <w:t>/Rev.</w:t>
            </w:r>
            <w:r w:rsidR="009B15D0">
              <w:t>6</w:t>
            </w:r>
            <w:r>
              <w:t>/</w:t>
            </w:r>
            <w:r w:rsidR="00D623A7">
              <w:t>Amend.</w:t>
            </w:r>
            <w:r w:rsidR="00944148">
              <w:t>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/Add.</w:t>
            </w:r>
            <w:r w:rsidR="009B15D0">
              <w:t>5</w:t>
            </w:r>
            <w:r w:rsidR="00841EB5">
              <w:t>/Rev.</w:t>
            </w:r>
            <w:r w:rsidR="009B15D0">
              <w:t>6</w:t>
            </w:r>
            <w:r w:rsidR="00841EB5">
              <w:t>/Amend.</w:t>
            </w:r>
            <w:r w:rsidR="00944148">
              <w:t>4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7F603D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7F603D" w:rsidRDefault="003C3936" w:rsidP="003C3936">
            <w:pPr>
              <w:spacing w:before="120"/>
            </w:pPr>
          </w:p>
          <w:p w14:paraId="10DFEABE" w14:textId="77777777" w:rsidR="00D623A7" w:rsidRPr="007F603D" w:rsidRDefault="00D623A7" w:rsidP="003C3936">
            <w:pPr>
              <w:spacing w:before="120"/>
            </w:pPr>
          </w:p>
          <w:p w14:paraId="3AAF3BDD" w14:textId="3EE49F82" w:rsidR="00C84414" w:rsidRPr="007F603D" w:rsidRDefault="002A3B2D" w:rsidP="005B1A28">
            <w:pPr>
              <w:spacing w:before="120"/>
            </w:pPr>
            <w:r>
              <w:t>2</w:t>
            </w:r>
            <w:r w:rsidR="007C5466" w:rsidRPr="007F603D">
              <w:t xml:space="preserve"> November</w:t>
            </w:r>
            <w:r w:rsidR="00944148" w:rsidRPr="007F603D">
              <w:t xml:space="preserve"> </w:t>
            </w:r>
            <w:r w:rsidR="0059132C" w:rsidRPr="007F603D">
              <w:t>201</w:t>
            </w:r>
            <w:r w:rsidR="005B1A28" w:rsidRPr="007F603D">
              <w:t>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350F934E" w14:textId="507D74D8" w:rsidR="00242777" w:rsidRPr="00242777" w:rsidRDefault="00C711C7" w:rsidP="005B1A28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AE2385">
        <w:tab/>
      </w:r>
      <w:r w:rsidR="00242777" w:rsidRPr="00213492">
        <w:t>Concerning the</w:t>
      </w:r>
      <w:r w:rsidR="00242777" w:rsidRPr="00213492">
        <w:rPr>
          <w:smallCaps/>
        </w:rPr>
        <w:t xml:space="preserve"> </w:t>
      </w:r>
      <w:r w:rsidR="00242777" w:rsidRPr="00213492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242777" w:rsidRPr="00213492">
        <w:t>on the Basis of</w:t>
      </w:r>
      <w:proofErr w:type="gramEnd"/>
      <w:r w:rsidR="00242777" w:rsidRPr="00213492">
        <w:t xml:space="preserve"> these United Nations Regulations</w:t>
      </w:r>
      <w:r w:rsidR="00242777" w:rsidRPr="00213492">
        <w:footnoteReference w:customMarkFollows="1" w:id="2"/>
        <w:t>*</w:t>
      </w:r>
    </w:p>
    <w:p w14:paraId="4AB99C8D" w14:textId="16A026A3" w:rsidR="00242777" w:rsidRPr="00392A12" w:rsidRDefault="00242777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1E98CFC0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8F352D">
        <w:t>5</w:t>
      </w:r>
      <w:r>
        <w:t xml:space="preserve"> – </w:t>
      </w:r>
      <w:r w:rsidR="00D00DC3">
        <w:t xml:space="preserve">UN </w:t>
      </w:r>
      <w:r>
        <w:t>Regulation No.</w:t>
      </w:r>
      <w:r w:rsidR="00271A7F">
        <w:t xml:space="preserve"> </w:t>
      </w:r>
      <w:r w:rsidR="008F352D">
        <w:t>6</w:t>
      </w:r>
    </w:p>
    <w:p w14:paraId="4E272B2A" w14:textId="24604328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8F352D">
        <w:t>6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6B5761">
        <w:t>4</w:t>
      </w:r>
    </w:p>
    <w:p w14:paraId="4FAFC05A" w14:textId="45C0A9B8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944148">
        <w:rPr>
          <w:spacing w:val="-2"/>
        </w:rPr>
        <w:t xml:space="preserve">29 </w:t>
      </w:r>
      <w:r>
        <w:rPr>
          <w:spacing w:val="-2"/>
        </w:rPr>
        <w:t xml:space="preserve">to </w:t>
      </w:r>
      <w:r w:rsidR="0059132C">
        <w:rPr>
          <w:spacing w:val="-2"/>
        </w:rPr>
        <w:t>the</w:t>
      </w:r>
      <w:r w:rsidR="00733BC9">
        <w:rPr>
          <w:spacing w:val="-2"/>
        </w:rPr>
        <w:t xml:space="preserve"> </w:t>
      </w:r>
      <w:r w:rsidR="009B15D0">
        <w:rPr>
          <w:spacing w:val="-2"/>
        </w:rPr>
        <w:t>01 series of amendments</w:t>
      </w:r>
      <w:r w:rsidR="0064636E" w:rsidRPr="00272880">
        <w:rPr>
          <w:spacing w:val="-2"/>
        </w:rPr>
        <w:t xml:space="preserve"> – Date of entry into force: </w:t>
      </w:r>
      <w:r w:rsidR="00944148">
        <w:t xml:space="preserve">16 October </w:t>
      </w:r>
      <w:r w:rsidR="0059132C">
        <w:t>201</w:t>
      </w:r>
      <w:r w:rsidR="005B1A28">
        <w:t>8</w:t>
      </w:r>
    </w:p>
    <w:p w14:paraId="24730B39" w14:textId="75A7D832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B15D0" w:rsidRPr="009B15D0">
        <w:rPr>
          <w:lang w:val="en-US"/>
        </w:rPr>
        <w:t>Uniform provisions concerning the approval of direction indicators for power-driven vehicles and their trailers</w:t>
      </w:r>
    </w:p>
    <w:p w14:paraId="6C824AF8" w14:textId="69EF8434" w:rsidR="00B32121" w:rsidRPr="006A598F" w:rsidRDefault="00B32121" w:rsidP="00944148">
      <w:pPr>
        <w:pStyle w:val="SingleTxtG"/>
        <w:spacing w:after="0"/>
        <w:rPr>
          <w:lang w:eastAsia="en-GB"/>
        </w:rPr>
      </w:pPr>
      <w:r w:rsidRPr="00B32121">
        <w:rPr>
          <w:spacing w:val="-4"/>
          <w:lang w:eastAsia="en-GB"/>
        </w:rPr>
        <w:t xml:space="preserve">This document is meant purely as documentation tool. The authentic and legal binding text </w:t>
      </w:r>
      <w:r w:rsidR="00944148">
        <w:rPr>
          <w:spacing w:val="-4"/>
          <w:lang w:eastAsia="en-GB"/>
        </w:rPr>
        <w:t>is</w:t>
      </w:r>
      <w:r w:rsidRPr="00B32121">
        <w:rPr>
          <w:spacing w:val="-4"/>
          <w:lang w:eastAsia="en-GB"/>
        </w:rPr>
        <w:t>:</w:t>
      </w:r>
      <w:r w:rsidR="006A598F">
        <w:rPr>
          <w:lang w:eastAsia="en-GB"/>
        </w:rPr>
        <w:tab/>
      </w:r>
      <w:r>
        <w:rPr>
          <w:spacing w:val="-6"/>
          <w:lang w:eastAsia="en-GB"/>
        </w:rPr>
        <w:t>ECE/TRANS/WP.29/201</w:t>
      </w:r>
      <w:r w:rsidR="00944148">
        <w:rPr>
          <w:spacing w:val="-6"/>
          <w:lang w:eastAsia="en-GB"/>
        </w:rPr>
        <w:t>8/28</w:t>
      </w:r>
      <w:r w:rsidR="007C5466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70D6C2D7" w14:textId="77777777" w:rsidR="00D00DC3" w:rsidRDefault="000D3A4F" w:rsidP="00DA2010">
      <w:pPr>
        <w:spacing w:after="120"/>
        <w:ind w:left="1134" w:right="1134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764DFD9B" w14:textId="77777777" w:rsidR="00944148" w:rsidRPr="007E51A4" w:rsidRDefault="00D5540C" w:rsidP="00944148">
      <w:pPr>
        <w:pStyle w:val="SingleTxtG"/>
        <w:ind w:left="2268" w:hanging="1134"/>
        <w:rPr>
          <w:i/>
          <w:lang w:val="en-US"/>
        </w:rPr>
      </w:pPr>
      <w:r>
        <w:br w:type="page"/>
      </w:r>
    </w:p>
    <w:p w14:paraId="6DED6B69" w14:textId="77777777" w:rsidR="00944148" w:rsidRPr="007E51A4" w:rsidRDefault="00944148" w:rsidP="00944148">
      <w:pPr>
        <w:pStyle w:val="SingleTxtG"/>
        <w:ind w:left="2268" w:hanging="1134"/>
        <w:rPr>
          <w:lang w:val="en-US"/>
        </w:rPr>
      </w:pPr>
      <w:r w:rsidRPr="007E51A4">
        <w:rPr>
          <w:i/>
          <w:lang w:val="en-US"/>
        </w:rPr>
        <w:lastRenderedPageBreak/>
        <w:t>Paragraph 1.3.</w:t>
      </w:r>
      <w:r w:rsidRPr="00A52361">
        <w:rPr>
          <w:lang w:val="en-US"/>
        </w:rPr>
        <w:t>,</w:t>
      </w:r>
      <w:r w:rsidRPr="007E51A4">
        <w:rPr>
          <w:i/>
          <w:lang w:val="en-US"/>
        </w:rPr>
        <w:t xml:space="preserve"> </w:t>
      </w:r>
      <w:r w:rsidRPr="007E51A4">
        <w:rPr>
          <w:lang w:val="en-US"/>
        </w:rPr>
        <w:t>amend to read:</w:t>
      </w:r>
    </w:p>
    <w:p w14:paraId="483E7E59" w14:textId="77777777" w:rsidR="00944148" w:rsidRPr="007E51A4" w:rsidRDefault="00944148" w:rsidP="00944148">
      <w:pPr>
        <w:pStyle w:val="SingleTxtG"/>
        <w:ind w:left="2268" w:hanging="1134"/>
        <w:rPr>
          <w:iCs/>
          <w:lang w:val="en-US"/>
        </w:rPr>
      </w:pPr>
      <w:r w:rsidRPr="007E51A4">
        <w:rPr>
          <w:lang w:val="en-US"/>
        </w:rPr>
        <w:t>"1.3.</w:t>
      </w:r>
      <w:r w:rsidRPr="007E51A4">
        <w:rPr>
          <w:lang w:val="en-US"/>
        </w:rPr>
        <w:tab/>
        <w:t>"</w:t>
      </w:r>
      <w:r w:rsidRPr="007E51A4">
        <w:rPr>
          <w:i/>
          <w:lang w:val="en-US"/>
        </w:rPr>
        <w:t>Direction indicators of different types</w:t>
      </w:r>
      <w:r w:rsidRPr="007E51A4">
        <w:rPr>
          <w:lang w:val="en-US"/>
        </w:rPr>
        <w:t xml:space="preserve">" </w:t>
      </w:r>
      <w:r w:rsidRPr="007E51A4">
        <w:rPr>
          <w:iCs/>
          <w:lang w:val="en-US"/>
        </w:rPr>
        <w:t>means lamps which differ in such essential respects as:</w:t>
      </w:r>
    </w:p>
    <w:p w14:paraId="2082090E" w14:textId="24AFB009" w:rsidR="00944148" w:rsidRPr="007E51A4" w:rsidRDefault="00944148" w:rsidP="00944148">
      <w:pPr>
        <w:spacing w:after="120"/>
        <w:ind w:left="2835" w:right="1134" w:hanging="567"/>
        <w:jc w:val="both"/>
        <w:rPr>
          <w:iCs/>
          <w:lang w:val="en-US"/>
        </w:rPr>
      </w:pPr>
      <w:r w:rsidRPr="007E51A4">
        <w:rPr>
          <w:iCs/>
          <w:lang w:val="en-US"/>
        </w:rPr>
        <w:t>(a)</w:t>
      </w:r>
      <w:r w:rsidRPr="007E51A4">
        <w:rPr>
          <w:iCs/>
          <w:lang w:val="en-US"/>
        </w:rPr>
        <w:tab/>
      </w:r>
      <w:r w:rsidR="007C5466">
        <w:rPr>
          <w:iCs/>
          <w:lang w:val="en-US"/>
        </w:rPr>
        <w:t>T</w:t>
      </w:r>
      <w:r w:rsidR="007C5466" w:rsidRPr="007E51A4">
        <w:rPr>
          <w:iCs/>
          <w:lang w:val="en-US"/>
        </w:rPr>
        <w:t xml:space="preserve">he </w:t>
      </w:r>
      <w:r w:rsidRPr="007E51A4">
        <w:rPr>
          <w:iCs/>
          <w:lang w:val="en-US"/>
        </w:rPr>
        <w:t>trade name or mark:</w:t>
      </w:r>
    </w:p>
    <w:p w14:paraId="37A22711" w14:textId="03010764" w:rsidR="00944148" w:rsidRPr="007E51A4" w:rsidRDefault="00944148" w:rsidP="007C5466">
      <w:pPr>
        <w:spacing w:after="120"/>
        <w:ind w:left="3402" w:right="1134" w:hanging="567"/>
        <w:jc w:val="both"/>
        <w:rPr>
          <w:iCs/>
          <w:lang w:val="en-US"/>
        </w:rPr>
      </w:pPr>
      <w:r w:rsidRPr="007E51A4">
        <w:rPr>
          <w:iCs/>
          <w:lang w:val="en-US"/>
        </w:rPr>
        <w:t>(</w:t>
      </w:r>
      <w:proofErr w:type="spellStart"/>
      <w:r w:rsidRPr="007E51A4">
        <w:rPr>
          <w:iCs/>
          <w:lang w:val="en-US"/>
        </w:rPr>
        <w:t>i</w:t>
      </w:r>
      <w:proofErr w:type="spellEnd"/>
      <w:r w:rsidRPr="007E51A4">
        <w:rPr>
          <w:iCs/>
          <w:lang w:val="en-US"/>
        </w:rPr>
        <w:t>)</w:t>
      </w:r>
      <w:r w:rsidRPr="007E51A4">
        <w:rPr>
          <w:iCs/>
          <w:lang w:val="en-US"/>
        </w:rPr>
        <w:tab/>
      </w:r>
      <w:r w:rsidR="007C5466">
        <w:rPr>
          <w:iCs/>
          <w:lang w:val="en-US"/>
        </w:rPr>
        <w:t>L</w:t>
      </w:r>
      <w:r w:rsidR="007C5466" w:rsidRPr="007E51A4">
        <w:rPr>
          <w:iCs/>
          <w:lang w:val="en-US"/>
        </w:rPr>
        <w:t xml:space="preserve">amps </w:t>
      </w:r>
      <w:r w:rsidRPr="007E51A4">
        <w:rPr>
          <w:iCs/>
          <w:lang w:val="en-US"/>
        </w:rPr>
        <w:t xml:space="preserve">bearing the same trade name or mark but produced by different manufacturers </w:t>
      </w:r>
      <w:r w:rsidRPr="007E51A4">
        <w:rPr>
          <w:bCs/>
          <w:iCs/>
          <w:lang w:val="en-US"/>
        </w:rPr>
        <w:t>shall be</w:t>
      </w:r>
      <w:r w:rsidRPr="007E51A4">
        <w:rPr>
          <w:iCs/>
          <w:lang w:val="en-US"/>
        </w:rPr>
        <w:t xml:space="preserve"> considered as being of different types</w:t>
      </w:r>
      <w:r w:rsidRPr="007E51A4">
        <w:rPr>
          <w:bCs/>
          <w:iCs/>
          <w:lang w:val="en-US"/>
        </w:rPr>
        <w:t>;</w:t>
      </w:r>
    </w:p>
    <w:p w14:paraId="62C18DDE" w14:textId="64C3BE50" w:rsidR="00944148" w:rsidRPr="007E51A4" w:rsidRDefault="00944148" w:rsidP="007C5466">
      <w:pPr>
        <w:spacing w:after="120"/>
        <w:ind w:left="3402" w:right="1134" w:hanging="567"/>
        <w:jc w:val="both"/>
        <w:rPr>
          <w:iCs/>
          <w:lang w:val="en-US"/>
        </w:rPr>
      </w:pPr>
      <w:r w:rsidRPr="007E51A4">
        <w:rPr>
          <w:bCs/>
          <w:iCs/>
          <w:lang w:val="en-US"/>
        </w:rPr>
        <w:t>(ii)</w:t>
      </w:r>
      <w:r w:rsidRPr="007E51A4">
        <w:rPr>
          <w:bCs/>
          <w:iCs/>
          <w:lang w:val="en-US"/>
        </w:rPr>
        <w:tab/>
      </w:r>
      <w:r w:rsidR="007C5466">
        <w:rPr>
          <w:bCs/>
          <w:iCs/>
          <w:lang w:val="en-US"/>
        </w:rPr>
        <w:t>L</w:t>
      </w:r>
      <w:r w:rsidR="007C5466" w:rsidRPr="007E51A4">
        <w:rPr>
          <w:iCs/>
          <w:lang w:val="en-US"/>
        </w:rPr>
        <w:t xml:space="preserve">amps </w:t>
      </w:r>
      <w:r w:rsidRPr="007E51A4">
        <w:rPr>
          <w:iCs/>
          <w:lang w:val="en-US"/>
        </w:rPr>
        <w:t xml:space="preserve">produced by the same manufacturer differing only by the trade name or mark </w:t>
      </w:r>
      <w:r w:rsidRPr="007E51A4">
        <w:rPr>
          <w:bCs/>
          <w:iCs/>
          <w:lang w:val="en-US"/>
        </w:rPr>
        <w:t>shall</w:t>
      </w:r>
      <w:r w:rsidRPr="007E51A4">
        <w:rPr>
          <w:iCs/>
          <w:lang w:val="en-US"/>
        </w:rPr>
        <w:t xml:space="preserve"> be considered </w:t>
      </w:r>
      <w:r w:rsidRPr="007E51A4">
        <w:rPr>
          <w:bCs/>
          <w:iCs/>
          <w:lang w:val="en-US"/>
        </w:rPr>
        <w:t>as being</w:t>
      </w:r>
      <w:r w:rsidRPr="007E51A4">
        <w:rPr>
          <w:iCs/>
          <w:lang w:val="en-US"/>
        </w:rPr>
        <w:t xml:space="preserve"> of the same type.</w:t>
      </w:r>
    </w:p>
    <w:p w14:paraId="6E02450C" w14:textId="4468F720" w:rsidR="00B22C16" w:rsidRPr="00C55AF6" w:rsidRDefault="00944148" w:rsidP="007C5466">
      <w:pPr>
        <w:spacing w:after="120"/>
        <w:ind w:left="2835" w:right="1134" w:hanging="567"/>
        <w:jc w:val="both"/>
        <w:rPr>
          <w:rFonts w:eastAsia="SimSun"/>
          <w:bCs/>
          <w:lang w:val="en-US"/>
        </w:rPr>
      </w:pPr>
      <w:r w:rsidRPr="007E51A4">
        <w:rPr>
          <w:iCs/>
          <w:lang w:val="en-US"/>
        </w:rPr>
        <w:t>(b)</w:t>
      </w:r>
      <w:r w:rsidRPr="007E51A4">
        <w:rPr>
          <w:iCs/>
          <w:lang w:val="en-US"/>
        </w:rPr>
        <w:tab/>
      </w:r>
      <w:r w:rsidR="007C5466">
        <w:rPr>
          <w:iCs/>
          <w:lang w:val="en-US"/>
        </w:rPr>
        <w:t>T</w:t>
      </w:r>
      <w:r w:rsidR="007C5466" w:rsidRPr="007E51A4">
        <w:rPr>
          <w:iCs/>
          <w:lang w:val="en-US"/>
        </w:rPr>
        <w:t xml:space="preserve">he </w:t>
      </w:r>
      <w:r w:rsidRPr="007E51A4">
        <w:rPr>
          <w:iCs/>
          <w:lang w:val="en-US"/>
        </w:rPr>
        <w:t>characteristics …"</w:t>
      </w:r>
    </w:p>
    <w:p w14:paraId="4E70CA0F" w14:textId="259D0D29" w:rsidR="009B15D0" w:rsidRPr="00AE2385" w:rsidRDefault="00B22C16" w:rsidP="00944148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 w:rsidR="00AE2385">
        <w:rPr>
          <w:u w:val="single"/>
        </w:rPr>
        <w:tab/>
      </w:r>
    </w:p>
    <w:sectPr w:rsidR="009B15D0" w:rsidRPr="00AE2385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762E2192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D00DC3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18340EF6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00DC3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30246A64" w14:textId="77777777" w:rsidR="00242777" w:rsidRDefault="00242777" w:rsidP="00242777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00124FEE" w14:textId="77777777" w:rsidR="00242777" w:rsidRDefault="00242777" w:rsidP="00242777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9910984" w14:textId="77777777" w:rsidR="00242777" w:rsidRDefault="00242777" w:rsidP="00242777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74982E54" w:rsidR="00B701B3" w:rsidRDefault="00B701B3">
    <w:pPr>
      <w:pStyle w:val="Header"/>
    </w:pPr>
    <w:r w:rsidRPr="00D623A7">
      <w:t>E/ECE/324</w:t>
    </w:r>
    <w:r w:rsidR="0059132C">
      <w:t>/</w:t>
    </w:r>
    <w:r w:rsidRPr="00841EB5">
      <w:t>Add.</w:t>
    </w:r>
    <w:r w:rsidR="009B15D0">
      <w:t>5</w:t>
    </w:r>
    <w:r w:rsidRPr="00841EB5">
      <w:t>/Rev.</w:t>
    </w:r>
    <w:r w:rsidR="009B15D0">
      <w:t>6</w:t>
    </w:r>
    <w:r w:rsidRPr="00841EB5">
      <w:t>/Amend.</w:t>
    </w:r>
    <w:r w:rsidR="00944148">
      <w:t>4</w:t>
    </w:r>
    <w:r>
      <w:br/>
    </w:r>
    <w:r w:rsidRPr="00D623A7">
      <w:t>E/ECE/TRANS/505</w:t>
    </w:r>
    <w:r w:rsidR="0059132C">
      <w:t>/</w:t>
    </w:r>
    <w:r w:rsidRPr="00841EB5">
      <w:t>Add.</w:t>
    </w:r>
    <w:r w:rsidR="009B15D0">
      <w:t>5</w:t>
    </w:r>
    <w:r w:rsidRPr="00841EB5">
      <w:t>/Rev.</w:t>
    </w:r>
    <w:r w:rsidR="009B15D0">
      <w:t>6</w:t>
    </w:r>
    <w:r w:rsidRPr="00841EB5">
      <w:t>/Amend.</w:t>
    </w:r>
    <w:r w:rsidR="00944148">
      <w:t>4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764F8A6B" w:rsidR="00B701B3" w:rsidRDefault="00B701B3" w:rsidP="00776D12">
    <w:pPr>
      <w:pStyle w:val="Header"/>
      <w:jc w:val="right"/>
    </w:pPr>
    <w:r w:rsidRPr="00D623A7">
      <w:t>E/ECE/324/Add.</w:t>
    </w:r>
    <w:r w:rsidR="009B15D0">
      <w:t>5</w:t>
    </w:r>
    <w:r w:rsidRPr="00D623A7">
      <w:t>/Rev.</w:t>
    </w:r>
    <w:r w:rsidR="009B15D0">
      <w:t>6</w:t>
    </w:r>
    <w:r w:rsidRPr="00D623A7">
      <w:t>/Amend.</w:t>
    </w:r>
    <w:r w:rsidR="00944148">
      <w:t>4</w:t>
    </w:r>
    <w:r>
      <w:br/>
    </w:r>
    <w:r w:rsidRPr="00D623A7">
      <w:t>E/ECE/TRANS/505/Add.</w:t>
    </w:r>
    <w:r w:rsidR="009B15D0">
      <w:t>5</w:t>
    </w:r>
    <w:r w:rsidRPr="00D623A7">
      <w:t>/Rev.</w:t>
    </w:r>
    <w:r w:rsidR="009B15D0">
      <w:t>6</w:t>
    </w:r>
    <w:r w:rsidRPr="00D623A7">
      <w:t>/Amend.</w:t>
    </w:r>
    <w:r w:rsidR="00944148">
      <w:t>4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F23"/>
    <w:multiLevelType w:val="hybridMultilevel"/>
    <w:tmpl w:val="2DBCCAB6"/>
    <w:lvl w:ilvl="0" w:tplc="39DAF024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8FE517A"/>
    <w:multiLevelType w:val="hybridMultilevel"/>
    <w:tmpl w:val="C3DA2392"/>
    <w:lvl w:ilvl="0" w:tplc="70B8E44C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69C15382"/>
    <w:multiLevelType w:val="hybridMultilevel"/>
    <w:tmpl w:val="DC98418A"/>
    <w:lvl w:ilvl="0" w:tplc="169CC518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37066"/>
    <w:rsid w:val="00050F6B"/>
    <w:rsid w:val="00072C8C"/>
    <w:rsid w:val="00077C88"/>
    <w:rsid w:val="00086287"/>
    <w:rsid w:val="000931C0"/>
    <w:rsid w:val="000B175B"/>
    <w:rsid w:val="000B3A0F"/>
    <w:rsid w:val="000D3A4F"/>
    <w:rsid w:val="000E0415"/>
    <w:rsid w:val="001047A8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26EDD"/>
    <w:rsid w:val="002405A7"/>
    <w:rsid w:val="00242777"/>
    <w:rsid w:val="00271A7F"/>
    <w:rsid w:val="002A1E3A"/>
    <w:rsid w:val="002A3B2D"/>
    <w:rsid w:val="002E1ACD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82B38"/>
    <w:rsid w:val="0059132C"/>
    <w:rsid w:val="005B1A28"/>
    <w:rsid w:val="005B3DB3"/>
    <w:rsid w:val="005E1409"/>
    <w:rsid w:val="00611FC4"/>
    <w:rsid w:val="006176FB"/>
    <w:rsid w:val="00621F3B"/>
    <w:rsid w:val="00627ED0"/>
    <w:rsid w:val="006345FD"/>
    <w:rsid w:val="00640B26"/>
    <w:rsid w:val="0064636E"/>
    <w:rsid w:val="0066219C"/>
    <w:rsid w:val="00665595"/>
    <w:rsid w:val="0069341E"/>
    <w:rsid w:val="00694209"/>
    <w:rsid w:val="006A2FD1"/>
    <w:rsid w:val="006A598F"/>
    <w:rsid w:val="006A67EF"/>
    <w:rsid w:val="006A7392"/>
    <w:rsid w:val="006B5761"/>
    <w:rsid w:val="006C1BEF"/>
    <w:rsid w:val="006E564B"/>
    <w:rsid w:val="00713BD8"/>
    <w:rsid w:val="0072632A"/>
    <w:rsid w:val="00733BC9"/>
    <w:rsid w:val="00743CD6"/>
    <w:rsid w:val="00750602"/>
    <w:rsid w:val="007610A3"/>
    <w:rsid w:val="00776D12"/>
    <w:rsid w:val="007B6BA5"/>
    <w:rsid w:val="007C3390"/>
    <w:rsid w:val="007C4F4B"/>
    <w:rsid w:val="007C5466"/>
    <w:rsid w:val="007F0B83"/>
    <w:rsid w:val="007F603D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C3804"/>
    <w:rsid w:val="008E0E46"/>
    <w:rsid w:val="008F352D"/>
    <w:rsid w:val="00907AD2"/>
    <w:rsid w:val="009147ED"/>
    <w:rsid w:val="00944148"/>
    <w:rsid w:val="00963CBA"/>
    <w:rsid w:val="00974A8D"/>
    <w:rsid w:val="00991261"/>
    <w:rsid w:val="009B15D0"/>
    <w:rsid w:val="009F3A17"/>
    <w:rsid w:val="00A1427D"/>
    <w:rsid w:val="00A32B29"/>
    <w:rsid w:val="00A41529"/>
    <w:rsid w:val="00A569D6"/>
    <w:rsid w:val="00A72F22"/>
    <w:rsid w:val="00A748A6"/>
    <w:rsid w:val="00A80089"/>
    <w:rsid w:val="00A85956"/>
    <w:rsid w:val="00A879A4"/>
    <w:rsid w:val="00AE2385"/>
    <w:rsid w:val="00B22C16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E4A8F"/>
    <w:rsid w:val="00CE5E33"/>
    <w:rsid w:val="00D00DC3"/>
    <w:rsid w:val="00D2031B"/>
    <w:rsid w:val="00D25FE2"/>
    <w:rsid w:val="00D317BB"/>
    <w:rsid w:val="00D43252"/>
    <w:rsid w:val="00D5540C"/>
    <w:rsid w:val="00D623A7"/>
    <w:rsid w:val="00D6614F"/>
    <w:rsid w:val="00D978C6"/>
    <w:rsid w:val="00DA2010"/>
    <w:rsid w:val="00DA67AD"/>
    <w:rsid w:val="00DB5D0F"/>
    <w:rsid w:val="00DC3F07"/>
    <w:rsid w:val="00DD0EDE"/>
    <w:rsid w:val="00DF12F7"/>
    <w:rsid w:val="00DF3A2D"/>
    <w:rsid w:val="00E02C81"/>
    <w:rsid w:val="00E130AB"/>
    <w:rsid w:val="00E506F0"/>
    <w:rsid w:val="00E53330"/>
    <w:rsid w:val="00E7260F"/>
    <w:rsid w:val="00E87921"/>
    <w:rsid w:val="00E96630"/>
    <w:rsid w:val="00EA0ED6"/>
    <w:rsid w:val="00EA264E"/>
    <w:rsid w:val="00ED7A2A"/>
    <w:rsid w:val="00EF1D7F"/>
    <w:rsid w:val="00F53EDA"/>
    <w:rsid w:val="00F55704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9B15D0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242777"/>
    <w:rPr>
      <w:sz w:val="18"/>
      <w:lang w:eastAsia="en-US"/>
    </w:rPr>
  </w:style>
  <w:style w:type="character" w:customStyle="1" w:styleId="gt-baf-word-clickable">
    <w:name w:val="gt-baf-word-clickable"/>
    <w:basedOn w:val="DefaultParagraphFont"/>
    <w:rsid w:val="005B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34C9-BF68-4A6F-9933-A976CEF7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Secretariat</cp:lastModifiedBy>
  <cp:revision>2</cp:revision>
  <cp:lastPrinted>2015-05-06T11:39:00Z</cp:lastPrinted>
  <dcterms:created xsi:type="dcterms:W3CDTF">2018-11-05T16:21:00Z</dcterms:created>
  <dcterms:modified xsi:type="dcterms:W3CDTF">2018-11-05T16:21:00Z</dcterms:modified>
</cp:coreProperties>
</file>