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863875" w:rsidTr="00A27C92">
        <w:trPr>
          <w:trHeight w:hRule="exact" w:val="851"/>
        </w:trPr>
        <w:tc>
          <w:tcPr>
            <w:tcW w:w="9639" w:type="dxa"/>
            <w:gridSpan w:val="2"/>
            <w:tcBorders>
              <w:bottom w:val="single" w:sz="4" w:space="0" w:color="auto"/>
            </w:tcBorders>
            <w:shd w:val="clear" w:color="auto" w:fill="auto"/>
            <w:vAlign w:val="bottom"/>
          </w:tcPr>
          <w:p w:rsidR="005334E6" w:rsidRPr="00863875" w:rsidRDefault="005334E6" w:rsidP="005334E6">
            <w:pPr>
              <w:jc w:val="right"/>
              <w:rPr>
                <w:lang w:val="en-GB"/>
              </w:rPr>
            </w:pPr>
            <w:bookmarkStart w:id="0" w:name="_GoBack"/>
            <w:bookmarkEnd w:id="0"/>
            <w:r w:rsidRPr="00863875">
              <w:rPr>
                <w:sz w:val="40"/>
                <w:lang w:val="en-GB"/>
              </w:rPr>
              <w:t>E</w:t>
            </w:r>
            <w:r w:rsidRPr="00863875">
              <w:rPr>
                <w:lang w:val="en-GB"/>
              </w:rPr>
              <w:t>/ECE/324/Add.5/Rev.6/Amend.3−</w:t>
            </w:r>
            <w:r w:rsidRPr="00863875">
              <w:rPr>
                <w:sz w:val="40"/>
                <w:lang w:val="en-GB"/>
              </w:rPr>
              <w:t>E</w:t>
            </w:r>
            <w:r w:rsidRPr="00863875">
              <w:rPr>
                <w:lang w:val="en-GB"/>
              </w:rPr>
              <w:t>/ECE/TRANS/505/Add.5/Rev.6/Amend.3</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863875" w:rsidRDefault="00421A10" w:rsidP="00A27C92">
            <w:pPr>
              <w:spacing w:before="120" w:line="380" w:lineRule="exact"/>
              <w:rPr>
                <w:lang w:val="en-GB"/>
              </w:rPr>
            </w:pPr>
          </w:p>
        </w:tc>
        <w:tc>
          <w:tcPr>
            <w:tcW w:w="2835" w:type="dxa"/>
            <w:tcBorders>
              <w:top w:val="single" w:sz="4" w:space="0" w:color="auto"/>
              <w:bottom w:val="single" w:sz="12" w:space="0" w:color="auto"/>
            </w:tcBorders>
            <w:shd w:val="clear" w:color="auto" w:fill="auto"/>
          </w:tcPr>
          <w:p w:rsidR="00421A10" w:rsidRPr="00DB58B5" w:rsidRDefault="005334E6" w:rsidP="00A27C92">
            <w:pPr>
              <w:spacing w:before="480" w:line="240" w:lineRule="exact"/>
            </w:pPr>
            <w:r>
              <w:t>26 mars 2018</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 xml:space="preserve">Concernant l’adoption </w:t>
      </w:r>
      <w:r w:rsidR="00AB7481">
        <w:rPr>
          <w:lang w:val="fr-FR"/>
        </w:rPr>
        <w:t>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r w:rsidR="00AB7481" w:rsidRPr="00AB7481">
        <w:rPr>
          <w:b w:val="0"/>
          <w:sz w:val="20"/>
          <w:lang w:val="fr-FR"/>
        </w:rPr>
        <w:footnoteReference w:customMarkFollows="1" w:id="2"/>
        <w:t>*</w:t>
      </w:r>
    </w:p>
    <w:p w:rsidR="00421A10" w:rsidRPr="00A12483" w:rsidRDefault="00421A10" w:rsidP="0029791D">
      <w:pPr>
        <w:pStyle w:val="SingleTxtG"/>
        <w:jc w:val="left"/>
        <w:rPr>
          <w:b/>
          <w:sz w:val="24"/>
          <w:szCs w:val="24"/>
        </w:rPr>
      </w:pPr>
      <w:r w:rsidRPr="006549FF">
        <w:t xml:space="preserve">(Révision </w:t>
      </w:r>
      <w:r w:rsidR="00AB7481">
        <w:t>3,</w:t>
      </w:r>
      <w:r w:rsidRPr="006549FF">
        <w:t xml:space="preserve"> comprenant les amen</w:t>
      </w:r>
      <w:r>
        <w:t>dements entrés en vigueur le</w:t>
      </w:r>
      <w:r w:rsidR="00AB7481">
        <w:t xml:space="preserve"> 14 septembre 2017</w:t>
      </w:r>
      <w:r w:rsidRPr="006549FF">
        <w:t>)</w:t>
      </w:r>
    </w:p>
    <w:p w:rsidR="00421A10" w:rsidRPr="006549FF" w:rsidRDefault="0029791D" w:rsidP="0029791D">
      <w:pPr>
        <w:jc w:val="center"/>
      </w:pPr>
      <w:r>
        <w:t>_______________</w:t>
      </w:r>
    </w:p>
    <w:p w:rsidR="00421A10" w:rsidRPr="006549FF" w:rsidRDefault="0029791D" w:rsidP="00F71AFB">
      <w:pPr>
        <w:pStyle w:val="H1G"/>
        <w:spacing w:before="240"/>
      </w:pPr>
      <w:r>
        <w:tab/>
      </w:r>
      <w:r>
        <w:tab/>
      </w:r>
      <w:r w:rsidR="00421A10" w:rsidRPr="006549FF">
        <w:t xml:space="preserve">Additif </w:t>
      </w:r>
      <w:r w:rsidR="00AB7481">
        <w:t>5 −</w:t>
      </w:r>
      <w:r w:rsidR="00421A10" w:rsidRPr="006549FF">
        <w:t xml:space="preserve"> Règlement</w:t>
      </w:r>
      <w:r w:rsidR="00421A10">
        <w:t xml:space="preserve"> </w:t>
      </w:r>
      <w:r w:rsidR="00AB7481">
        <w:t xml:space="preserve">ONU </w:t>
      </w:r>
      <w:r w:rsidR="00421A10" w:rsidRPr="00B371BF">
        <w:t>n</w:t>
      </w:r>
      <w:r w:rsidR="00421A10" w:rsidRPr="00B371BF">
        <w:rPr>
          <w:vertAlign w:val="superscript"/>
        </w:rPr>
        <w:t>o</w:t>
      </w:r>
      <w:r w:rsidR="00421A10">
        <w:t> </w:t>
      </w:r>
      <w:r w:rsidR="00AB7481">
        <w:t>6</w:t>
      </w:r>
    </w:p>
    <w:p w:rsidR="00421A10" w:rsidRPr="006549FF" w:rsidRDefault="0029791D" w:rsidP="0083549B">
      <w:pPr>
        <w:pStyle w:val="H1G"/>
        <w:spacing w:before="240"/>
      </w:pPr>
      <w:r>
        <w:tab/>
      </w:r>
      <w:r>
        <w:tab/>
      </w:r>
      <w:r w:rsidR="00421A10" w:rsidRPr="006549FF">
        <w:t xml:space="preserve">Révision </w:t>
      </w:r>
      <w:r w:rsidR="00AB7481">
        <w:t>6 − Amendement 3</w:t>
      </w:r>
    </w:p>
    <w:p w:rsidR="00421A10" w:rsidRPr="0029791D" w:rsidRDefault="00AB7481" w:rsidP="00AB7481">
      <w:pPr>
        <w:pStyle w:val="SingleTxtG"/>
        <w:spacing w:after="0"/>
      </w:pPr>
      <w:r>
        <w:rPr>
          <w:lang w:val="fr-FR"/>
        </w:rPr>
        <w:t>Complément 28 à la série 01 d’amendements au Règlement − Date d’</w:t>
      </w:r>
      <w:r w:rsidR="0083549B">
        <w:rPr>
          <w:lang w:val="fr-FR"/>
        </w:rPr>
        <w:t>entrée en vigueur</w:t>
      </w:r>
      <w:r w:rsidR="00897923">
        <w:rPr>
          <w:lang w:val="fr-FR"/>
        </w:rPr>
        <w:t> :</w:t>
      </w:r>
      <w:r w:rsidR="0083549B">
        <w:rPr>
          <w:lang w:val="fr-FR"/>
        </w:rPr>
        <w:t xml:space="preserve"> 10 </w:t>
      </w:r>
      <w:r>
        <w:rPr>
          <w:lang w:val="fr-FR"/>
        </w:rPr>
        <w:t>février 2018</w:t>
      </w:r>
    </w:p>
    <w:p w:rsidR="00421A10" w:rsidRDefault="0029791D" w:rsidP="0083549B">
      <w:pPr>
        <w:pStyle w:val="H1G"/>
        <w:spacing w:before="240"/>
      </w:pPr>
      <w:r>
        <w:tab/>
      </w:r>
      <w:r>
        <w:tab/>
      </w:r>
      <w:r w:rsidR="00421A10" w:rsidRPr="007619D3">
        <w:t xml:space="preserve">Prescriptions uniformes relatives </w:t>
      </w:r>
      <w:r w:rsidR="00AB7481" w:rsidRPr="00AB7481">
        <w:rPr>
          <w:lang w:val="fr-FR"/>
        </w:rPr>
        <w:t>à l’homologation des feux indicateurs de direction pour véhicules à moteur et leurs remorques</w:t>
      </w:r>
    </w:p>
    <w:p w:rsidR="0083549B" w:rsidRDefault="00AB7481" w:rsidP="0083549B">
      <w:pPr>
        <w:pStyle w:val="SingleTxtG"/>
        <w:ind w:firstLine="567"/>
        <w:rPr>
          <w:lang w:val="fr-FR"/>
        </w:rPr>
      </w:pPr>
      <w:r>
        <w:rPr>
          <w:lang w:val="fr-FR"/>
        </w:rPr>
        <w:t>Le présent document est communiqué uniquement à titre d’information. Le texte authentique, juridiquement contraignant, est celui des documents ci-après</w:t>
      </w:r>
      <w:r w:rsidR="00897923">
        <w:rPr>
          <w:lang w:val="fr-FR"/>
        </w:rPr>
        <w:t> :</w:t>
      </w:r>
    </w:p>
    <w:p w:rsidR="00AB7481" w:rsidRPr="0083549B" w:rsidRDefault="00AB7481" w:rsidP="0083549B">
      <w:pPr>
        <w:pStyle w:val="Bullet1G"/>
        <w:rPr>
          <w:lang w:val="fr-FR"/>
        </w:rPr>
      </w:pPr>
      <w:r>
        <w:rPr>
          <w:lang w:val="fr-FR"/>
        </w:rPr>
        <w:t>ECE/TRANS/WP.29/2017/73</w:t>
      </w:r>
      <w:r w:rsidR="00897923">
        <w:rPr>
          <w:lang w:val="fr-FR"/>
        </w:rPr>
        <w:t> ;</w:t>
      </w:r>
    </w:p>
    <w:p w:rsidR="005334E6" w:rsidRDefault="0083549B" w:rsidP="0083549B">
      <w:pPr>
        <w:pStyle w:val="Bullet1G"/>
      </w:pPr>
      <w:r>
        <w:rPr>
          <w:noProof/>
          <w:lang w:eastAsia="fr-CH"/>
        </w:rPr>
        <mc:AlternateContent>
          <mc:Choice Requires="wps">
            <w:drawing>
              <wp:anchor distT="0" distB="0" distL="114300" distR="114300" simplePos="0" relativeHeight="251661824" behindDoc="0" locked="0" layoutInCell="1" allowOverlap="1" wp14:anchorId="1E7C722A" wp14:editId="273473AD">
                <wp:simplePos x="0" y="0"/>
                <wp:positionH relativeFrom="margin">
                  <wp:posOffset>0</wp:posOffset>
                </wp:positionH>
                <wp:positionV relativeFrom="margin">
                  <wp:posOffset>6373495</wp:posOffset>
                </wp:positionV>
                <wp:extent cx="6119495" cy="115189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5189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A43F303" wp14:editId="3BCE7210">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C722A" id="_x0000_t202" coordsize="21600,21600" o:spt="202" path="m,l,21600r21600,l21600,xe">
                <v:stroke joinstyle="miter"/>
                <v:path gradientshapeok="t" o:connecttype="rect"/>
              </v:shapetype>
              <v:shape id="Zone de texte 4" o:spid="_x0000_s1026" type="#_x0000_t202" style="position:absolute;left:0;text-align:left;margin-left:0;margin-top:501.85pt;width:481.85pt;height:90.7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A43F303" wp14:editId="3BCE7210">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r w:rsidR="00AB7481" w:rsidRPr="00E72F53">
        <w:rPr>
          <w:lang w:val="fr-FR"/>
        </w:rPr>
        <w:t>ECE/TRANS/WP.29/2017/74 (tel que modifié par le paragraphe 75 du rapport publié sous la cote ECE/TRANS/WP.29/1131).</w:t>
      </w:r>
    </w:p>
    <w:p w:rsidR="00404064" w:rsidRPr="004529BC" w:rsidRDefault="00404064" w:rsidP="00897923">
      <w:pPr>
        <w:pStyle w:val="SingleTxtG"/>
        <w:rPr>
          <w:lang w:val="fr-FR"/>
        </w:rPr>
      </w:pPr>
      <w:r>
        <w:br w:type="page"/>
      </w:r>
      <w:r w:rsidRPr="00897923">
        <w:rPr>
          <w:i/>
          <w:lang w:val="fr-FR"/>
        </w:rPr>
        <w:lastRenderedPageBreak/>
        <w:t>Paragraphe 1.3</w:t>
      </w:r>
      <w:r>
        <w:rPr>
          <w:lang w:val="fr-FR"/>
        </w:rPr>
        <w:t>, lire</w:t>
      </w:r>
      <w:r w:rsidR="00897923">
        <w:rPr>
          <w:lang w:val="fr-FR"/>
        </w:rPr>
        <w:t> :</w:t>
      </w:r>
    </w:p>
    <w:p w:rsidR="00404064" w:rsidRPr="004529BC" w:rsidRDefault="00404064" w:rsidP="00897923">
      <w:pPr>
        <w:pStyle w:val="SingleTxtG"/>
        <w:ind w:left="2268" w:hanging="1134"/>
        <w:rPr>
          <w:lang w:val="fr-FR"/>
        </w:rPr>
      </w:pPr>
      <w:r>
        <w:rPr>
          <w:lang w:val="fr-FR"/>
        </w:rPr>
        <w:t>« 1.</w:t>
      </w:r>
      <w:r w:rsidR="00832225">
        <w:rPr>
          <w:lang w:val="fr-FR"/>
        </w:rPr>
        <w:t>3</w:t>
      </w:r>
      <w:r>
        <w:rPr>
          <w:lang w:val="fr-FR"/>
        </w:rPr>
        <w:tab/>
        <w:t>Par “</w:t>
      </w:r>
      <w:r w:rsidRPr="00F76337">
        <w:rPr>
          <w:i/>
          <w:lang w:val="fr-FR"/>
        </w:rPr>
        <w:t>indicateurs de direction de types différents</w:t>
      </w:r>
      <w:r>
        <w:rPr>
          <w:lang w:val="fr-FR"/>
        </w:rPr>
        <w:t>”, des indicateurs qui présentent des différences essentiell</w:t>
      </w:r>
      <w:r w:rsidR="00897923">
        <w:rPr>
          <w:lang w:val="fr-FR"/>
        </w:rPr>
        <w:t>es pouvant porter notamment sur :</w:t>
      </w:r>
    </w:p>
    <w:p w:rsidR="00404064" w:rsidRPr="004529BC" w:rsidRDefault="00404064" w:rsidP="00897923">
      <w:pPr>
        <w:pStyle w:val="SingleTxtG"/>
        <w:ind w:left="2835" w:hanging="567"/>
        <w:rPr>
          <w:lang w:val="fr-FR"/>
        </w:rPr>
      </w:pPr>
      <w:r>
        <w:rPr>
          <w:lang w:val="fr-FR"/>
        </w:rPr>
        <w:t>a)</w:t>
      </w:r>
      <w:r>
        <w:rPr>
          <w:lang w:val="fr-FR"/>
        </w:rPr>
        <w:tab/>
        <w:t>La ma</w:t>
      </w:r>
      <w:r w:rsidR="00897923">
        <w:rPr>
          <w:lang w:val="fr-FR"/>
        </w:rPr>
        <w:t>rque de fabrique ou de commerce ;</w:t>
      </w:r>
    </w:p>
    <w:p w:rsidR="00404064" w:rsidRPr="004529BC" w:rsidRDefault="00404064" w:rsidP="00897923">
      <w:pPr>
        <w:pStyle w:val="SingleTxtG"/>
        <w:ind w:left="2835" w:hanging="567"/>
        <w:rPr>
          <w:lang w:val="fr-FR"/>
        </w:rPr>
      </w:pPr>
      <w:r>
        <w:rPr>
          <w:lang w:val="fr-FR"/>
        </w:rPr>
        <w:t>b)</w:t>
      </w:r>
      <w:r>
        <w:rPr>
          <w:lang w:val="fr-FR"/>
        </w:rPr>
        <w:tab/>
        <w:t>Les caractéristiques du système optique (niveaux d’intensité, angles de répartition de la lumière, catégorie de lampe à incandescence, module d’</w:t>
      </w:r>
      <w:r w:rsidR="00897923">
        <w:rPr>
          <w:lang w:val="fr-FR"/>
        </w:rPr>
        <w:t>éclairage, etc.) ;</w:t>
      </w:r>
    </w:p>
    <w:p w:rsidR="00404064" w:rsidRPr="004529BC" w:rsidRDefault="00404064" w:rsidP="00897923">
      <w:pPr>
        <w:pStyle w:val="SingleTxtG"/>
        <w:ind w:left="2835" w:hanging="567"/>
        <w:rPr>
          <w:lang w:val="fr-FR"/>
        </w:rPr>
      </w:pPr>
      <w:r>
        <w:rPr>
          <w:lang w:val="fr-FR"/>
        </w:rPr>
        <w:t>c)</w:t>
      </w:r>
      <w:r>
        <w:rPr>
          <w:lang w:val="fr-FR"/>
        </w:rPr>
        <w:tab/>
        <w:t>La catégorie des indicateurs de direction</w:t>
      </w:r>
      <w:r w:rsidR="00897923">
        <w:rPr>
          <w:lang w:val="fr-FR"/>
        </w:rPr>
        <w:t> ;</w:t>
      </w:r>
    </w:p>
    <w:p w:rsidR="00404064" w:rsidRPr="004529BC" w:rsidRDefault="00404064" w:rsidP="00897923">
      <w:pPr>
        <w:pStyle w:val="SingleTxtG"/>
        <w:ind w:left="2835" w:hanging="567"/>
        <w:rPr>
          <w:lang w:val="fr-FR"/>
        </w:rPr>
      </w:pPr>
      <w:r>
        <w:rPr>
          <w:lang w:val="fr-FR"/>
        </w:rPr>
        <w:t>d)</w:t>
      </w:r>
      <w:r>
        <w:rPr>
          <w:lang w:val="fr-FR"/>
        </w:rPr>
        <w:tab/>
        <w:t>Le régulateur d’</w:t>
      </w:r>
      <w:r w:rsidR="00897923">
        <w:rPr>
          <w:lang w:val="fr-FR"/>
        </w:rPr>
        <w:t>intensité, le cas échéant ;</w:t>
      </w:r>
    </w:p>
    <w:p w:rsidR="00404064" w:rsidRPr="004529BC" w:rsidRDefault="00404064" w:rsidP="00897923">
      <w:pPr>
        <w:pStyle w:val="SingleTxtG"/>
        <w:ind w:left="2835" w:hanging="567"/>
        <w:rPr>
          <w:lang w:val="fr-FR"/>
        </w:rPr>
      </w:pPr>
      <w:r>
        <w:rPr>
          <w:lang w:val="fr-FR"/>
        </w:rPr>
        <w:t>e)</w:t>
      </w:r>
      <w:r>
        <w:rPr>
          <w:lang w:val="fr-FR"/>
        </w:rPr>
        <w:tab/>
        <w:t>L’activation séquentielle des sources lumineuses, le cas échéant.</w:t>
      </w:r>
    </w:p>
    <w:p w:rsidR="00404064" w:rsidRPr="004529BC" w:rsidRDefault="00404064" w:rsidP="009D008C">
      <w:pPr>
        <w:pStyle w:val="SingleTxtG"/>
        <w:ind w:left="2268"/>
        <w:rPr>
          <w:lang w:val="fr-FR"/>
        </w:rPr>
      </w:pPr>
      <w:r>
        <w:rPr>
          <w:lang w:val="fr-FR"/>
        </w:rPr>
        <w:t>Toutefois, les indicateurs de direction susceptibles d’être activés dans différents modes (séquentiels ou non) sans aucune modification des caractéristiques optiques du feu ne constituent pas des “</w:t>
      </w:r>
      <w:r w:rsidRPr="00F76337">
        <w:rPr>
          <w:i/>
          <w:lang w:val="fr-FR"/>
        </w:rPr>
        <w:t>indicateurs de direction de types différents</w:t>
      </w:r>
      <w:r>
        <w:rPr>
          <w:lang w:val="fr-FR"/>
        </w:rPr>
        <w:t>”.</w:t>
      </w:r>
    </w:p>
    <w:p w:rsidR="00404064" w:rsidRPr="004529BC" w:rsidRDefault="00404064" w:rsidP="009D008C">
      <w:pPr>
        <w:pStyle w:val="SingleTxtG"/>
        <w:ind w:left="2268"/>
        <w:rPr>
          <w:lang w:val="fr-FR"/>
        </w:rPr>
      </w:pPr>
      <w:r>
        <w:rPr>
          <w:lang w:val="fr-FR"/>
        </w:rPr>
        <w:t>Une modification de la couleur d’une source lumineuse ou de la couleur d’un filtre ne constitue pas une modification du type. ».</w:t>
      </w:r>
    </w:p>
    <w:p w:rsidR="00404064" w:rsidRPr="004529BC" w:rsidRDefault="00404064" w:rsidP="009D008C">
      <w:pPr>
        <w:pStyle w:val="SingleTxtG"/>
        <w:rPr>
          <w:lang w:val="fr-FR"/>
        </w:rPr>
      </w:pPr>
      <w:r w:rsidRPr="009D008C">
        <w:rPr>
          <w:i/>
          <w:lang w:val="fr-FR"/>
        </w:rPr>
        <w:t>Paragraphe 5.5.1</w:t>
      </w:r>
      <w:r w:rsidR="009D008C">
        <w:rPr>
          <w:lang w:val="fr-FR"/>
        </w:rPr>
        <w:t>, lire</w:t>
      </w:r>
      <w:r w:rsidR="00897923">
        <w:rPr>
          <w:lang w:val="fr-FR"/>
        </w:rPr>
        <w:t> :</w:t>
      </w:r>
    </w:p>
    <w:p w:rsidR="00404064" w:rsidRPr="004529BC" w:rsidRDefault="00404064" w:rsidP="009D008C">
      <w:pPr>
        <w:pStyle w:val="SingleTxtG"/>
        <w:ind w:left="2268" w:hanging="1134"/>
        <w:rPr>
          <w:lang w:val="fr-FR"/>
        </w:rPr>
      </w:pPr>
      <w:r>
        <w:rPr>
          <w:lang w:val="fr-FR"/>
        </w:rPr>
        <w:t>« 5.5.1</w:t>
      </w:r>
      <w:r>
        <w:rPr>
          <w:lang w:val="fr-FR"/>
        </w:rPr>
        <w:tab/>
      </w:r>
      <w:r w:rsidRPr="00F76337">
        <w:rPr>
          <w:lang w:val="fr-FR"/>
        </w:rPr>
        <w:t>Le dispositif doit être équipé exclusivement d</w:t>
      </w:r>
      <w:r>
        <w:rPr>
          <w:lang w:val="fr-FR"/>
        </w:rPr>
        <w:t>’</w:t>
      </w:r>
      <w:r w:rsidRPr="00F76337">
        <w:rPr>
          <w:lang w:val="fr-FR"/>
        </w:rPr>
        <w:t xml:space="preserve">une ou de plusieurs sources lumineuses homologuées en application du Règlement </w:t>
      </w:r>
      <w:r>
        <w:rPr>
          <w:lang w:val="fr-FR"/>
        </w:rPr>
        <w:t xml:space="preserve">ONU </w:t>
      </w:r>
      <w:r w:rsidR="009D008C" w:rsidRPr="009D008C">
        <w:rPr>
          <w:rFonts w:eastAsia="MS Mincho"/>
          <w:lang w:val="fr-FR"/>
        </w:rPr>
        <w:t>n</w:t>
      </w:r>
      <w:r w:rsidR="009D008C" w:rsidRPr="009D008C">
        <w:rPr>
          <w:rFonts w:eastAsia="MS Mincho"/>
          <w:vertAlign w:val="superscript"/>
          <w:lang w:val="fr-FR"/>
        </w:rPr>
        <w:t>o</w:t>
      </w:r>
      <w:r w:rsidR="009D008C">
        <w:rPr>
          <w:lang w:val="fr-FR"/>
        </w:rPr>
        <w:t> </w:t>
      </w:r>
      <w:r w:rsidRPr="00F76337">
        <w:rPr>
          <w:lang w:val="fr-FR"/>
        </w:rPr>
        <w:t xml:space="preserve">37 et/ou du Règlement </w:t>
      </w:r>
      <w:r>
        <w:rPr>
          <w:lang w:val="fr-FR"/>
        </w:rPr>
        <w:t xml:space="preserve">ONU </w:t>
      </w:r>
      <w:r w:rsidR="009D008C" w:rsidRPr="009D008C">
        <w:rPr>
          <w:rFonts w:eastAsia="MS Mincho"/>
          <w:lang w:val="fr-FR"/>
        </w:rPr>
        <w:t>n</w:t>
      </w:r>
      <w:r w:rsidR="009D008C" w:rsidRPr="009D008C">
        <w:rPr>
          <w:rFonts w:eastAsia="MS Mincho"/>
          <w:vertAlign w:val="superscript"/>
          <w:lang w:val="fr-FR"/>
        </w:rPr>
        <w:t>o</w:t>
      </w:r>
      <w:r w:rsidR="009D008C" w:rsidRPr="009D008C">
        <w:t> </w:t>
      </w:r>
      <w:r w:rsidRPr="00F76337">
        <w:rPr>
          <w:lang w:val="fr-FR"/>
        </w:rPr>
        <w:t>128, à condition qu</w:t>
      </w:r>
      <w:r>
        <w:rPr>
          <w:lang w:val="fr-FR"/>
        </w:rPr>
        <w:t>’</w:t>
      </w:r>
      <w:r w:rsidRPr="00F76337">
        <w:rPr>
          <w:lang w:val="fr-FR"/>
        </w:rPr>
        <w:t>aucune restriction d</w:t>
      </w:r>
      <w:r>
        <w:rPr>
          <w:lang w:val="fr-FR"/>
        </w:rPr>
        <w:t>’</w:t>
      </w:r>
      <w:r w:rsidRPr="00F76337">
        <w:rPr>
          <w:lang w:val="fr-FR"/>
        </w:rPr>
        <w:t xml:space="preserve">utilisation ne soit indiquée dans les Règlements </w:t>
      </w:r>
      <w:r>
        <w:rPr>
          <w:lang w:val="fr-FR"/>
        </w:rPr>
        <w:t xml:space="preserve">ONU </w:t>
      </w:r>
      <w:r w:rsidR="009D008C" w:rsidRPr="009D008C">
        <w:rPr>
          <w:rFonts w:eastAsia="MS Mincho"/>
          <w:lang w:val="fr-FR"/>
        </w:rPr>
        <w:t>n</w:t>
      </w:r>
      <w:r w:rsidR="009D008C" w:rsidRPr="009D008C">
        <w:rPr>
          <w:rFonts w:eastAsia="MS Mincho"/>
          <w:vertAlign w:val="superscript"/>
          <w:lang w:val="fr-FR"/>
        </w:rPr>
        <w:t>o</w:t>
      </w:r>
      <w:r w:rsidR="009D008C">
        <w:rPr>
          <w:lang w:val="fr-FR"/>
        </w:rPr>
        <w:t> </w:t>
      </w:r>
      <w:r w:rsidRPr="00F76337">
        <w:rPr>
          <w:lang w:val="fr-FR"/>
        </w:rPr>
        <w:t xml:space="preserve">37 et </w:t>
      </w:r>
      <w:r w:rsidR="009D008C" w:rsidRPr="009D008C">
        <w:rPr>
          <w:rFonts w:eastAsia="MS Mincho"/>
          <w:lang w:val="fr-FR"/>
        </w:rPr>
        <w:t>n</w:t>
      </w:r>
      <w:r w:rsidR="009D008C" w:rsidRPr="009D008C">
        <w:rPr>
          <w:rFonts w:eastAsia="MS Mincho"/>
          <w:vertAlign w:val="superscript"/>
          <w:lang w:val="fr-FR"/>
        </w:rPr>
        <w:t>o</w:t>
      </w:r>
      <w:r w:rsidR="009D008C">
        <w:rPr>
          <w:lang w:val="fr-FR"/>
        </w:rPr>
        <w:t> </w:t>
      </w:r>
      <w:r w:rsidRPr="00F76337">
        <w:rPr>
          <w:lang w:val="fr-FR"/>
        </w:rPr>
        <w:t>128 et leurs séries respectives d</w:t>
      </w:r>
      <w:r>
        <w:rPr>
          <w:lang w:val="fr-FR"/>
        </w:rPr>
        <w:t>’</w:t>
      </w:r>
      <w:r w:rsidRPr="00F76337">
        <w:rPr>
          <w:lang w:val="fr-FR"/>
        </w:rPr>
        <w:t xml:space="preserve">amendements en vigueur au moment de la </w:t>
      </w:r>
      <w:r>
        <w:rPr>
          <w:lang w:val="fr-FR"/>
        </w:rPr>
        <w:t>demande d’homologation de type.</w:t>
      </w:r>
      <w:r w:rsidR="009D008C">
        <w:rPr>
          <w:lang w:val="fr-FR"/>
        </w:rPr>
        <w:t> </w:t>
      </w:r>
      <w:r w:rsidRPr="00F76337">
        <w:rPr>
          <w:lang w:val="fr-FR"/>
        </w:rPr>
        <w:t>».</w:t>
      </w:r>
    </w:p>
    <w:p w:rsidR="00404064" w:rsidRPr="009D008C" w:rsidRDefault="00404064" w:rsidP="009D008C">
      <w:pPr>
        <w:pStyle w:val="SingleTxtG"/>
      </w:pPr>
      <w:r w:rsidRPr="009D008C">
        <w:rPr>
          <w:i/>
          <w:lang w:val="fr-FR"/>
        </w:rPr>
        <w:t>Paragraphe 5.6</w:t>
      </w:r>
      <w:r>
        <w:rPr>
          <w:lang w:val="fr-FR"/>
        </w:rPr>
        <w:t>, lire</w:t>
      </w:r>
      <w:r w:rsidR="00897923">
        <w:rPr>
          <w:lang w:val="fr-FR"/>
        </w:rPr>
        <w:t> :</w:t>
      </w:r>
    </w:p>
    <w:p w:rsidR="00404064" w:rsidRPr="004529BC" w:rsidRDefault="00404064" w:rsidP="00AB20D0">
      <w:pPr>
        <w:pStyle w:val="SingleTxtG"/>
        <w:ind w:left="2268" w:hanging="1134"/>
        <w:rPr>
          <w:rFonts w:eastAsia="SimSun"/>
          <w:bCs/>
          <w:lang w:val="fr-FR"/>
        </w:rPr>
      </w:pPr>
      <w:r>
        <w:rPr>
          <w:lang w:val="fr-FR"/>
        </w:rPr>
        <w:t>« 5.6</w:t>
      </w:r>
      <w:r>
        <w:rPr>
          <w:lang w:val="fr-FR"/>
        </w:rPr>
        <w:tab/>
        <w:t>Le clignotement des feux indicateurs de direction des catégories 1, 1a, 1b, 2a ou 2b peut être produit par activation séquentielle de leurs sources lumineuses si les con</w:t>
      </w:r>
      <w:r w:rsidR="00AB20D0">
        <w:rPr>
          <w:lang w:val="fr-FR"/>
        </w:rPr>
        <w:t>ditions suivantes sont remplies</w:t>
      </w:r>
      <w:r w:rsidR="00897923">
        <w:rPr>
          <w:lang w:val="fr-FR"/>
        </w:rPr>
        <w:t> :</w:t>
      </w:r>
    </w:p>
    <w:p w:rsidR="00404064" w:rsidRPr="004529BC" w:rsidRDefault="00404064" w:rsidP="00AB20D0">
      <w:pPr>
        <w:pStyle w:val="SingleTxtG"/>
        <w:ind w:left="2835" w:hanging="567"/>
        <w:rPr>
          <w:rFonts w:eastAsia="SimSun"/>
          <w:bCs/>
          <w:lang w:val="fr-FR"/>
        </w:rPr>
      </w:pPr>
      <w:r>
        <w:rPr>
          <w:lang w:val="fr-FR"/>
        </w:rPr>
        <w:t>a)</w:t>
      </w:r>
      <w:r>
        <w:rPr>
          <w:lang w:val="fr-FR"/>
        </w:rPr>
        <w:tab/>
        <w:t>Chaque source lumineuse, après activation, doit rester allumée jusqu’</w:t>
      </w:r>
      <w:r w:rsidR="00AB20D0">
        <w:rPr>
          <w:lang w:val="fr-FR"/>
        </w:rPr>
        <w:t>à la fin du cycle “marche”</w:t>
      </w:r>
      <w:r w:rsidR="00897923">
        <w:rPr>
          <w:lang w:val="fr-FR"/>
        </w:rPr>
        <w:t> ;</w:t>
      </w:r>
    </w:p>
    <w:p w:rsidR="00404064" w:rsidRPr="004529BC" w:rsidRDefault="00404064" w:rsidP="00AB20D0">
      <w:pPr>
        <w:pStyle w:val="SingleTxtG"/>
        <w:ind w:left="2835" w:hanging="567"/>
        <w:rPr>
          <w:lang w:val="fr-FR"/>
        </w:rPr>
      </w:pPr>
      <w:r>
        <w:rPr>
          <w:lang w:val="fr-FR"/>
        </w:rPr>
        <w:t>b)</w:t>
      </w:r>
      <w:r>
        <w:rPr>
          <w:lang w:val="fr-FR"/>
        </w:rPr>
        <w:tab/>
        <w:t xml:space="preserve">La séquence d’activation des sources lumineuses doit produire un signal progressif allant du bord intérieur vers le bord extérieur de la </w:t>
      </w:r>
      <w:r w:rsidR="00AB20D0">
        <w:rPr>
          <w:lang w:val="fr-FR"/>
        </w:rPr>
        <w:t>surface de sortie de la lumière</w:t>
      </w:r>
      <w:r w:rsidR="00897923">
        <w:rPr>
          <w:lang w:val="fr-FR"/>
        </w:rPr>
        <w:t> ;</w:t>
      </w:r>
    </w:p>
    <w:p w:rsidR="00404064" w:rsidRPr="004529BC" w:rsidRDefault="00404064" w:rsidP="00AB20D0">
      <w:pPr>
        <w:pStyle w:val="SingleTxtG"/>
        <w:ind w:left="2835" w:hanging="567"/>
        <w:rPr>
          <w:lang w:val="fr-FR"/>
        </w:rPr>
      </w:pPr>
      <w:r>
        <w:rPr>
          <w:lang w:val="fr-FR"/>
        </w:rPr>
        <w:t>c)</w:t>
      </w:r>
      <w:r>
        <w:rPr>
          <w:lang w:val="fr-FR"/>
        </w:rPr>
        <w:tab/>
        <w:t>Le signal produit doit être continu et sans oscillations verticales (c’</w:t>
      </w:r>
      <w:r w:rsidR="00A357AC">
        <w:rPr>
          <w:lang w:val="fr-FR"/>
        </w:rPr>
        <w:t>est</w:t>
      </w:r>
      <w:r w:rsidR="00A357AC">
        <w:rPr>
          <w:lang w:val="fr-FR"/>
        </w:rPr>
        <w:noBreakHyphen/>
      </w:r>
      <w:r>
        <w:rPr>
          <w:lang w:val="fr-FR"/>
        </w:rPr>
        <w:t>à-dire pas plus d’un changement de direction le long de l’axe vertical). La distance entre deux parties adjacentes ou tangentes mais distinctes de la surface de sortie de la lumière de l’indicateur de direction séq</w:t>
      </w:r>
      <w:r w:rsidR="00AB20D0">
        <w:rPr>
          <w:lang w:val="fr-FR"/>
        </w:rPr>
        <w:t>uentiel ne doit pas dépasser 50 </w:t>
      </w:r>
      <w:r>
        <w:rPr>
          <w:lang w:val="fr-FR"/>
        </w:rPr>
        <w:t xml:space="preserve">mm lorsqu’elle est mesurée perpendiculairement à l’axe de référence, au lieu des valeurs définies au paragraphe 5.7.2 du Règlement ONU </w:t>
      </w:r>
      <w:r w:rsidR="00AB20D0" w:rsidRPr="00AB20D0">
        <w:rPr>
          <w:rFonts w:eastAsia="MS Mincho"/>
          <w:lang w:val="fr-FR"/>
        </w:rPr>
        <w:t>n</w:t>
      </w:r>
      <w:r w:rsidR="00AB20D0" w:rsidRPr="00AB20D0">
        <w:rPr>
          <w:rFonts w:eastAsia="MS Mincho"/>
          <w:vertAlign w:val="superscript"/>
          <w:lang w:val="fr-FR"/>
        </w:rPr>
        <w:t>o</w:t>
      </w:r>
      <w:r w:rsidR="00AB20D0">
        <w:rPr>
          <w:lang w:val="fr-FR"/>
        </w:rPr>
        <w:t> </w:t>
      </w:r>
      <w:r>
        <w:rPr>
          <w:lang w:val="fr-FR"/>
        </w:rPr>
        <w:t xml:space="preserve">48. Ces </w:t>
      </w:r>
      <w:proofErr w:type="gramStart"/>
      <w:r>
        <w:rPr>
          <w:lang w:val="fr-FR"/>
        </w:rPr>
        <w:t>interruptions</w:t>
      </w:r>
      <w:proofErr w:type="gramEnd"/>
      <w:r>
        <w:rPr>
          <w:lang w:val="fr-FR"/>
        </w:rPr>
        <w:t xml:space="preserve"> du signal ne doivent pas créer de chevauchement dans l’axe vertical entre les différentes parties, de l’intérieur vers l’extérieur du véhicule, ni être utilisées pour toute autre fonction d’</w:t>
      </w:r>
      <w:r w:rsidR="00AB20D0">
        <w:rPr>
          <w:lang w:val="fr-FR"/>
        </w:rPr>
        <w:t>éclairage ou de signalisation</w:t>
      </w:r>
      <w:r w:rsidR="00897923">
        <w:rPr>
          <w:lang w:val="fr-FR"/>
        </w:rPr>
        <w:t> ;</w:t>
      </w:r>
    </w:p>
    <w:p w:rsidR="00404064" w:rsidRPr="004529BC" w:rsidRDefault="00404064" w:rsidP="00AB20D0">
      <w:pPr>
        <w:pStyle w:val="SingleTxtG"/>
        <w:ind w:left="2835" w:hanging="567"/>
        <w:rPr>
          <w:lang w:val="fr-FR"/>
        </w:rPr>
      </w:pPr>
      <w:r>
        <w:rPr>
          <w:lang w:val="fr-FR"/>
        </w:rPr>
        <w:t>d)</w:t>
      </w:r>
      <w:r>
        <w:rPr>
          <w:lang w:val="fr-FR"/>
        </w:rPr>
        <w:tab/>
        <w:t>La variation do</w:t>
      </w:r>
      <w:r w:rsidR="00AB20D0">
        <w:rPr>
          <w:lang w:val="fr-FR"/>
        </w:rPr>
        <w:t>it prendre fin au plus tard 200 </w:t>
      </w:r>
      <w:r>
        <w:rPr>
          <w:lang w:val="fr-FR"/>
        </w:rPr>
        <w:t>ms après le déb</w:t>
      </w:r>
      <w:r w:rsidR="00AB20D0">
        <w:rPr>
          <w:lang w:val="fr-FR"/>
        </w:rPr>
        <w:t>ut du cycle “marche”</w:t>
      </w:r>
      <w:r w:rsidR="00897923">
        <w:rPr>
          <w:lang w:val="fr-FR"/>
        </w:rPr>
        <w:t> ;</w:t>
      </w:r>
    </w:p>
    <w:p w:rsidR="00404064" w:rsidRPr="004529BC" w:rsidRDefault="00404064" w:rsidP="00AB20D0">
      <w:pPr>
        <w:pStyle w:val="SingleTxtG"/>
        <w:ind w:left="2835" w:hanging="567"/>
        <w:rPr>
          <w:lang w:val="fr-FR"/>
        </w:rPr>
      </w:pPr>
      <w:r>
        <w:rPr>
          <w:lang w:val="fr-FR"/>
        </w:rPr>
        <w:t>e)</w:t>
      </w:r>
      <w:r>
        <w:rPr>
          <w:lang w:val="fr-FR"/>
        </w:rPr>
        <w:tab/>
        <w:t>La projection orthogonale de la surface de sortie de la lumière du feu indicateur de direction dans la direction de l’axe de référence doit être circonscrite à un rectangle inscrit dans un plan perpendiculaire à l’axe de référence et dont les grands côtés sont parallèles au plan H, le rapport entre le côté horizontal et le côté vertical ne devant pas être inférieur à 1,7.</w:t>
      </w:r>
    </w:p>
    <w:p w:rsidR="00404064" w:rsidRPr="004529BC" w:rsidRDefault="00404064" w:rsidP="00AB20D0">
      <w:pPr>
        <w:pStyle w:val="SingleTxtG"/>
        <w:ind w:left="2268"/>
        <w:rPr>
          <w:rFonts w:eastAsia="SimSun"/>
          <w:bCs/>
          <w:lang w:val="fr-FR"/>
        </w:rPr>
      </w:pPr>
      <w:r>
        <w:rPr>
          <w:lang w:val="fr-FR"/>
        </w:rPr>
        <w:lastRenderedPageBreak/>
        <w:t>Il faut vérifier en mode clignotant si les conditions susmentionnées sont remplies. ».</w:t>
      </w:r>
    </w:p>
    <w:p w:rsidR="00404064" w:rsidRPr="00404064" w:rsidRDefault="00404064" w:rsidP="00404064">
      <w:pPr>
        <w:pStyle w:val="SingleTxtG"/>
      </w:pPr>
      <w:r w:rsidRPr="00404064">
        <w:rPr>
          <w:i/>
          <w:lang w:val="fr-FR"/>
        </w:rPr>
        <w:t>Ajouter de nouveaux paragraphes 14.15 à 14.17</w:t>
      </w:r>
      <w:r>
        <w:rPr>
          <w:lang w:val="fr-FR"/>
        </w:rPr>
        <w:t>, libellés comme suit</w:t>
      </w:r>
      <w:r w:rsidR="00897923">
        <w:rPr>
          <w:lang w:val="fr-FR"/>
        </w:rPr>
        <w:t> :</w:t>
      </w:r>
    </w:p>
    <w:p w:rsidR="00404064" w:rsidRPr="004529BC" w:rsidRDefault="00404064" w:rsidP="00404064">
      <w:pPr>
        <w:pStyle w:val="SingleTxtG"/>
        <w:ind w:left="2268" w:hanging="1134"/>
        <w:rPr>
          <w:rFonts w:eastAsia="SimSun"/>
          <w:bCs/>
          <w:lang w:val="fr-FR"/>
        </w:rPr>
      </w:pPr>
      <w:r>
        <w:rPr>
          <w:lang w:val="fr-FR"/>
        </w:rPr>
        <w:t>« 14.15</w:t>
      </w:r>
      <w:r>
        <w:rPr>
          <w:lang w:val="fr-FR"/>
        </w:rPr>
        <w:tab/>
        <w:t>À compter de la date officielle d’entrée en vigueur du complément 28 à la série 01 d’amendements, aucune Partie contractante appliquant le présent Règlement ne pourra refuser d’accorder une homologation de type en vertu du présent Règlement tel que modifié par ce complément.</w:t>
      </w:r>
    </w:p>
    <w:p w:rsidR="00404064" w:rsidRPr="00006FF3" w:rsidRDefault="00404064" w:rsidP="00404064">
      <w:pPr>
        <w:pStyle w:val="SingleTxtG"/>
        <w:ind w:left="2268" w:hanging="1134"/>
        <w:rPr>
          <w:rFonts w:eastAsia="SimSun"/>
          <w:bCs/>
          <w:spacing w:val="-2"/>
          <w:lang w:val="fr-FR"/>
        </w:rPr>
      </w:pPr>
      <w:r w:rsidRPr="00006FF3">
        <w:rPr>
          <w:spacing w:val="-2"/>
          <w:lang w:val="fr-FR"/>
        </w:rPr>
        <w:t>14.16</w:t>
      </w:r>
      <w:r w:rsidRPr="00006FF3">
        <w:rPr>
          <w:spacing w:val="-2"/>
          <w:lang w:val="fr-FR"/>
        </w:rPr>
        <w:tab/>
      </w:r>
      <w:r w:rsidRPr="00006FF3">
        <w:rPr>
          <w:spacing w:val="-2"/>
          <w:lang w:val="fr-FR"/>
        </w:rPr>
        <w:tab/>
        <w:t>À compter du 1</w:t>
      </w:r>
      <w:r w:rsidRPr="00006FF3">
        <w:rPr>
          <w:spacing w:val="-2"/>
          <w:vertAlign w:val="superscript"/>
          <w:lang w:val="fr-FR"/>
        </w:rPr>
        <w:t>er</w:t>
      </w:r>
      <w:r w:rsidRPr="00006FF3">
        <w:rPr>
          <w:spacing w:val="-2"/>
          <w:lang w:val="fr-FR"/>
        </w:rPr>
        <w:t> septembre 2018, les Parties contractantes appliquant le présent Règlement ne pourront accorder d’homologation que si le type d’indicateur de direction à homologuer satisfait aux prescriptions dudit Règlement tel que modifié par le complément 28 à la série 01 d’amendements.</w:t>
      </w:r>
    </w:p>
    <w:p w:rsidR="00404064" w:rsidRPr="004529BC" w:rsidRDefault="00404064" w:rsidP="00404064">
      <w:pPr>
        <w:pStyle w:val="SingleTxtG"/>
        <w:ind w:left="2268" w:hanging="1134"/>
        <w:rPr>
          <w:rFonts w:eastAsia="SimSun"/>
          <w:bCs/>
          <w:lang w:val="fr-FR"/>
        </w:rPr>
      </w:pPr>
      <w:r>
        <w:rPr>
          <w:lang w:val="fr-FR"/>
        </w:rPr>
        <w:t>14.17</w:t>
      </w:r>
      <w:r>
        <w:rPr>
          <w:lang w:val="fr-FR"/>
        </w:rPr>
        <w:tab/>
      </w:r>
      <w:r>
        <w:rPr>
          <w:lang w:val="fr-FR"/>
        </w:rPr>
        <w:tab/>
        <w:t>Les Parties contractantes appliquant le présent Règlement ne pourront refuser d’accorder des extensions pour les homologations accordées avant la date d’entrée en vigueur du complément 28 à la série 01 d’amendements audit Règlement. ».</w:t>
      </w:r>
    </w:p>
    <w:p w:rsidR="005F0207" w:rsidRPr="00404064" w:rsidRDefault="00404064" w:rsidP="00404064">
      <w:pPr>
        <w:pStyle w:val="SingleTxtG"/>
        <w:spacing w:before="240" w:after="0"/>
        <w:jc w:val="center"/>
        <w:rPr>
          <w:u w:val="single"/>
        </w:rPr>
      </w:pPr>
      <w:r>
        <w:rPr>
          <w:u w:val="single"/>
        </w:rPr>
        <w:tab/>
      </w:r>
      <w:r>
        <w:rPr>
          <w:u w:val="single"/>
        </w:rPr>
        <w:tab/>
      </w:r>
      <w:r>
        <w:rPr>
          <w:u w:val="single"/>
        </w:rPr>
        <w:tab/>
      </w:r>
    </w:p>
    <w:sectPr w:rsidR="005F0207" w:rsidRPr="00404064" w:rsidSect="005334E6">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ABF" w:rsidRDefault="00D20ABF"/>
  </w:endnote>
  <w:endnote w:type="continuationSeparator" w:id="0">
    <w:p w:rsidR="00D20ABF" w:rsidRDefault="00D20ABF">
      <w:pPr>
        <w:pStyle w:val="Footer"/>
      </w:pPr>
    </w:p>
  </w:endnote>
  <w:endnote w:type="continuationNotice" w:id="1">
    <w:p w:rsidR="00D20ABF" w:rsidRPr="00C451B9" w:rsidRDefault="00D20ABF"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4E6" w:rsidRPr="005334E6" w:rsidRDefault="005334E6" w:rsidP="005334E6">
    <w:pPr>
      <w:pStyle w:val="Footer"/>
      <w:tabs>
        <w:tab w:val="right" w:pos="9638"/>
      </w:tabs>
    </w:pPr>
    <w:r w:rsidRPr="005334E6">
      <w:rPr>
        <w:b/>
        <w:sz w:val="18"/>
      </w:rPr>
      <w:fldChar w:fldCharType="begin"/>
    </w:r>
    <w:r w:rsidRPr="005334E6">
      <w:rPr>
        <w:b/>
        <w:sz w:val="18"/>
      </w:rPr>
      <w:instrText xml:space="preserve"> PAGE  \* MERGEFORMAT </w:instrText>
    </w:r>
    <w:r w:rsidRPr="005334E6">
      <w:rPr>
        <w:b/>
        <w:sz w:val="18"/>
      </w:rPr>
      <w:fldChar w:fldCharType="separate"/>
    </w:r>
    <w:r w:rsidR="000E11BA">
      <w:rPr>
        <w:b/>
        <w:noProof/>
        <w:sz w:val="18"/>
      </w:rPr>
      <w:t>2</w:t>
    </w:r>
    <w:r w:rsidRPr="005334E6">
      <w:rPr>
        <w:b/>
        <w:sz w:val="18"/>
      </w:rPr>
      <w:fldChar w:fldCharType="end"/>
    </w:r>
    <w:r>
      <w:rPr>
        <w:b/>
        <w:sz w:val="18"/>
      </w:rPr>
      <w:tab/>
    </w:r>
    <w:r>
      <w:t>GE.18-04694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4E6" w:rsidRPr="005334E6" w:rsidRDefault="005334E6" w:rsidP="005334E6">
    <w:pPr>
      <w:pStyle w:val="Footer"/>
      <w:tabs>
        <w:tab w:val="right" w:pos="9638"/>
      </w:tabs>
      <w:rPr>
        <w:b/>
        <w:sz w:val="18"/>
      </w:rPr>
    </w:pPr>
    <w:r>
      <w:t>GE.18-04694</w:t>
    </w:r>
    <w:r>
      <w:tab/>
    </w:r>
    <w:r w:rsidRPr="005334E6">
      <w:rPr>
        <w:b/>
        <w:sz w:val="18"/>
      </w:rPr>
      <w:fldChar w:fldCharType="begin"/>
    </w:r>
    <w:r w:rsidRPr="005334E6">
      <w:rPr>
        <w:b/>
        <w:sz w:val="18"/>
      </w:rPr>
      <w:instrText xml:space="preserve"> PAGE  \* MERGEFORMAT </w:instrText>
    </w:r>
    <w:r w:rsidRPr="005334E6">
      <w:rPr>
        <w:b/>
        <w:sz w:val="18"/>
      </w:rPr>
      <w:fldChar w:fldCharType="separate"/>
    </w:r>
    <w:r w:rsidR="00EB4639">
      <w:rPr>
        <w:b/>
        <w:noProof/>
        <w:sz w:val="18"/>
      </w:rPr>
      <w:t>3</w:t>
    </w:r>
    <w:r w:rsidRPr="005334E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F2C" w:rsidRPr="005334E6" w:rsidRDefault="005334E6" w:rsidP="005334E6">
    <w:pPr>
      <w:pStyle w:val="Footer"/>
      <w:spacing w:before="120"/>
      <w:rPr>
        <w:sz w:val="20"/>
      </w:rPr>
    </w:pPr>
    <w:r>
      <w:rPr>
        <w:sz w:val="20"/>
      </w:rPr>
      <w:t>GE.</w:t>
    </w:r>
    <w:r w:rsidR="00467F2C">
      <w:rPr>
        <w:noProof/>
        <w:lang w:eastAsia="fr-CH"/>
      </w:rPr>
      <w:drawing>
        <wp:anchor distT="0" distB="0" distL="114300" distR="114300" simplePos="0" relativeHeight="251657216"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04694  (</w:t>
    </w:r>
    <w:proofErr w:type="gramEnd"/>
    <w:r>
      <w:rPr>
        <w:sz w:val="20"/>
      </w:rPr>
      <w:t>F)</w:t>
    </w:r>
    <w:r w:rsidR="005130AD">
      <w:rPr>
        <w:sz w:val="20"/>
      </w:rPr>
      <w:t xml:space="preserve">    075018    250518</w:t>
    </w:r>
    <w:r>
      <w:rPr>
        <w:sz w:val="20"/>
      </w:rPr>
      <w:br/>
    </w:r>
    <w:r w:rsidRPr="005334E6">
      <w:rPr>
        <w:rFonts w:ascii="C39T30Lfz" w:hAnsi="C39T30Lfz"/>
        <w:sz w:val="56"/>
      </w:rPr>
      <w:t></w:t>
    </w:r>
    <w:r w:rsidRPr="005334E6">
      <w:rPr>
        <w:rFonts w:ascii="C39T30Lfz" w:hAnsi="C39T30Lfz"/>
        <w:sz w:val="56"/>
      </w:rPr>
      <w:t></w:t>
    </w:r>
    <w:r w:rsidRPr="005334E6">
      <w:rPr>
        <w:rFonts w:ascii="C39T30Lfz" w:hAnsi="C39T30Lfz"/>
        <w:sz w:val="56"/>
      </w:rPr>
      <w:t></w:t>
    </w:r>
    <w:r w:rsidRPr="005334E6">
      <w:rPr>
        <w:rFonts w:ascii="C39T30Lfz" w:hAnsi="C39T30Lfz"/>
        <w:sz w:val="56"/>
      </w:rPr>
      <w:t></w:t>
    </w:r>
    <w:r w:rsidRPr="005334E6">
      <w:rPr>
        <w:rFonts w:ascii="C39T30Lfz" w:hAnsi="C39T30Lfz"/>
        <w:sz w:val="56"/>
      </w:rPr>
      <w:t></w:t>
    </w:r>
    <w:r w:rsidRPr="005334E6">
      <w:rPr>
        <w:rFonts w:ascii="C39T30Lfz" w:hAnsi="C39T30Lfz"/>
        <w:sz w:val="56"/>
      </w:rPr>
      <w:t></w:t>
    </w:r>
    <w:r w:rsidRPr="005334E6">
      <w:rPr>
        <w:rFonts w:ascii="C39T30Lfz" w:hAnsi="C39T30Lfz"/>
        <w:sz w:val="56"/>
      </w:rPr>
      <w:t></w:t>
    </w:r>
    <w:r w:rsidRPr="005334E6">
      <w:rPr>
        <w:rFonts w:ascii="C39T30Lfz" w:hAnsi="C39T30Lfz"/>
        <w:sz w:val="56"/>
      </w:rPr>
      <w:t></w:t>
    </w:r>
    <w:r w:rsidRPr="005334E6">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Add.5/Rev.6/Amend.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Add.5/Rev.6/Amend.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ABF" w:rsidRPr="00D27D5E" w:rsidRDefault="00D20ABF" w:rsidP="00D27D5E">
      <w:pPr>
        <w:tabs>
          <w:tab w:val="right" w:pos="2155"/>
        </w:tabs>
        <w:spacing w:after="80"/>
        <w:ind w:left="680"/>
        <w:rPr>
          <w:u w:val="single"/>
        </w:rPr>
      </w:pPr>
      <w:r>
        <w:rPr>
          <w:u w:val="single"/>
        </w:rPr>
        <w:tab/>
      </w:r>
    </w:p>
  </w:footnote>
  <w:footnote w:type="continuationSeparator" w:id="0">
    <w:p w:rsidR="00D20ABF" w:rsidRPr="00D171D4" w:rsidRDefault="00D20ABF" w:rsidP="00D171D4">
      <w:pPr>
        <w:tabs>
          <w:tab w:val="right" w:pos="2155"/>
        </w:tabs>
        <w:spacing w:after="80"/>
        <w:ind w:left="680"/>
        <w:rPr>
          <w:u w:val="single"/>
        </w:rPr>
      </w:pPr>
      <w:r w:rsidRPr="00D171D4">
        <w:rPr>
          <w:u w:val="single"/>
        </w:rPr>
        <w:tab/>
      </w:r>
    </w:p>
  </w:footnote>
  <w:footnote w:type="continuationNotice" w:id="1">
    <w:p w:rsidR="00D20ABF" w:rsidRPr="00C451B9" w:rsidRDefault="00D20ABF" w:rsidP="00C451B9">
      <w:pPr>
        <w:spacing w:line="240" w:lineRule="auto"/>
        <w:rPr>
          <w:sz w:val="2"/>
          <w:szCs w:val="2"/>
        </w:rPr>
      </w:pPr>
    </w:p>
  </w:footnote>
  <w:footnote w:id="2">
    <w:p w:rsidR="00AB7481" w:rsidRPr="004529BC" w:rsidRDefault="00AB7481" w:rsidP="00AB7481">
      <w:pPr>
        <w:pStyle w:val="FootnoteText"/>
        <w:rPr>
          <w:lang w:val="fr-FR"/>
        </w:rPr>
      </w:pPr>
      <w:r>
        <w:rPr>
          <w:lang w:val="fr-FR"/>
        </w:rPr>
        <w:tab/>
        <w:t>*</w:t>
      </w:r>
      <w:r>
        <w:rPr>
          <w:lang w:val="fr-FR"/>
        </w:rPr>
        <w:tab/>
        <w:t>Anciens titres de l</w:t>
      </w:r>
      <w:r w:rsidR="00832225">
        <w:rPr>
          <w:lang w:val="fr-FR"/>
        </w:rPr>
        <w:t>’</w:t>
      </w:r>
      <w:r>
        <w:rPr>
          <w:lang w:val="fr-FR"/>
        </w:rPr>
        <w:t>Accord</w:t>
      </w:r>
      <w:r w:rsidR="00897923">
        <w:rPr>
          <w:lang w:val="fr-FR"/>
        </w:rPr>
        <w:t> :</w:t>
      </w:r>
    </w:p>
    <w:p w:rsidR="00AB7481" w:rsidRPr="005130AD" w:rsidRDefault="00AB7481" w:rsidP="00AB7481">
      <w:pPr>
        <w:pStyle w:val="FootnoteText"/>
        <w:rPr>
          <w:spacing w:val="-2"/>
          <w:sz w:val="20"/>
          <w:lang w:val="fr-FR"/>
        </w:rPr>
      </w:pPr>
      <w:r>
        <w:rPr>
          <w:lang w:val="fr-FR"/>
        </w:rPr>
        <w:tab/>
      </w:r>
      <w:r>
        <w:rPr>
          <w:lang w:val="fr-FR"/>
        </w:rPr>
        <w:tab/>
      </w:r>
      <w:r w:rsidRPr="005130AD">
        <w:rPr>
          <w:spacing w:val="-2"/>
          <w:lang w:val="fr-FR"/>
        </w:rPr>
        <w:t>Accord concernant l</w:t>
      </w:r>
      <w:r w:rsidR="00832225">
        <w:rPr>
          <w:spacing w:val="-2"/>
          <w:lang w:val="fr-FR"/>
        </w:rPr>
        <w:t>’</w:t>
      </w:r>
      <w:r w:rsidRPr="005130AD">
        <w:rPr>
          <w:spacing w:val="-2"/>
          <w:lang w:val="fr-FR"/>
        </w:rPr>
        <w:t>adoption de conditions uniformes d</w:t>
      </w:r>
      <w:r w:rsidR="00832225">
        <w:rPr>
          <w:spacing w:val="-2"/>
          <w:lang w:val="fr-FR"/>
        </w:rPr>
        <w:t>’</w:t>
      </w:r>
      <w:r w:rsidRPr="005130AD">
        <w:rPr>
          <w:spacing w:val="-2"/>
          <w:lang w:val="fr-FR"/>
        </w:rPr>
        <w:t>homologation et la reconnaissance réciproque de l</w:t>
      </w:r>
      <w:r w:rsidR="00832225">
        <w:rPr>
          <w:spacing w:val="-2"/>
          <w:lang w:val="fr-FR"/>
        </w:rPr>
        <w:t>’</w:t>
      </w:r>
      <w:r w:rsidRPr="005130AD">
        <w:rPr>
          <w:spacing w:val="-2"/>
          <w:lang w:val="fr-FR"/>
        </w:rPr>
        <w:t>homologation des équipements et pièces de véhicules à moteur, en date, à Genève, du 20 mars 1958 (version originale)</w:t>
      </w:r>
      <w:r w:rsidR="00897923" w:rsidRPr="005130AD">
        <w:rPr>
          <w:spacing w:val="-2"/>
          <w:lang w:val="fr-FR"/>
        </w:rPr>
        <w:t> ;</w:t>
      </w:r>
    </w:p>
    <w:p w:rsidR="00AB7481" w:rsidRPr="005130AD" w:rsidRDefault="00AB7481" w:rsidP="00AB7481">
      <w:pPr>
        <w:pStyle w:val="FootnoteText"/>
        <w:rPr>
          <w:spacing w:val="-2"/>
          <w:lang w:val="fr-FR"/>
        </w:rPr>
      </w:pPr>
      <w:r>
        <w:rPr>
          <w:lang w:val="fr-FR"/>
        </w:rPr>
        <w:tab/>
      </w:r>
      <w:r>
        <w:rPr>
          <w:lang w:val="fr-FR"/>
        </w:rPr>
        <w:tab/>
      </w:r>
      <w:r w:rsidRPr="005130AD">
        <w:rPr>
          <w:spacing w:val="-2"/>
          <w:lang w:val="fr-FR"/>
        </w:rPr>
        <w:t>Accord concernant l</w:t>
      </w:r>
      <w:r w:rsidR="00832225">
        <w:rPr>
          <w:spacing w:val="-2"/>
          <w:lang w:val="fr-FR"/>
        </w:rPr>
        <w:t>’</w:t>
      </w:r>
      <w:r w:rsidRPr="005130AD">
        <w:rPr>
          <w:spacing w:val="-2"/>
          <w:lang w:val="fr-FR"/>
        </w:rPr>
        <w:t>adoption de prescriptions techniques uniformes applicables aux véhicules à roues, aux équipements et aux pièces susceptibles d</w:t>
      </w:r>
      <w:r w:rsidR="00832225">
        <w:rPr>
          <w:spacing w:val="-2"/>
          <w:lang w:val="fr-FR"/>
        </w:rPr>
        <w:t>’</w:t>
      </w:r>
      <w:r w:rsidRPr="005130AD">
        <w:rPr>
          <w:spacing w:val="-2"/>
          <w:lang w:val="fr-FR"/>
        </w:rPr>
        <w:t>être montés ou utilisés sur un véhicule à roues et les conditions de reconnaissance réciproque des homologations délivrées conformément à ces prescriptions, en date, à Genève, du 5</w:t>
      </w:r>
      <w:r w:rsidR="005130AD">
        <w:rPr>
          <w:spacing w:val="-2"/>
          <w:lang w:val="fr-FR"/>
        </w:rPr>
        <w:t> </w:t>
      </w:r>
      <w:r w:rsidRPr="005130AD">
        <w:rPr>
          <w:spacing w:val="-2"/>
          <w:lang w:val="fr-FR"/>
        </w:rPr>
        <w:t>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4E6" w:rsidRPr="005334E6" w:rsidRDefault="00863875">
    <w:pPr>
      <w:pStyle w:val="Header"/>
    </w:pPr>
    <w:r>
      <w:fldChar w:fldCharType="begin"/>
    </w:r>
    <w:r>
      <w:instrText xml:space="preserve"> TITLE  \* MERGEFORMAT </w:instrText>
    </w:r>
    <w:r>
      <w:fldChar w:fldCharType="separate"/>
    </w:r>
    <w:r w:rsidR="005334E6">
      <w:t>E/ECE/324/Add.5/Rev.6/Amend.3</w:t>
    </w:r>
    <w:r>
      <w:fldChar w:fldCharType="end"/>
    </w:r>
    <w:r w:rsidR="005334E6">
      <w:br/>
    </w:r>
    <w:r>
      <w:fldChar w:fldCharType="begin"/>
    </w:r>
    <w:r>
      <w:instrText xml:space="preserve"> KEYWORDS  \* MERGEFORMAT </w:instrText>
    </w:r>
    <w:r>
      <w:fldChar w:fldCharType="separate"/>
    </w:r>
    <w:r w:rsidR="005334E6">
      <w:t>E/ECE/TRANS/505/Add.5/Rev.6/Amend.3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4E6" w:rsidRPr="005334E6" w:rsidRDefault="00863875" w:rsidP="005334E6">
    <w:pPr>
      <w:pStyle w:val="Header"/>
      <w:jc w:val="right"/>
    </w:pPr>
    <w:r>
      <w:fldChar w:fldCharType="begin"/>
    </w:r>
    <w:r>
      <w:instrText xml:space="preserve"> TITLE  \* MERGEFORMAT </w:instrText>
    </w:r>
    <w:r>
      <w:fldChar w:fldCharType="separate"/>
    </w:r>
    <w:r w:rsidR="005334E6">
      <w:t>E/ECE/324/Add.5/Rev.6/Amend.3</w:t>
    </w:r>
    <w:r>
      <w:fldChar w:fldCharType="end"/>
    </w:r>
    <w:r w:rsidR="005334E6">
      <w:br/>
    </w:r>
    <w:r>
      <w:fldChar w:fldCharType="begin"/>
    </w:r>
    <w:r>
      <w:instrText xml:space="preserve"> KEYWORDS  \* MERGEFORMAT </w:instrText>
    </w:r>
    <w:r>
      <w:fldChar w:fldCharType="separate"/>
    </w:r>
    <w:r w:rsidR="005334E6">
      <w:t>E/ECE/TRANS/505/Add.5/Rev.6/Amend.3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FCF7F23"/>
    <w:multiLevelType w:val="hybridMultilevel"/>
    <w:tmpl w:val="2DBCCAB6"/>
    <w:lvl w:ilvl="0" w:tplc="39DAF024">
      <w:start w:val="4"/>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0"/>
  </w:num>
  <w:num w:numId="4">
    <w:abstractNumId w:val="3"/>
  </w:num>
  <w:num w:numId="5">
    <w:abstractNumId w:val="2"/>
  </w:num>
  <w:num w:numId="6">
    <w:abstractNumId w:val="0"/>
  </w:num>
  <w:num w:numId="7">
    <w:abstractNumId w:val="1"/>
    <w:lvlOverride w:ilvl="0">
      <w:lvl w:ilvl="0" w:tplc="39DAF024">
        <w:start w:val="4"/>
        <w:numFmt w:val="bullet"/>
        <w:lvlText w:val="-"/>
        <w:lvlJc w:val="left"/>
        <w:pPr>
          <w:ind w:left="1494" w:hanging="360"/>
        </w:pPr>
        <w:rPr>
          <w:rFonts w:ascii="Times New Roman" w:eastAsia="Times New Roman" w:hAnsi="Times New Roman" w:cs="Times New Roman"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5"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ABF"/>
    <w:rsid w:val="00006FF3"/>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11BA"/>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4064"/>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30AD"/>
    <w:rsid w:val="0051457E"/>
    <w:rsid w:val="0051714B"/>
    <w:rsid w:val="00520F80"/>
    <w:rsid w:val="005239FF"/>
    <w:rsid w:val="00523DB8"/>
    <w:rsid w:val="00533150"/>
    <w:rsid w:val="005334E6"/>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2225"/>
    <w:rsid w:val="0083549B"/>
    <w:rsid w:val="00837345"/>
    <w:rsid w:val="00844750"/>
    <w:rsid w:val="00851A74"/>
    <w:rsid w:val="00853AB8"/>
    <w:rsid w:val="00854C34"/>
    <w:rsid w:val="0085586A"/>
    <w:rsid w:val="00856DB2"/>
    <w:rsid w:val="00863875"/>
    <w:rsid w:val="00895DE5"/>
    <w:rsid w:val="00897923"/>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008C"/>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57AC"/>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B20D0"/>
    <w:rsid w:val="00AB7481"/>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0ABF"/>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4639"/>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1AFB"/>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6C408D69-B3C8-437E-8A11-AA5467547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 w:type="paragraph" w:customStyle="1" w:styleId="para">
    <w:name w:val="para"/>
    <w:basedOn w:val="SingleTxtG"/>
    <w:link w:val="paraChar"/>
    <w:qFormat/>
    <w:rsid w:val="00404064"/>
    <w:pPr>
      <w:ind w:left="2268" w:hanging="1134"/>
    </w:pPr>
  </w:style>
  <w:style w:type="character" w:customStyle="1" w:styleId="paraChar">
    <w:name w:val="para Char"/>
    <w:link w:val="para"/>
    <w:rsid w:val="00404064"/>
    <w:rPr>
      <w:rFonts w:eastAsiaTheme="minorHAnsi"/>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4312</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E/ECE/324/Add.5/Rev.6/Amend.3</vt:lpstr>
      <vt:lpstr>E/ECE/324/Add.5/Rev.6/Amend.3</vt:lpstr>
    </vt:vector>
  </TitlesOfParts>
  <Company>CSD</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E/ECE/324/Add.5/Rev.6/Amend.3</dc:title>
  <dc:creator>Nicolas MORIN</dc:creator>
  <cp:keywords>E/ECE/TRANS/505/Add.5/Rev.6/Amend.3</cp:keywords>
  <cp:lastModifiedBy>Olivia Braud</cp:lastModifiedBy>
  <cp:revision>2</cp:revision>
  <cp:lastPrinted>2008-11-04T15:54:00Z</cp:lastPrinted>
  <dcterms:created xsi:type="dcterms:W3CDTF">2018-08-22T08:56:00Z</dcterms:created>
  <dcterms:modified xsi:type="dcterms:W3CDTF">2018-08-22T08:56:00Z</dcterms:modified>
</cp:coreProperties>
</file>