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A05B55" w:rsidTr="00A27C92">
        <w:trPr>
          <w:trHeight w:hRule="exact" w:val="851"/>
        </w:trPr>
        <w:tc>
          <w:tcPr>
            <w:tcW w:w="9639" w:type="dxa"/>
            <w:gridSpan w:val="2"/>
            <w:tcBorders>
              <w:bottom w:val="single" w:sz="4" w:space="0" w:color="auto"/>
            </w:tcBorders>
            <w:shd w:val="clear" w:color="auto" w:fill="auto"/>
            <w:vAlign w:val="bottom"/>
          </w:tcPr>
          <w:p w:rsidR="00A16176" w:rsidRPr="00A16176" w:rsidRDefault="00A16176" w:rsidP="00A16176">
            <w:pPr>
              <w:jc w:val="right"/>
              <w:rPr>
                <w:lang w:val="en-US"/>
              </w:rPr>
            </w:pPr>
            <w:bookmarkStart w:id="0" w:name="_GoBack"/>
            <w:bookmarkEnd w:id="0"/>
            <w:r w:rsidRPr="00A16176">
              <w:rPr>
                <w:sz w:val="40"/>
                <w:lang w:val="en-US"/>
              </w:rPr>
              <w:t>E</w:t>
            </w:r>
            <w:r w:rsidRPr="00A16176">
              <w:rPr>
                <w:lang w:val="en-US"/>
              </w:rPr>
              <w:t>/ECE/324/Add.5/Rev.6/Amend.2−</w:t>
            </w:r>
            <w:r w:rsidRPr="00A16176">
              <w:rPr>
                <w:sz w:val="40"/>
                <w:lang w:val="en-US"/>
              </w:rPr>
              <w:t>E</w:t>
            </w:r>
            <w:r w:rsidRPr="00A16176">
              <w:rPr>
                <w:lang w:val="en-US"/>
              </w:rPr>
              <w:t>/ECE/TRANS/505/Add.5/Rev.6/Amend.2</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A16176"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A16176" w:rsidP="00A27C92">
            <w:pPr>
              <w:spacing w:before="480" w:line="240" w:lineRule="exact"/>
            </w:pPr>
            <w:r>
              <w:t>5 décembre 2017</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A16176" w:rsidRPr="00A16176">
        <w:rPr>
          <w:lang w:val="fr-FR"/>
        </w:rPr>
        <w:t xml:space="preserve">Concernant l’adoption de Règlements techniques harmonisés de l’ONU applicables aux véhicules à roues et aux équipements et pièces susceptibles d’être montés ou utilisés sur les véhicules à roues </w:t>
      </w:r>
      <w:r w:rsidR="00515D97">
        <w:rPr>
          <w:lang w:val="fr-FR"/>
        </w:rPr>
        <w:br/>
      </w:r>
      <w:r w:rsidR="00A16176" w:rsidRPr="00A16176">
        <w:rPr>
          <w:lang w:val="fr-FR"/>
        </w:rPr>
        <w:t>et les conditions de reconnaissance réciproque des homologations délivrées conformément à ces Règlements</w:t>
      </w:r>
      <w:r w:rsidR="00A16176" w:rsidRPr="00515D97">
        <w:rPr>
          <w:rStyle w:val="FootnoteReference"/>
          <w:b w:val="0"/>
          <w:sz w:val="20"/>
          <w:vertAlign w:val="baseline"/>
        </w:rPr>
        <w:footnoteReference w:customMarkFollows="1" w:id="2"/>
        <w:t>*</w:t>
      </w:r>
    </w:p>
    <w:p w:rsidR="00421A10" w:rsidRDefault="00A16176" w:rsidP="0029791D">
      <w:pPr>
        <w:pStyle w:val="SingleTxtG"/>
        <w:jc w:val="left"/>
        <w:rPr>
          <w:lang w:val="fr-FR"/>
        </w:rPr>
      </w:pPr>
      <w:r w:rsidRPr="00A16176">
        <w:rPr>
          <w:lang w:val="fr-FR"/>
        </w:rPr>
        <w:t>(Révision 3, comprenant les amendements entrés en vigueur le 14 septembre 2017)</w:t>
      </w:r>
    </w:p>
    <w:p w:rsidR="0064260F" w:rsidRPr="006549FF" w:rsidRDefault="0064260F" w:rsidP="0064260F">
      <w:pPr>
        <w:spacing w:line="220" w:lineRule="atLeast"/>
        <w:jc w:val="center"/>
      </w:pPr>
      <w:r>
        <w:t>_______________</w:t>
      </w:r>
    </w:p>
    <w:p w:rsidR="00421A10" w:rsidRPr="006549FF" w:rsidRDefault="0029791D" w:rsidP="0029791D">
      <w:pPr>
        <w:pStyle w:val="HChG"/>
      </w:pPr>
      <w:r>
        <w:tab/>
      </w:r>
      <w:r>
        <w:tab/>
      </w:r>
      <w:r w:rsidR="00A16176" w:rsidRPr="00A16176">
        <w:rPr>
          <w:lang w:val="fr-FR"/>
        </w:rPr>
        <w:t>Additif 5 – Règlement n</w:t>
      </w:r>
      <w:r w:rsidR="00A16176" w:rsidRPr="00A16176">
        <w:rPr>
          <w:vertAlign w:val="superscript"/>
          <w:lang w:val="fr-FR"/>
        </w:rPr>
        <w:t>o</w:t>
      </w:r>
      <w:r w:rsidR="00A16176" w:rsidRPr="00A16176">
        <w:rPr>
          <w:lang w:val="fr-FR"/>
        </w:rPr>
        <w:t> 6</w:t>
      </w:r>
    </w:p>
    <w:p w:rsidR="00421A10" w:rsidRPr="006549FF" w:rsidRDefault="0029791D" w:rsidP="0029791D">
      <w:pPr>
        <w:pStyle w:val="H1G"/>
      </w:pPr>
      <w:r>
        <w:tab/>
      </w:r>
      <w:r>
        <w:tab/>
      </w:r>
      <w:r w:rsidR="00A16176" w:rsidRPr="00A16176">
        <w:rPr>
          <w:lang w:val="fr-FR"/>
        </w:rPr>
        <w:t>Révision 6 - Amendement 2</w:t>
      </w:r>
    </w:p>
    <w:p w:rsidR="00421A10" w:rsidRPr="004A7E44" w:rsidRDefault="00A16176" w:rsidP="0029791D">
      <w:pPr>
        <w:pStyle w:val="SingleTxtG"/>
        <w:spacing w:after="0"/>
      </w:pPr>
      <w:r w:rsidRPr="00A16176">
        <w:rPr>
          <w:lang w:val="fr-FR"/>
        </w:rPr>
        <w:t>Complément 27 à la série 01 d’amendements au Règlement – Date d’entrée en vigueur: 10</w:t>
      </w:r>
      <w:r w:rsidR="0064260F">
        <w:rPr>
          <w:lang w:val="fr-FR"/>
        </w:rPr>
        <w:t> </w:t>
      </w:r>
      <w:r w:rsidRPr="00A16176">
        <w:rPr>
          <w:lang w:val="fr-FR"/>
        </w:rPr>
        <w:t>octobre 2017</w:t>
      </w:r>
    </w:p>
    <w:p w:rsidR="00421A10" w:rsidRDefault="0029791D" w:rsidP="0029791D">
      <w:pPr>
        <w:pStyle w:val="H1G"/>
      </w:pPr>
      <w:r>
        <w:tab/>
      </w:r>
      <w:r>
        <w:tab/>
      </w:r>
      <w:r w:rsidR="00A16176" w:rsidRPr="00A16176">
        <w:t>Prescriptions uniformes relatives à l’homologation des feux indicateurs de direction pour véhicules à moteur et leurs remorques</w:t>
      </w:r>
    </w:p>
    <w:p w:rsidR="00A16176" w:rsidRPr="0064260F" w:rsidRDefault="00A16176" w:rsidP="00A16176">
      <w:pPr>
        <w:pStyle w:val="SingleTxtG"/>
        <w:rPr>
          <w:spacing w:val="-2"/>
          <w:lang w:val="fr-FR"/>
        </w:rPr>
      </w:pPr>
      <w:r w:rsidRPr="0064260F">
        <w:rPr>
          <w:spacing w:val="-2"/>
        </w:rPr>
        <w:t xml:space="preserve">Le présent document est communiqué uniquement à titre d’information. Le texte authentique, juridiquement contraignant, est celui du document </w:t>
      </w:r>
      <w:r w:rsidRPr="0064260F">
        <w:rPr>
          <w:spacing w:val="-2"/>
          <w:lang w:val="fr-FR"/>
        </w:rPr>
        <w:t>ECE/TRANS/WP.29/2017/21 (1622384).</w:t>
      </w:r>
    </w:p>
    <w:p w:rsidR="003B2A1B" w:rsidRPr="00A16176" w:rsidRDefault="00A16176" w:rsidP="00A05B55">
      <w:pPr>
        <w:pStyle w:val="SingleTxtG"/>
        <w:rPr>
          <w:lang w:val="fr-FR"/>
        </w:rPr>
      </w:pPr>
      <w:r>
        <w:rPr>
          <w:noProof/>
          <w:lang w:eastAsia="fr-CH"/>
        </w:rPr>
        <mc:AlternateContent>
          <mc:Choice Requires="wps">
            <w:drawing>
              <wp:anchor distT="0" distB="0" distL="114300" distR="114300" simplePos="0" relativeHeight="251657216" behindDoc="1" locked="0" layoutInCell="1" allowOverlap="1" wp14:anchorId="4D85F320" wp14:editId="26CCF6CE">
                <wp:simplePos x="0" y="0"/>
                <wp:positionH relativeFrom="margin">
                  <wp:posOffset>-1270</wp:posOffset>
                </wp:positionH>
                <wp:positionV relativeFrom="margin">
                  <wp:posOffset>6369673</wp:posOffset>
                </wp:positionV>
                <wp:extent cx="6119495" cy="115189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15189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F320" id="_x0000_t202" coordsize="21600,21600" o:spt="202" path="m,l,21600r21600,l21600,xe">
                <v:stroke joinstyle="miter"/>
                <v:path gradientshapeok="t" o:connecttype="rect"/>
              </v:shapetype>
              <v:shape id="Zone de texte 4" o:spid="_x0000_s1026" type="#_x0000_t202" style="position:absolute;left:0;text-align:left;margin-left:-.1pt;margin-top:501.55pt;width:481.85pt;height:9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r>
        <w:rPr>
          <w:lang w:val="fr-FR"/>
        </w:rPr>
        <w:br w:type="page"/>
      </w:r>
      <w:r w:rsidRPr="00A16176">
        <w:rPr>
          <w:i/>
          <w:iCs/>
          <w:lang w:val="fr-FR"/>
        </w:rPr>
        <w:lastRenderedPageBreak/>
        <w:t>Paragraphe 1.3</w:t>
      </w:r>
      <w:r w:rsidRPr="00A16176">
        <w:rPr>
          <w:lang w:val="fr-FR"/>
        </w:rPr>
        <w:t>, lire :</w:t>
      </w:r>
    </w:p>
    <w:p w:rsidR="003B2A1B" w:rsidRPr="00A16176" w:rsidRDefault="00A16176" w:rsidP="00A16176">
      <w:pPr>
        <w:pStyle w:val="SingleTxtG"/>
        <w:ind w:left="2268" w:hanging="1134"/>
        <w:rPr>
          <w:lang w:val="fr-FR"/>
        </w:rPr>
      </w:pPr>
      <w:r w:rsidRPr="00A16176">
        <w:rPr>
          <w:lang w:val="fr-FR"/>
        </w:rPr>
        <w:t>« 1.3</w:t>
      </w:r>
      <w:r w:rsidRPr="00A16176">
        <w:rPr>
          <w:lang w:val="fr-FR"/>
        </w:rPr>
        <w:tab/>
        <w:t>Par “indicateurs de direction de types différents”, des feux qui présentent des différences essentielles pouvant porter notamment sur :</w:t>
      </w:r>
    </w:p>
    <w:p w:rsidR="003B2A1B" w:rsidRPr="00A16176" w:rsidRDefault="00A16176" w:rsidP="00A16176">
      <w:pPr>
        <w:pStyle w:val="SingleTxtG"/>
        <w:ind w:left="2268"/>
        <w:rPr>
          <w:lang w:val="fr-FR"/>
        </w:rPr>
      </w:pPr>
      <w:r w:rsidRPr="00A16176">
        <w:rPr>
          <w:lang w:val="fr-FR"/>
        </w:rPr>
        <w:t>a)</w:t>
      </w:r>
      <w:r w:rsidRPr="00A16176">
        <w:rPr>
          <w:lang w:val="fr-FR"/>
        </w:rPr>
        <w:tab/>
        <w:t>La marque de fabrique ou de commerce :</w:t>
      </w:r>
    </w:p>
    <w:p w:rsidR="003B2A1B" w:rsidRPr="00A16176" w:rsidRDefault="00A16176" w:rsidP="00A16176">
      <w:pPr>
        <w:pStyle w:val="SingleTxtG"/>
        <w:ind w:left="3402" w:hanging="567"/>
        <w:rPr>
          <w:iCs/>
          <w:lang w:val="fr-FR"/>
        </w:rPr>
      </w:pPr>
      <w:r w:rsidRPr="00A16176">
        <w:rPr>
          <w:lang w:val="fr-FR"/>
        </w:rPr>
        <w:t>i)</w:t>
      </w:r>
      <w:r w:rsidRPr="00A16176">
        <w:rPr>
          <w:lang w:val="fr-FR"/>
        </w:rPr>
        <w:tab/>
        <w:t xml:space="preserve">Des feux portant la même marque de fabrique ou de commerce mais produits par des </w:t>
      </w:r>
      <w:r w:rsidRPr="00A16176">
        <w:rPr>
          <w:rFonts w:eastAsia="Times New Roman"/>
          <w:lang w:val="fr-FR"/>
        </w:rPr>
        <w:t>fabricants</w:t>
      </w:r>
      <w:r w:rsidRPr="00A16176">
        <w:rPr>
          <w:lang w:val="fr-FR"/>
        </w:rPr>
        <w:t xml:space="preserve"> différents doivent être considérés comme étant de types différents ;</w:t>
      </w:r>
    </w:p>
    <w:p w:rsidR="003B2A1B" w:rsidRPr="00A16176" w:rsidRDefault="00A16176" w:rsidP="00A16176">
      <w:pPr>
        <w:pStyle w:val="SingleTxtG"/>
        <w:ind w:left="3402" w:hanging="567"/>
        <w:rPr>
          <w:iCs/>
          <w:lang w:val="fr-FR"/>
        </w:rPr>
      </w:pPr>
      <w:r w:rsidRPr="00A16176">
        <w:rPr>
          <w:lang w:val="fr-FR"/>
        </w:rPr>
        <w:t>ii)</w:t>
      </w:r>
      <w:r w:rsidRPr="00A16176">
        <w:rPr>
          <w:lang w:val="fr-FR"/>
        </w:rPr>
        <w:tab/>
        <w:t>Des feux produits par le même fabricant et ne différant entre eux que par la marque de fabrique ou de commerce doivent être considérés comme étant du même type ;</w:t>
      </w:r>
    </w:p>
    <w:p w:rsidR="003B2A1B" w:rsidRPr="00A16176" w:rsidRDefault="00A16176" w:rsidP="00A16176">
      <w:pPr>
        <w:pStyle w:val="SingleTxtG"/>
        <w:ind w:left="2268"/>
        <w:rPr>
          <w:lang w:val="fr-FR"/>
        </w:rPr>
      </w:pPr>
      <w:r w:rsidRPr="00A16176">
        <w:rPr>
          <w:lang w:val="fr-FR"/>
        </w:rPr>
        <w:t>b)</w:t>
      </w:r>
      <w:r w:rsidRPr="00A16176">
        <w:rPr>
          <w:lang w:val="fr-FR"/>
        </w:rPr>
        <w:tab/>
        <w:t xml:space="preserve">Les </w:t>
      </w:r>
      <w:r w:rsidRPr="00A16176">
        <w:rPr>
          <w:rFonts w:eastAsia="Times New Roman"/>
          <w:lang w:val="fr-FR"/>
        </w:rPr>
        <w:t>caractéristiques</w:t>
      </w:r>
      <w:r w:rsidRPr="00A16176">
        <w:rPr>
          <w:lang w:val="fr-FR"/>
        </w:rPr>
        <w:t>… ».</w:t>
      </w:r>
    </w:p>
    <w:p w:rsidR="003B2A1B" w:rsidRPr="00A16176" w:rsidRDefault="00A16176" w:rsidP="00A16176">
      <w:pPr>
        <w:pStyle w:val="SingleTxtG"/>
        <w:ind w:left="2268" w:hanging="1134"/>
        <w:rPr>
          <w:lang w:val="fr-FR"/>
        </w:rPr>
      </w:pPr>
      <w:r w:rsidRPr="00A16176">
        <w:rPr>
          <w:i/>
          <w:iCs/>
          <w:lang w:val="fr-FR"/>
        </w:rPr>
        <w:t>Ajouter un nouveau paragraphe 2.2.6</w:t>
      </w:r>
      <w:r w:rsidRPr="00A16176">
        <w:rPr>
          <w:lang w:val="fr-FR"/>
        </w:rPr>
        <w:t>, libellé comme suit :</w:t>
      </w:r>
    </w:p>
    <w:p w:rsidR="003B2A1B" w:rsidRPr="00A16176" w:rsidRDefault="00A16176" w:rsidP="00A16176">
      <w:pPr>
        <w:pStyle w:val="SingleTxtG"/>
        <w:ind w:left="2268" w:hanging="1134"/>
        <w:rPr>
          <w:lang w:val="fr-FR"/>
        </w:rPr>
      </w:pPr>
      <w:r w:rsidRPr="00A16176">
        <w:rPr>
          <w:lang w:val="fr-FR"/>
        </w:rPr>
        <w:t>« 2.2.6</w:t>
      </w:r>
      <w:r w:rsidRPr="00A16176">
        <w:rPr>
          <w:lang w:val="fr-FR"/>
        </w:rPr>
        <w:tab/>
        <w:t>Lorsqu’il s’agit d’un type de feu ne différant d’un type homologué antérieurement que par la marque de fabrique ou de commerce, il suffit de présenter :</w:t>
      </w:r>
    </w:p>
    <w:p w:rsidR="003B2A1B" w:rsidRPr="00A16176" w:rsidRDefault="00A16176" w:rsidP="00A16176">
      <w:pPr>
        <w:pStyle w:val="SingleTxtG"/>
        <w:ind w:left="2268" w:hanging="1134"/>
        <w:rPr>
          <w:lang w:val="fr-FR"/>
        </w:rPr>
      </w:pPr>
      <w:r w:rsidRPr="00A16176">
        <w:rPr>
          <w:lang w:val="fr-FR"/>
        </w:rPr>
        <w:t>2.2.6.1</w:t>
      </w:r>
      <w:r w:rsidRPr="00A16176">
        <w:rPr>
          <w:lang w:val="fr-FR"/>
        </w:rPr>
        <w:tab/>
        <w:t>Une déclaration du fabricant du feu précisant que, sauf quant à la marque de fabrique ou de commerce, le type soumis est identique au type déjà homologué (identifié par son code d’homologation) et provient du même fabricant ;</w:t>
      </w:r>
    </w:p>
    <w:p w:rsidR="003B2A1B" w:rsidRPr="00A16176" w:rsidRDefault="00A16176" w:rsidP="00A16176">
      <w:pPr>
        <w:pStyle w:val="SingleTxtG"/>
        <w:ind w:left="2268" w:hanging="1134"/>
        <w:rPr>
          <w:lang w:val="fr-FR"/>
        </w:rPr>
      </w:pPr>
      <w:r w:rsidRPr="00A16176">
        <w:rPr>
          <w:lang w:val="fr-FR"/>
        </w:rPr>
        <w:t>2.2.6.2</w:t>
      </w:r>
      <w:r w:rsidRPr="00A16176">
        <w:rPr>
          <w:lang w:val="fr-FR"/>
        </w:rPr>
        <w:tab/>
        <w:t>Deux échantillons portant la nouvelle marque de fabrique ou de commerce, ou un document équivalent. ».</w:t>
      </w:r>
    </w:p>
    <w:p w:rsidR="003B2A1B" w:rsidRPr="00A16176" w:rsidRDefault="00A16176" w:rsidP="00A16176">
      <w:pPr>
        <w:pStyle w:val="SingleTxtG"/>
        <w:ind w:left="2268" w:hanging="1134"/>
        <w:rPr>
          <w:lang w:val="fr-FR"/>
        </w:rPr>
      </w:pPr>
      <w:r w:rsidRPr="00A16176">
        <w:rPr>
          <w:i/>
          <w:iCs/>
          <w:lang w:val="fr-FR"/>
        </w:rPr>
        <w:t>Ajouter un nouveau paragraphe 2.2.7</w:t>
      </w:r>
      <w:r w:rsidRPr="00A16176">
        <w:rPr>
          <w:lang w:val="fr-FR"/>
        </w:rPr>
        <w:t>, libellé comme suit :</w:t>
      </w:r>
    </w:p>
    <w:p w:rsidR="003B2A1B" w:rsidRPr="00A16176" w:rsidRDefault="00A16176" w:rsidP="00A16176">
      <w:pPr>
        <w:pStyle w:val="SingleTxtG"/>
        <w:ind w:left="2268" w:hanging="1134"/>
        <w:rPr>
          <w:bCs/>
          <w:lang w:val="fr-FR"/>
        </w:rPr>
      </w:pPr>
      <w:r w:rsidRPr="00A16176">
        <w:rPr>
          <w:lang w:val="fr-FR"/>
        </w:rPr>
        <w:t>« 2.2.7</w:t>
      </w:r>
      <w:r w:rsidRPr="00A16176">
        <w:rPr>
          <w:lang w:val="fr-FR"/>
        </w:rPr>
        <w:tab/>
        <w:t>Dans le cas d’une ou plusieurs lampe(s) à incandescence non remplaçable(s) ou d’un ou plusieurs module(s) d’éclairage équipé(s) de lampe(s) à incandescence non remplaçable(s), des documents mentionnés au paragraphe 5.6 du présent Règlement. ».</w:t>
      </w:r>
    </w:p>
    <w:p w:rsidR="003B2A1B" w:rsidRPr="00A16176" w:rsidRDefault="00A16176" w:rsidP="00A16176">
      <w:pPr>
        <w:pStyle w:val="SingleTxtG"/>
        <w:ind w:left="2268" w:hanging="1134"/>
        <w:rPr>
          <w:lang w:val="fr-FR"/>
        </w:rPr>
      </w:pPr>
      <w:r w:rsidRPr="00A16176">
        <w:rPr>
          <w:i/>
          <w:lang w:val="fr-FR"/>
        </w:rPr>
        <w:t>Paragraphe 3.4</w:t>
      </w:r>
      <w:r w:rsidRPr="00A16176">
        <w:rPr>
          <w:lang w:val="fr-FR"/>
        </w:rPr>
        <w:t>, lire :</w:t>
      </w:r>
    </w:p>
    <w:p w:rsidR="003B2A1B" w:rsidRPr="00A16176" w:rsidRDefault="00A16176" w:rsidP="00A16176">
      <w:pPr>
        <w:pStyle w:val="SingleTxtG"/>
        <w:ind w:left="2268" w:hanging="1134"/>
        <w:rPr>
          <w:lang w:val="fr-FR"/>
        </w:rPr>
      </w:pPr>
      <w:r w:rsidRPr="00A16176">
        <w:rPr>
          <w:lang w:val="fr-FR"/>
        </w:rPr>
        <w:t>« 3.4</w:t>
      </w:r>
      <w:r w:rsidRPr="00A16176">
        <w:rPr>
          <w:lang w:val="fr-FR"/>
        </w:rPr>
        <w:tab/>
        <w:t>Dans le cas de feux équipés d’un dispositif de régulation électronique ou d’un régulateur d’intensité et/ou de sources lumineuses non remplaçables et/ou d’un ou plusieurs modules d’éclairage, une indication de la tension nominale ou de la plage de tension. ».</w:t>
      </w:r>
    </w:p>
    <w:p w:rsidR="003B2A1B" w:rsidRPr="00A16176" w:rsidRDefault="00A16176" w:rsidP="00A16176">
      <w:pPr>
        <w:pStyle w:val="SingleTxtG"/>
        <w:ind w:left="2268" w:hanging="1134"/>
        <w:rPr>
          <w:lang w:val="fr-FR"/>
        </w:rPr>
      </w:pPr>
      <w:r w:rsidRPr="00A16176">
        <w:rPr>
          <w:i/>
          <w:iCs/>
          <w:lang w:val="fr-FR"/>
        </w:rPr>
        <w:t>Paragraphe 3.5.3</w:t>
      </w:r>
      <w:r w:rsidRPr="00A16176">
        <w:rPr>
          <w:lang w:val="fr-FR"/>
        </w:rPr>
        <w:t>, lire :</w:t>
      </w:r>
    </w:p>
    <w:p w:rsidR="003B2A1B" w:rsidRPr="00A16176" w:rsidRDefault="00A16176" w:rsidP="00A16176">
      <w:pPr>
        <w:pStyle w:val="SingleTxtG"/>
        <w:ind w:left="2268" w:hanging="1134"/>
        <w:rPr>
          <w:lang w:val="fr-FR"/>
        </w:rPr>
      </w:pPr>
      <w:r w:rsidRPr="00A16176">
        <w:rPr>
          <w:lang w:val="fr-FR"/>
        </w:rPr>
        <w:t>« 3.5.3</w:t>
      </w:r>
      <w:r w:rsidRPr="00A16176">
        <w:rPr>
          <w:lang w:val="fr-FR"/>
        </w:rPr>
        <w:tab/>
        <w:t>L’indication de la tension nominale ou de la plage de tension. ».</w:t>
      </w:r>
    </w:p>
    <w:p w:rsidR="003B2A1B" w:rsidRPr="00A16176" w:rsidRDefault="00A16176" w:rsidP="00A16176">
      <w:pPr>
        <w:pStyle w:val="SingleTxtG"/>
        <w:ind w:left="2268" w:hanging="1134"/>
        <w:rPr>
          <w:i/>
          <w:iCs/>
          <w:lang w:val="fr-FR"/>
        </w:rPr>
      </w:pPr>
      <w:r w:rsidRPr="00A16176">
        <w:rPr>
          <w:i/>
          <w:iCs/>
          <w:lang w:val="fr-FR"/>
        </w:rPr>
        <w:t>Paragraphe 5</w:t>
      </w:r>
      <w:r w:rsidRPr="00A16176">
        <w:rPr>
          <w:lang w:val="fr-FR"/>
        </w:rPr>
        <w:t>, lire :</w:t>
      </w:r>
    </w:p>
    <w:p w:rsidR="003B2A1B" w:rsidRPr="00A16176" w:rsidRDefault="00A16176" w:rsidP="00A05B55">
      <w:pPr>
        <w:pStyle w:val="HChG"/>
        <w:ind w:left="2268"/>
        <w:rPr>
          <w:lang w:val="fr-FR"/>
        </w:rPr>
      </w:pPr>
      <w:r w:rsidRPr="00A05B55">
        <w:rPr>
          <w:b w:val="0"/>
          <w:sz w:val="20"/>
          <w:lang w:val="fr-FR"/>
        </w:rPr>
        <w:t>«</w:t>
      </w:r>
      <w:r w:rsidRPr="00A16176">
        <w:rPr>
          <w:lang w:val="fr-FR"/>
        </w:rPr>
        <w:t> 5.</w:t>
      </w:r>
      <w:r w:rsidRPr="00A16176">
        <w:rPr>
          <w:lang w:val="fr-FR"/>
        </w:rPr>
        <w:tab/>
        <w:t>Spécifications générales</w:t>
      </w:r>
    </w:p>
    <w:p w:rsidR="003B2A1B" w:rsidRPr="00A16176" w:rsidRDefault="00A16176" w:rsidP="000D1E6B">
      <w:pPr>
        <w:pStyle w:val="SingleTxtG"/>
        <w:ind w:left="2268"/>
        <w:rPr>
          <w:lang w:val="fr-FR"/>
        </w:rPr>
      </w:pPr>
      <w:r w:rsidRPr="00A16176">
        <w:rPr>
          <w:lang w:val="fr-FR"/>
        </w:rPr>
        <w:t>Les prescriptions contenues dans les sections 5 “Spécifications générales” (ou “Prescriptions générales”) et 6 “Spécifications particulières” (ou “Prescriptions particulières”) ainsi que dans les annexes citées dans lesdites sections des Règlements n</w:t>
      </w:r>
      <w:r w:rsidRPr="00A16176">
        <w:rPr>
          <w:vertAlign w:val="superscript"/>
          <w:lang w:val="fr-FR"/>
        </w:rPr>
        <w:t>os</w:t>
      </w:r>
      <w:r w:rsidRPr="00A16176">
        <w:rPr>
          <w:lang w:val="fr-FR"/>
        </w:rPr>
        <w:t> 48, 53, 74 et 86 et de leurs séries d’amendements en vigueur à la date de la demande d’homologation du type de feu s’appliquent au présent Règlement.</w:t>
      </w:r>
    </w:p>
    <w:p w:rsidR="003B2A1B" w:rsidRPr="00A16176" w:rsidRDefault="00A16176" w:rsidP="00A16176">
      <w:pPr>
        <w:pStyle w:val="SingleTxtG"/>
        <w:ind w:left="2268"/>
        <w:rPr>
          <w:lang w:val="fr-FR"/>
        </w:rPr>
      </w:pPr>
      <w:r w:rsidRPr="00A16176">
        <w:rPr>
          <w:lang w:val="fr-FR"/>
        </w:rPr>
        <w:tab/>
        <w:t>Les prescriptions pertinentes pour chaque feu et la (les) catégorie(s) de véhicules sur laquelle/lesquelles il est prévu d’installer le feu sont applicables pour autant que leur vérification soit possible lors de l’homologation du type de feu.</w:t>
      </w:r>
    </w:p>
    <w:p w:rsidR="003B2A1B" w:rsidRPr="00A16176" w:rsidRDefault="00A16176" w:rsidP="00A16176">
      <w:pPr>
        <w:pStyle w:val="SingleTxtG"/>
        <w:ind w:left="2268" w:hanging="1134"/>
        <w:rPr>
          <w:lang w:val="fr-FR"/>
        </w:rPr>
      </w:pPr>
      <w:r w:rsidRPr="00A16176">
        <w:rPr>
          <w:lang w:val="fr-FR"/>
        </w:rPr>
        <w:t>5.1</w:t>
      </w:r>
      <w:r w:rsidRPr="00A16176">
        <w:rPr>
          <w:lang w:val="fr-FR"/>
        </w:rPr>
        <w:tab/>
        <w:t>… ».</w:t>
      </w:r>
    </w:p>
    <w:p w:rsidR="003B2A1B" w:rsidRPr="00A16176" w:rsidRDefault="00A16176" w:rsidP="00A16176">
      <w:pPr>
        <w:pStyle w:val="SingleTxtG"/>
        <w:keepNext/>
        <w:keepLines/>
        <w:ind w:left="2268" w:hanging="1134"/>
        <w:rPr>
          <w:lang w:val="fr-FR"/>
        </w:rPr>
      </w:pPr>
      <w:r w:rsidRPr="00A16176">
        <w:rPr>
          <w:i/>
          <w:iCs/>
          <w:lang w:val="fr-FR"/>
        </w:rPr>
        <w:lastRenderedPageBreak/>
        <w:t>Ajouter un nouveau paragraphe 5</w:t>
      </w:r>
      <w:r w:rsidRPr="00A16176">
        <w:rPr>
          <w:lang w:val="fr-FR"/>
        </w:rPr>
        <w:t>.</w:t>
      </w:r>
      <w:r w:rsidRPr="00A16176">
        <w:rPr>
          <w:i/>
          <w:lang w:val="fr-FR"/>
        </w:rPr>
        <w:t>6</w:t>
      </w:r>
      <w:r w:rsidRPr="00A16176">
        <w:rPr>
          <w:lang w:val="fr-FR"/>
        </w:rPr>
        <w:t>, libellé comme suit :</w:t>
      </w:r>
    </w:p>
    <w:p w:rsidR="003B2A1B" w:rsidRPr="00A16176" w:rsidRDefault="00A16176" w:rsidP="00A16176">
      <w:pPr>
        <w:pStyle w:val="SingleTxtG"/>
        <w:keepNext/>
        <w:keepLines/>
        <w:ind w:left="2268" w:hanging="1134"/>
        <w:rPr>
          <w:bCs/>
          <w:lang w:val="fr-FR"/>
        </w:rPr>
      </w:pPr>
      <w:r w:rsidRPr="00A16176">
        <w:rPr>
          <w:lang w:val="fr-FR"/>
        </w:rPr>
        <w:t>« 5.6</w:t>
      </w:r>
      <w:r w:rsidRPr="00A16176">
        <w:rPr>
          <w:lang w:val="fr-FR"/>
        </w:rPr>
        <w:tab/>
        <w:t>Dans le cas d’une ou plusieurs lampe(s) à incandescence non remplaçable(s) ou d’un ou plusieurs module(s) d’éclairage équipé(s) de lampe(s) à incandescence non remplaçable(s), le demandeur doit joindre au dossier d’homologation de type un rapport (établi par le fabricant de la source lumineuse mentionné dans ce dossier) démontrant de manière acceptable pour l’autorité responsable de l’homologation de type la conformité de cette (ces) lampe(s) à incandescence non remplaçable(s) avec les prescriptions énoncées au paragraphe 4.11 de la publication CEI 60809, troisième édition. ».</w:t>
      </w:r>
    </w:p>
    <w:p w:rsidR="003B2A1B" w:rsidRPr="00A16176" w:rsidRDefault="00A16176" w:rsidP="00A16176">
      <w:pPr>
        <w:pStyle w:val="SingleTxtG"/>
        <w:ind w:left="2268" w:hanging="1134"/>
        <w:rPr>
          <w:bCs/>
          <w:lang w:val="fr-FR"/>
        </w:rPr>
      </w:pPr>
      <w:r w:rsidRPr="00A16176">
        <w:rPr>
          <w:i/>
          <w:iCs/>
          <w:lang w:val="fr-FR"/>
        </w:rPr>
        <w:t>Paragraphe 6.1</w:t>
      </w:r>
      <w:r w:rsidRPr="00A16176">
        <w:rPr>
          <w:lang w:val="fr-FR"/>
        </w:rPr>
        <w:t>, lire :</w:t>
      </w:r>
    </w:p>
    <w:p w:rsidR="003B2A1B" w:rsidRPr="00A16176" w:rsidRDefault="00A16176" w:rsidP="00A16176">
      <w:pPr>
        <w:pStyle w:val="SingleTxtG"/>
        <w:ind w:left="2268" w:hanging="1134"/>
        <w:rPr>
          <w:lang w:val="fr-FR"/>
        </w:rPr>
      </w:pPr>
      <w:r w:rsidRPr="00A16176">
        <w:rPr>
          <w:lang w:val="fr-FR"/>
        </w:rPr>
        <w:t>« 6.1</w:t>
      </w:r>
      <w:r w:rsidRPr="00A16176">
        <w:rPr>
          <w:lang w:val="fr-FR"/>
        </w:rPr>
        <w:tab/>
        <w:t>L’intensité de la lumière émise par chacune des deux lampes fournies doit être, pour les indicateurs de direction des catégories 1, 1a, 1b, 2a, 2b, dans l’axe de référence, et pour les indicateurs de direction des catégories 5 et 6 dans la direction A selon l’annexe 1, au moins égale au minimum et au plus égale au maximum défini ci-après :</w:t>
      </w:r>
    </w:p>
    <w:tbl>
      <w:tblPr>
        <w:tblW w:w="7371" w:type="dxa"/>
        <w:tblInd w:w="1134" w:type="dxa"/>
        <w:tblLayout w:type="fixed"/>
        <w:tblCellMar>
          <w:left w:w="0" w:type="dxa"/>
          <w:right w:w="0" w:type="dxa"/>
        </w:tblCellMar>
        <w:tblLook w:val="0000" w:firstRow="0" w:lastRow="0" w:firstColumn="0" w:lastColumn="0" w:noHBand="0" w:noVBand="0"/>
      </w:tblPr>
      <w:tblGrid>
        <w:gridCol w:w="1848"/>
        <w:gridCol w:w="1439"/>
        <w:gridCol w:w="1533"/>
        <w:gridCol w:w="2551"/>
      </w:tblGrid>
      <w:tr w:rsidR="003B2A1B" w:rsidRPr="00A16176" w:rsidTr="00A16176">
        <w:trPr>
          <w:tblHeader/>
        </w:trPr>
        <w:tc>
          <w:tcPr>
            <w:tcW w:w="1848" w:type="dxa"/>
            <w:vMerge w:val="restart"/>
            <w:tcBorders>
              <w:top w:val="single" w:sz="4" w:space="0" w:color="auto"/>
              <w:left w:val="single" w:sz="4" w:space="0" w:color="auto"/>
              <w:bottom w:val="single" w:sz="12" w:space="0" w:color="auto"/>
              <w:right w:val="single" w:sz="4" w:space="0" w:color="auto"/>
            </w:tcBorders>
            <w:shd w:val="clear" w:color="auto" w:fill="auto"/>
            <w:vAlign w:val="bottom"/>
          </w:tcPr>
          <w:p w:rsidR="003B2A1B" w:rsidRPr="00A16176" w:rsidRDefault="00A16176" w:rsidP="000D1E6B">
            <w:pPr>
              <w:suppressAutoHyphens w:val="0"/>
              <w:spacing w:before="80" w:after="80" w:line="200" w:lineRule="exact"/>
              <w:ind w:left="57" w:right="57"/>
              <w:rPr>
                <w:rFonts w:eastAsia="Times New Roman"/>
                <w:i/>
                <w:sz w:val="16"/>
                <w:lang w:val="fr-FR"/>
              </w:rPr>
            </w:pPr>
            <w:r w:rsidRPr="00A16176">
              <w:rPr>
                <w:rFonts w:eastAsia="Times New Roman"/>
                <w:i/>
                <w:sz w:val="16"/>
                <w:lang w:val="fr-FR"/>
              </w:rPr>
              <w:t>Indicateur de direction de</w:t>
            </w:r>
            <w:r w:rsidR="000D1E6B">
              <w:rPr>
                <w:rFonts w:eastAsia="Times New Roman"/>
                <w:i/>
                <w:sz w:val="16"/>
                <w:lang w:val="fr-FR"/>
              </w:rPr>
              <w:t> </w:t>
            </w:r>
            <w:r w:rsidRPr="00A16176">
              <w:rPr>
                <w:rFonts w:eastAsia="Times New Roman"/>
                <w:i/>
                <w:sz w:val="16"/>
                <w:lang w:val="fr-FR"/>
              </w:rPr>
              <w:t>la catégorie</w:t>
            </w:r>
          </w:p>
        </w:tc>
        <w:tc>
          <w:tcPr>
            <w:tcW w:w="1439" w:type="dxa"/>
            <w:vMerge w:val="restart"/>
            <w:tcBorders>
              <w:top w:val="single" w:sz="4" w:space="0" w:color="auto"/>
              <w:left w:val="single" w:sz="4" w:space="0" w:color="auto"/>
              <w:bottom w:val="single" w:sz="12" w:space="0" w:color="auto"/>
              <w:right w:val="single" w:sz="4" w:space="0" w:color="auto"/>
            </w:tcBorders>
            <w:shd w:val="clear" w:color="auto" w:fill="auto"/>
            <w:vAlign w:val="bottom"/>
          </w:tcPr>
          <w:p w:rsidR="003B2A1B" w:rsidRPr="00A16176" w:rsidRDefault="00A16176" w:rsidP="00A16176">
            <w:pPr>
              <w:suppressAutoHyphens w:val="0"/>
              <w:spacing w:before="80" w:after="80" w:line="200" w:lineRule="exact"/>
              <w:ind w:left="57" w:right="57"/>
              <w:jc w:val="right"/>
              <w:rPr>
                <w:rFonts w:eastAsia="Times New Roman"/>
                <w:i/>
                <w:sz w:val="16"/>
                <w:lang w:val="fr-FR"/>
              </w:rPr>
            </w:pPr>
            <w:r w:rsidRPr="00A16176">
              <w:rPr>
                <w:rFonts w:eastAsia="Times New Roman"/>
                <w:i/>
                <w:sz w:val="16"/>
                <w:lang w:val="fr-FR"/>
              </w:rPr>
              <w:t>Intensité lumineuse minimale en cd</w:t>
            </w:r>
          </w:p>
        </w:tc>
        <w:tc>
          <w:tcPr>
            <w:tcW w:w="40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B2A1B" w:rsidRPr="00A16176" w:rsidRDefault="00A16176" w:rsidP="00A16176">
            <w:pPr>
              <w:suppressAutoHyphens w:val="0"/>
              <w:spacing w:before="80" w:after="80" w:line="200" w:lineRule="exact"/>
              <w:ind w:left="57" w:right="57"/>
              <w:jc w:val="center"/>
              <w:rPr>
                <w:rFonts w:eastAsia="Times New Roman"/>
                <w:i/>
                <w:sz w:val="16"/>
                <w:lang w:val="fr-FR"/>
              </w:rPr>
            </w:pPr>
            <w:r w:rsidRPr="00A16176">
              <w:rPr>
                <w:rFonts w:eastAsia="Times New Roman"/>
                <w:i/>
                <w:sz w:val="16"/>
                <w:lang w:val="fr-FR"/>
              </w:rPr>
              <w:t>Intensité lumineuse maximale (en cd) lorsque le feu est utilisé</w:t>
            </w:r>
          </w:p>
        </w:tc>
      </w:tr>
      <w:tr w:rsidR="003B2A1B" w:rsidRPr="00A16176" w:rsidTr="00A16176">
        <w:trPr>
          <w:tblHeader/>
        </w:trPr>
        <w:tc>
          <w:tcPr>
            <w:tcW w:w="1848" w:type="dxa"/>
            <w:vMerge/>
            <w:tcBorders>
              <w:top w:val="single" w:sz="12" w:space="0" w:color="auto"/>
              <w:left w:val="single" w:sz="4" w:space="0" w:color="auto"/>
              <w:bottom w:val="single" w:sz="12" w:space="0" w:color="auto"/>
              <w:right w:val="single" w:sz="4" w:space="0" w:color="auto"/>
            </w:tcBorders>
            <w:shd w:val="clear" w:color="auto" w:fill="auto"/>
            <w:vAlign w:val="bottom"/>
          </w:tcPr>
          <w:p w:rsidR="003B2A1B" w:rsidRPr="00A16176" w:rsidRDefault="00EC0A53" w:rsidP="00A16176">
            <w:pPr>
              <w:pStyle w:val="SingleTxtG"/>
              <w:ind w:left="2268" w:hanging="1134"/>
              <w:rPr>
                <w:bCs/>
                <w:lang w:val="fr-FR"/>
              </w:rPr>
            </w:pPr>
          </w:p>
        </w:tc>
        <w:tc>
          <w:tcPr>
            <w:tcW w:w="1439" w:type="dxa"/>
            <w:vMerge/>
            <w:tcBorders>
              <w:top w:val="single" w:sz="12" w:space="0" w:color="auto"/>
              <w:left w:val="single" w:sz="4" w:space="0" w:color="auto"/>
              <w:bottom w:val="single" w:sz="12" w:space="0" w:color="auto"/>
              <w:right w:val="single" w:sz="4" w:space="0" w:color="auto"/>
            </w:tcBorders>
            <w:shd w:val="clear" w:color="auto" w:fill="auto"/>
            <w:vAlign w:val="bottom"/>
          </w:tcPr>
          <w:p w:rsidR="003B2A1B" w:rsidRPr="00A16176" w:rsidRDefault="00EC0A53" w:rsidP="00A16176">
            <w:pPr>
              <w:pStyle w:val="SingleTxtG"/>
              <w:ind w:left="2268" w:hanging="1134"/>
              <w:rPr>
                <w:bCs/>
                <w:lang w:val="fr-FR"/>
              </w:rPr>
            </w:pPr>
          </w:p>
        </w:tc>
        <w:tc>
          <w:tcPr>
            <w:tcW w:w="1533" w:type="dxa"/>
            <w:tcBorders>
              <w:top w:val="single" w:sz="4" w:space="0" w:color="auto"/>
              <w:left w:val="single" w:sz="4" w:space="0" w:color="auto"/>
              <w:bottom w:val="single" w:sz="12" w:space="0" w:color="auto"/>
              <w:right w:val="single" w:sz="4" w:space="0" w:color="auto"/>
            </w:tcBorders>
            <w:shd w:val="clear" w:color="auto" w:fill="auto"/>
            <w:vAlign w:val="bottom"/>
          </w:tcPr>
          <w:p w:rsidR="003B2A1B" w:rsidRPr="00A16176" w:rsidRDefault="00A16176" w:rsidP="00A16176">
            <w:pPr>
              <w:suppressAutoHyphens w:val="0"/>
              <w:spacing w:before="80" w:after="80" w:line="200" w:lineRule="exact"/>
              <w:ind w:left="57" w:right="57"/>
              <w:jc w:val="right"/>
              <w:rPr>
                <w:rFonts w:eastAsia="Times New Roman"/>
                <w:i/>
                <w:sz w:val="16"/>
                <w:lang w:val="fr-FR"/>
              </w:rPr>
            </w:pPr>
            <w:r w:rsidRPr="00A16176">
              <w:rPr>
                <w:rFonts w:eastAsia="Times New Roman"/>
                <w:i/>
                <w:sz w:val="16"/>
                <w:lang w:val="fr-FR"/>
              </w:rPr>
              <w:t>Comme feu simple</w:t>
            </w:r>
          </w:p>
        </w:tc>
        <w:tc>
          <w:tcPr>
            <w:tcW w:w="2551" w:type="dxa"/>
            <w:tcBorders>
              <w:top w:val="single" w:sz="4" w:space="0" w:color="auto"/>
              <w:left w:val="single" w:sz="4" w:space="0" w:color="auto"/>
              <w:bottom w:val="single" w:sz="12" w:space="0" w:color="auto"/>
              <w:right w:val="single" w:sz="4" w:space="0" w:color="auto"/>
            </w:tcBorders>
            <w:shd w:val="clear" w:color="auto" w:fill="auto"/>
            <w:vAlign w:val="bottom"/>
          </w:tcPr>
          <w:p w:rsidR="003B2A1B" w:rsidRPr="00A16176" w:rsidRDefault="00A16176" w:rsidP="00A16176">
            <w:pPr>
              <w:suppressAutoHyphens w:val="0"/>
              <w:spacing w:before="80" w:after="80" w:line="200" w:lineRule="exact"/>
              <w:ind w:left="57" w:right="57"/>
              <w:jc w:val="right"/>
              <w:rPr>
                <w:rFonts w:eastAsia="Times New Roman"/>
                <w:i/>
                <w:sz w:val="16"/>
                <w:lang w:val="fr-FR"/>
              </w:rPr>
            </w:pPr>
            <w:r w:rsidRPr="00A16176">
              <w:rPr>
                <w:rFonts w:eastAsia="Times New Roman"/>
                <w:i/>
                <w:sz w:val="16"/>
                <w:lang w:val="fr-FR"/>
              </w:rPr>
              <w:t xml:space="preserve">Comme feu portant la marque « D » (voir par. 4.2.2.3 ci-dessus) </w:t>
            </w:r>
          </w:p>
        </w:tc>
      </w:tr>
      <w:tr w:rsidR="003B2A1B" w:rsidRPr="00A16176" w:rsidTr="00A16176">
        <w:tc>
          <w:tcPr>
            <w:tcW w:w="1848" w:type="dxa"/>
            <w:tcBorders>
              <w:top w:val="single" w:sz="12" w:space="0" w:color="auto"/>
              <w:left w:val="single" w:sz="4" w:space="0" w:color="auto"/>
              <w:bottom w:val="single" w:sz="4" w:space="0" w:color="auto"/>
              <w:right w:val="single" w:sz="4" w:space="0" w:color="auto"/>
            </w:tcBorders>
            <w:shd w:val="clear" w:color="auto" w:fill="auto"/>
          </w:tcPr>
          <w:p w:rsidR="003B2A1B" w:rsidRPr="00A16176" w:rsidRDefault="00A16176" w:rsidP="00A16176">
            <w:pPr>
              <w:suppressAutoHyphens w:val="0"/>
              <w:spacing w:before="60" w:after="60" w:line="220" w:lineRule="exact"/>
              <w:ind w:left="57" w:right="57"/>
              <w:rPr>
                <w:rFonts w:eastAsia="Times New Roman"/>
                <w:sz w:val="18"/>
                <w:lang w:val="fr-FR"/>
              </w:rPr>
            </w:pPr>
            <w:r w:rsidRPr="00A16176">
              <w:rPr>
                <w:rFonts w:eastAsia="Times New Roman"/>
                <w:sz w:val="18"/>
                <w:lang w:val="fr-FR"/>
              </w:rPr>
              <w:t>1</w:t>
            </w:r>
          </w:p>
        </w:tc>
        <w:tc>
          <w:tcPr>
            <w:tcW w:w="1439" w:type="dxa"/>
            <w:tcBorders>
              <w:top w:val="single" w:sz="12" w:space="0" w:color="auto"/>
              <w:left w:val="single" w:sz="4" w:space="0" w:color="auto"/>
              <w:bottom w:val="single" w:sz="4" w:space="0" w:color="auto"/>
              <w:right w:val="single" w:sz="4" w:space="0" w:color="auto"/>
            </w:tcBorders>
            <w:shd w:val="clear" w:color="auto" w:fill="auto"/>
            <w:vAlign w:val="bottom"/>
          </w:tcPr>
          <w:p w:rsidR="003B2A1B" w:rsidRPr="00A16176" w:rsidRDefault="00A16176" w:rsidP="00A16176">
            <w:pPr>
              <w:suppressAutoHyphens w:val="0"/>
              <w:spacing w:before="60" w:after="60" w:line="220" w:lineRule="exact"/>
              <w:ind w:left="57" w:right="57"/>
              <w:jc w:val="right"/>
              <w:rPr>
                <w:rFonts w:eastAsia="Times New Roman"/>
                <w:sz w:val="18"/>
                <w:lang w:val="fr-FR"/>
              </w:rPr>
            </w:pPr>
            <w:r w:rsidRPr="00A16176">
              <w:rPr>
                <w:rFonts w:eastAsia="Times New Roman"/>
                <w:sz w:val="18"/>
                <w:lang w:val="fr-FR"/>
              </w:rPr>
              <w:t>175</w:t>
            </w:r>
          </w:p>
        </w:tc>
        <w:tc>
          <w:tcPr>
            <w:tcW w:w="1533" w:type="dxa"/>
            <w:tcBorders>
              <w:top w:val="single" w:sz="12" w:space="0" w:color="auto"/>
              <w:left w:val="single" w:sz="4" w:space="0" w:color="auto"/>
              <w:bottom w:val="single" w:sz="4" w:space="0" w:color="auto"/>
              <w:right w:val="single" w:sz="4" w:space="0" w:color="auto"/>
            </w:tcBorders>
            <w:shd w:val="clear" w:color="auto" w:fill="auto"/>
            <w:vAlign w:val="bottom"/>
          </w:tcPr>
          <w:p w:rsidR="003B2A1B" w:rsidRPr="00A16176" w:rsidRDefault="00A16176" w:rsidP="00A16176">
            <w:pPr>
              <w:suppressAutoHyphens w:val="0"/>
              <w:spacing w:before="60" w:after="60" w:line="220" w:lineRule="exact"/>
              <w:ind w:left="57" w:right="57"/>
              <w:jc w:val="right"/>
              <w:rPr>
                <w:rFonts w:eastAsia="Times New Roman"/>
                <w:sz w:val="18"/>
                <w:lang w:val="fr-FR"/>
              </w:rPr>
            </w:pPr>
            <w:r w:rsidRPr="00A16176">
              <w:rPr>
                <w:rFonts w:eastAsia="Times New Roman"/>
                <w:sz w:val="18"/>
                <w:lang w:val="fr-FR"/>
              </w:rPr>
              <w:t>1 000</w:t>
            </w:r>
          </w:p>
        </w:tc>
        <w:tc>
          <w:tcPr>
            <w:tcW w:w="2551" w:type="dxa"/>
            <w:tcBorders>
              <w:top w:val="single" w:sz="12" w:space="0" w:color="auto"/>
              <w:left w:val="single" w:sz="4" w:space="0" w:color="auto"/>
              <w:bottom w:val="single" w:sz="4" w:space="0" w:color="auto"/>
              <w:right w:val="single" w:sz="4" w:space="0" w:color="auto"/>
            </w:tcBorders>
            <w:shd w:val="clear" w:color="auto" w:fill="auto"/>
            <w:vAlign w:val="bottom"/>
          </w:tcPr>
          <w:p w:rsidR="003B2A1B" w:rsidRPr="00A16176" w:rsidRDefault="00A16176" w:rsidP="00A16176">
            <w:pPr>
              <w:suppressAutoHyphens w:val="0"/>
              <w:spacing w:before="60" w:after="60" w:line="220" w:lineRule="exact"/>
              <w:ind w:left="57" w:right="57"/>
              <w:jc w:val="right"/>
              <w:rPr>
                <w:rFonts w:eastAsia="Times New Roman"/>
                <w:sz w:val="18"/>
                <w:lang w:val="fr-FR"/>
              </w:rPr>
            </w:pPr>
            <w:r w:rsidRPr="00A16176">
              <w:rPr>
                <w:rFonts w:eastAsia="Times New Roman"/>
                <w:sz w:val="18"/>
                <w:lang w:val="fr-FR"/>
              </w:rPr>
              <w:t>500</w:t>
            </w:r>
          </w:p>
        </w:tc>
      </w:tr>
      <w:tr w:rsidR="003B2A1B" w:rsidRPr="00A16176" w:rsidTr="00A16176">
        <w:tc>
          <w:tcPr>
            <w:tcW w:w="1848" w:type="dxa"/>
            <w:tcBorders>
              <w:top w:val="single" w:sz="4" w:space="0" w:color="auto"/>
              <w:left w:val="single" w:sz="4" w:space="0" w:color="auto"/>
              <w:bottom w:val="single" w:sz="4" w:space="0" w:color="auto"/>
              <w:right w:val="single" w:sz="4" w:space="0" w:color="auto"/>
            </w:tcBorders>
            <w:shd w:val="clear" w:color="auto" w:fill="auto"/>
          </w:tcPr>
          <w:p w:rsidR="003B2A1B" w:rsidRPr="00A16176" w:rsidRDefault="00A16176" w:rsidP="00A16176">
            <w:pPr>
              <w:suppressAutoHyphens w:val="0"/>
              <w:spacing w:before="60" w:after="60" w:line="220" w:lineRule="exact"/>
              <w:ind w:left="57" w:right="57"/>
              <w:rPr>
                <w:rFonts w:eastAsia="Times New Roman"/>
                <w:sz w:val="18"/>
                <w:lang w:val="fr-FR"/>
              </w:rPr>
            </w:pPr>
            <w:r w:rsidRPr="00A16176">
              <w:rPr>
                <w:rFonts w:eastAsia="Times New Roman"/>
                <w:sz w:val="18"/>
                <w:lang w:val="fr-FR"/>
              </w:rPr>
              <w:t>1a</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bottom"/>
          </w:tcPr>
          <w:p w:rsidR="003B2A1B" w:rsidRPr="00A16176" w:rsidRDefault="00A16176" w:rsidP="00A16176">
            <w:pPr>
              <w:suppressAutoHyphens w:val="0"/>
              <w:spacing w:before="60" w:after="60" w:line="220" w:lineRule="exact"/>
              <w:ind w:left="57" w:right="57"/>
              <w:jc w:val="right"/>
              <w:rPr>
                <w:rFonts w:eastAsia="Times New Roman"/>
                <w:sz w:val="18"/>
                <w:lang w:val="fr-FR"/>
              </w:rPr>
            </w:pPr>
            <w:r w:rsidRPr="00A16176">
              <w:rPr>
                <w:rFonts w:eastAsia="Times New Roman"/>
                <w:sz w:val="18"/>
                <w:lang w:val="fr-FR"/>
              </w:rPr>
              <w:t>250</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3B2A1B" w:rsidRPr="00A16176" w:rsidRDefault="00A16176" w:rsidP="00A16176">
            <w:pPr>
              <w:suppressAutoHyphens w:val="0"/>
              <w:spacing w:before="60" w:after="60" w:line="220" w:lineRule="exact"/>
              <w:ind w:left="57" w:right="57"/>
              <w:jc w:val="right"/>
              <w:rPr>
                <w:rFonts w:eastAsia="Times New Roman"/>
                <w:sz w:val="18"/>
                <w:lang w:val="fr-FR"/>
              </w:rPr>
            </w:pPr>
            <w:r w:rsidRPr="00A16176">
              <w:rPr>
                <w:rFonts w:eastAsia="Times New Roman"/>
                <w:sz w:val="18"/>
                <w:lang w:val="fr-FR"/>
              </w:rPr>
              <w:t>1 200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3B2A1B" w:rsidRPr="00A16176" w:rsidRDefault="00A16176" w:rsidP="00A16176">
            <w:pPr>
              <w:suppressAutoHyphens w:val="0"/>
              <w:spacing w:before="60" w:after="60" w:line="220" w:lineRule="exact"/>
              <w:ind w:left="57" w:right="57"/>
              <w:jc w:val="right"/>
              <w:rPr>
                <w:rFonts w:eastAsia="Times New Roman"/>
                <w:sz w:val="18"/>
                <w:lang w:val="fr-FR"/>
              </w:rPr>
            </w:pPr>
            <w:r w:rsidRPr="00A16176">
              <w:rPr>
                <w:rFonts w:eastAsia="Times New Roman"/>
                <w:sz w:val="18"/>
                <w:lang w:val="fr-FR"/>
              </w:rPr>
              <w:t>600</w:t>
            </w:r>
          </w:p>
        </w:tc>
      </w:tr>
      <w:tr w:rsidR="003B2A1B" w:rsidRPr="00A16176" w:rsidTr="00A16176">
        <w:tc>
          <w:tcPr>
            <w:tcW w:w="1848" w:type="dxa"/>
            <w:tcBorders>
              <w:top w:val="single" w:sz="4" w:space="0" w:color="auto"/>
              <w:left w:val="single" w:sz="4" w:space="0" w:color="auto"/>
              <w:bottom w:val="single" w:sz="4" w:space="0" w:color="auto"/>
              <w:right w:val="single" w:sz="4" w:space="0" w:color="auto"/>
            </w:tcBorders>
            <w:shd w:val="clear" w:color="auto" w:fill="auto"/>
          </w:tcPr>
          <w:p w:rsidR="003B2A1B" w:rsidRPr="00A16176" w:rsidRDefault="00A16176" w:rsidP="00A16176">
            <w:pPr>
              <w:suppressAutoHyphens w:val="0"/>
              <w:spacing w:before="60" w:after="60" w:line="220" w:lineRule="exact"/>
              <w:ind w:left="57" w:right="57"/>
              <w:rPr>
                <w:rFonts w:eastAsia="Times New Roman"/>
                <w:sz w:val="18"/>
                <w:lang w:val="fr-FR"/>
              </w:rPr>
            </w:pPr>
            <w:r w:rsidRPr="00A16176">
              <w:rPr>
                <w:rFonts w:eastAsia="Times New Roman"/>
                <w:sz w:val="18"/>
                <w:lang w:val="fr-FR"/>
              </w:rPr>
              <w:t>1b</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bottom"/>
          </w:tcPr>
          <w:p w:rsidR="003B2A1B" w:rsidRPr="00A16176" w:rsidRDefault="00A16176" w:rsidP="00A16176">
            <w:pPr>
              <w:suppressAutoHyphens w:val="0"/>
              <w:spacing w:before="60" w:after="60" w:line="220" w:lineRule="exact"/>
              <w:ind w:left="57" w:right="57"/>
              <w:jc w:val="right"/>
              <w:rPr>
                <w:rFonts w:eastAsia="Times New Roman"/>
                <w:sz w:val="18"/>
                <w:lang w:val="fr-FR"/>
              </w:rPr>
            </w:pPr>
            <w:r w:rsidRPr="00A16176">
              <w:rPr>
                <w:rFonts w:eastAsia="Times New Roman"/>
                <w:sz w:val="18"/>
                <w:lang w:val="fr-FR"/>
              </w:rPr>
              <w:t>400</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3B2A1B" w:rsidRPr="00A16176" w:rsidRDefault="00A16176" w:rsidP="00A16176">
            <w:pPr>
              <w:suppressAutoHyphens w:val="0"/>
              <w:spacing w:before="60" w:after="60" w:line="220" w:lineRule="exact"/>
              <w:ind w:left="57" w:right="57"/>
              <w:jc w:val="right"/>
              <w:rPr>
                <w:rFonts w:eastAsia="Times New Roman"/>
                <w:sz w:val="18"/>
                <w:lang w:val="fr-FR"/>
              </w:rPr>
            </w:pPr>
            <w:r w:rsidRPr="00A16176">
              <w:rPr>
                <w:rFonts w:eastAsia="Times New Roman"/>
                <w:sz w:val="18"/>
                <w:lang w:val="fr-FR"/>
              </w:rPr>
              <w:t>1 200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3B2A1B" w:rsidRPr="00A16176" w:rsidRDefault="00A16176" w:rsidP="00A16176">
            <w:pPr>
              <w:suppressAutoHyphens w:val="0"/>
              <w:spacing w:before="60" w:after="60" w:line="220" w:lineRule="exact"/>
              <w:ind w:left="57" w:right="57"/>
              <w:jc w:val="right"/>
              <w:rPr>
                <w:rFonts w:eastAsia="Times New Roman"/>
                <w:sz w:val="18"/>
                <w:lang w:val="fr-FR"/>
              </w:rPr>
            </w:pPr>
            <w:r w:rsidRPr="00A16176">
              <w:rPr>
                <w:rFonts w:eastAsia="Times New Roman"/>
                <w:sz w:val="18"/>
                <w:lang w:val="fr-FR"/>
              </w:rPr>
              <w:t>600</w:t>
            </w:r>
          </w:p>
        </w:tc>
      </w:tr>
      <w:tr w:rsidR="003B2A1B" w:rsidRPr="00A16176" w:rsidTr="00A16176">
        <w:tc>
          <w:tcPr>
            <w:tcW w:w="1848" w:type="dxa"/>
            <w:tcBorders>
              <w:top w:val="single" w:sz="4" w:space="0" w:color="auto"/>
              <w:left w:val="single" w:sz="4" w:space="0" w:color="auto"/>
              <w:bottom w:val="single" w:sz="4" w:space="0" w:color="auto"/>
              <w:right w:val="single" w:sz="4" w:space="0" w:color="auto"/>
            </w:tcBorders>
            <w:shd w:val="clear" w:color="auto" w:fill="auto"/>
          </w:tcPr>
          <w:p w:rsidR="003B2A1B" w:rsidRPr="00A16176" w:rsidRDefault="00A16176" w:rsidP="00A16176">
            <w:pPr>
              <w:suppressAutoHyphens w:val="0"/>
              <w:spacing w:before="60" w:after="60" w:line="220" w:lineRule="exact"/>
              <w:ind w:left="57" w:right="57"/>
              <w:rPr>
                <w:rFonts w:eastAsia="Times New Roman"/>
                <w:sz w:val="18"/>
                <w:lang w:val="fr-FR"/>
              </w:rPr>
            </w:pPr>
            <w:r w:rsidRPr="00A16176">
              <w:rPr>
                <w:rFonts w:eastAsia="Times New Roman"/>
                <w:sz w:val="18"/>
                <w:lang w:val="fr-FR"/>
              </w:rPr>
              <w:t>2a (intensité constante)</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bottom"/>
          </w:tcPr>
          <w:p w:rsidR="003B2A1B" w:rsidRPr="00A16176" w:rsidRDefault="00A16176" w:rsidP="00A16176">
            <w:pPr>
              <w:suppressAutoHyphens w:val="0"/>
              <w:spacing w:before="60" w:after="60" w:line="220" w:lineRule="exact"/>
              <w:ind w:left="57" w:right="57"/>
              <w:jc w:val="right"/>
              <w:rPr>
                <w:rFonts w:eastAsia="Times New Roman"/>
                <w:sz w:val="18"/>
                <w:lang w:val="fr-FR"/>
              </w:rPr>
            </w:pPr>
            <w:r w:rsidRPr="00A16176">
              <w:rPr>
                <w:rFonts w:eastAsia="Times New Roman"/>
                <w:sz w:val="18"/>
                <w:lang w:val="fr-FR"/>
              </w:rPr>
              <w:t>50</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3B2A1B" w:rsidRPr="00A16176" w:rsidRDefault="00A16176" w:rsidP="00A16176">
            <w:pPr>
              <w:suppressAutoHyphens w:val="0"/>
              <w:spacing w:before="60" w:after="60" w:line="220" w:lineRule="exact"/>
              <w:ind w:left="57" w:right="57"/>
              <w:jc w:val="right"/>
              <w:rPr>
                <w:rFonts w:eastAsia="Times New Roman"/>
                <w:sz w:val="18"/>
                <w:lang w:val="fr-FR"/>
              </w:rPr>
            </w:pPr>
            <w:r w:rsidRPr="00A16176">
              <w:rPr>
                <w:rFonts w:eastAsia="Times New Roman"/>
                <w:sz w:val="18"/>
                <w:lang w:val="fr-FR"/>
              </w:rPr>
              <w:t>500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3B2A1B" w:rsidRPr="00A16176" w:rsidRDefault="00A16176" w:rsidP="00A16176">
            <w:pPr>
              <w:suppressAutoHyphens w:val="0"/>
              <w:spacing w:before="60" w:after="60" w:line="220" w:lineRule="exact"/>
              <w:ind w:left="57" w:right="57"/>
              <w:jc w:val="right"/>
              <w:rPr>
                <w:rFonts w:eastAsia="Times New Roman"/>
                <w:sz w:val="18"/>
                <w:lang w:val="fr-FR"/>
              </w:rPr>
            </w:pPr>
            <w:r w:rsidRPr="00A16176">
              <w:rPr>
                <w:rFonts w:eastAsia="Times New Roman"/>
                <w:sz w:val="18"/>
                <w:lang w:val="fr-FR"/>
              </w:rPr>
              <w:t>250</w:t>
            </w:r>
          </w:p>
        </w:tc>
      </w:tr>
      <w:tr w:rsidR="003B2A1B" w:rsidRPr="00A16176" w:rsidTr="00A16176">
        <w:tc>
          <w:tcPr>
            <w:tcW w:w="1848" w:type="dxa"/>
            <w:tcBorders>
              <w:top w:val="single" w:sz="4" w:space="0" w:color="auto"/>
              <w:left w:val="single" w:sz="4" w:space="0" w:color="auto"/>
              <w:bottom w:val="single" w:sz="4" w:space="0" w:color="auto"/>
              <w:right w:val="single" w:sz="4" w:space="0" w:color="auto"/>
            </w:tcBorders>
            <w:shd w:val="clear" w:color="auto" w:fill="auto"/>
          </w:tcPr>
          <w:p w:rsidR="003B2A1B" w:rsidRPr="00A16176" w:rsidRDefault="00A16176" w:rsidP="00A16176">
            <w:pPr>
              <w:suppressAutoHyphens w:val="0"/>
              <w:spacing w:before="60" w:after="60" w:line="220" w:lineRule="exact"/>
              <w:ind w:left="57" w:right="57"/>
              <w:rPr>
                <w:rFonts w:eastAsia="Times New Roman"/>
                <w:sz w:val="18"/>
                <w:lang w:val="fr-FR"/>
              </w:rPr>
            </w:pPr>
            <w:r w:rsidRPr="00A16176">
              <w:rPr>
                <w:rFonts w:eastAsia="Times New Roman"/>
                <w:sz w:val="18"/>
                <w:lang w:val="fr-FR"/>
              </w:rPr>
              <w:t>2b (intensité variable)</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bottom"/>
          </w:tcPr>
          <w:p w:rsidR="003B2A1B" w:rsidRPr="00A16176" w:rsidRDefault="00A16176" w:rsidP="00A16176">
            <w:pPr>
              <w:suppressAutoHyphens w:val="0"/>
              <w:spacing w:before="60" w:after="60" w:line="220" w:lineRule="exact"/>
              <w:ind w:left="57" w:right="57"/>
              <w:jc w:val="right"/>
              <w:rPr>
                <w:rFonts w:eastAsia="Times New Roman"/>
                <w:sz w:val="18"/>
                <w:lang w:val="fr-FR"/>
              </w:rPr>
            </w:pPr>
            <w:r w:rsidRPr="00A16176">
              <w:rPr>
                <w:rFonts w:eastAsia="Times New Roman"/>
                <w:sz w:val="18"/>
                <w:lang w:val="fr-FR"/>
              </w:rPr>
              <w:t>50</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3B2A1B" w:rsidRPr="00A16176" w:rsidRDefault="00A16176" w:rsidP="00A16176">
            <w:pPr>
              <w:suppressAutoHyphens w:val="0"/>
              <w:spacing w:before="60" w:after="60" w:line="220" w:lineRule="exact"/>
              <w:ind w:left="57" w:right="57"/>
              <w:jc w:val="right"/>
              <w:rPr>
                <w:rFonts w:eastAsia="Times New Roman"/>
                <w:sz w:val="18"/>
                <w:lang w:val="fr-FR"/>
              </w:rPr>
            </w:pPr>
            <w:r w:rsidRPr="00A16176">
              <w:rPr>
                <w:rFonts w:eastAsia="Times New Roman"/>
                <w:sz w:val="18"/>
                <w:lang w:val="fr-FR"/>
              </w:rPr>
              <w:t>1 000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3B2A1B" w:rsidRPr="00A16176" w:rsidRDefault="00A16176" w:rsidP="00A16176">
            <w:pPr>
              <w:suppressAutoHyphens w:val="0"/>
              <w:spacing w:before="60" w:after="60" w:line="220" w:lineRule="exact"/>
              <w:ind w:left="57" w:right="57"/>
              <w:jc w:val="right"/>
              <w:rPr>
                <w:rFonts w:eastAsia="Times New Roman"/>
                <w:sz w:val="18"/>
                <w:lang w:val="fr-FR"/>
              </w:rPr>
            </w:pPr>
            <w:r w:rsidRPr="00A16176">
              <w:rPr>
                <w:rFonts w:eastAsia="Times New Roman"/>
                <w:sz w:val="18"/>
                <w:lang w:val="fr-FR"/>
              </w:rPr>
              <w:t>500</w:t>
            </w:r>
          </w:p>
        </w:tc>
      </w:tr>
      <w:tr w:rsidR="003B2A1B" w:rsidRPr="00A16176" w:rsidTr="00A16176">
        <w:tc>
          <w:tcPr>
            <w:tcW w:w="1848" w:type="dxa"/>
            <w:tcBorders>
              <w:top w:val="single" w:sz="4" w:space="0" w:color="auto"/>
              <w:left w:val="single" w:sz="4" w:space="0" w:color="auto"/>
              <w:bottom w:val="single" w:sz="4" w:space="0" w:color="auto"/>
              <w:right w:val="single" w:sz="4" w:space="0" w:color="auto"/>
            </w:tcBorders>
            <w:shd w:val="clear" w:color="auto" w:fill="auto"/>
          </w:tcPr>
          <w:p w:rsidR="003B2A1B" w:rsidRPr="00A16176" w:rsidRDefault="00A16176" w:rsidP="00A16176">
            <w:pPr>
              <w:suppressAutoHyphens w:val="0"/>
              <w:spacing w:before="60" w:after="60" w:line="220" w:lineRule="exact"/>
              <w:ind w:left="57" w:right="57"/>
              <w:rPr>
                <w:rFonts w:eastAsia="Times New Roman"/>
                <w:sz w:val="18"/>
                <w:lang w:val="fr-FR"/>
              </w:rPr>
            </w:pPr>
            <w:r w:rsidRPr="00A16176">
              <w:rPr>
                <w:rFonts w:eastAsia="Times New Roman"/>
                <w:sz w:val="18"/>
                <w:lang w:val="fr-FR"/>
              </w:rPr>
              <w:t>5</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bottom"/>
          </w:tcPr>
          <w:p w:rsidR="003B2A1B" w:rsidRPr="00A16176" w:rsidRDefault="00A16176" w:rsidP="00A16176">
            <w:pPr>
              <w:suppressAutoHyphens w:val="0"/>
              <w:spacing w:before="60" w:after="60" w:line="220" w:lineRule="exact"/>
              <w:ind w:left="57" w:right="57"/>
              <w:jc w:val="right"/>
              <w:rPr>
                <w:rFonts w:eastAsia="Times New Roman"/>
                <w:sz w:val="18"/>
                <w:lang w:val="fr-FR"/>
              </w:rPr>
            </w:pPr>
            <w:r w:rsidRPr="00A16176">
              <w:rPr>
                <w:rFonts w:eastAsia="Times New Roman"/>
                <w:sz w:val="18"/>
                <w:lang w:val="fr-FR"/>
              </w:rPr>
              <w:t>0,6</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3B2A1B" w:rsidRPr="00A16176" w:rsidRDefault="00A16176" w:rsidP="00A16176">
            <w:pPr>
              <w:suppressAutoHyphens w:val="0"/>
              <w:spacing w:before="60" w:after="60" w:line="220" w:lineRule="exact"/>
              <w:ind w:left="57" w:right="57"/>
              <w:jc w:val="right"/>
              <w:rPr>
                <w:rFonts w:eastAsia="Times New Roman"/>
                <w:sz w:val="18"/>
                <w:lang w:val="fr-FR"/>
              </w:rPr>
            </w:pPr>
            <w:r w:rsidRPr="00A16176">
              <w:rPr>
                <w:rFonts w:eastAsia="Times New Roman"/>
                <w:sz w:val="18"/>
                <w:lang w:val="fr-FR"/>
              </w:rPr>
              <w:t>280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3B2A1B" w:rsidRPr="00A16176" w:rsidRDefault="00A16176" w:rsidP="00A16176">
            <w:pPr>
              <w:suppressAutoHyphens w:val="0"/>
              <w:spacing w:before="60" w:after="60" w:line="220" w:lineRule="exact"/>
              <w:ind w:left="57" w:right="57"/>
              <w:jc w:val="right"/>
              <w:rPr>
                <w:rFonts w:eastAsia="Times New Roman"/>
                <w:sz w:val="18"/>
                <w:lang w:val="fr-FR"/>
              </w:rPr>
            </w:pPr>
            <w:r w:rsidRPr="00A16176">
              <w:rPr>
                <w:rFonts w:eastAsia="Times New Roman"/>
                <w:sz w:val="18"/>
                <w:lang w:val="fr-FR"/>
              </w:rPr>
              <w:t>140</w:t>
            </w:r>
          </w:p>
        </w:tc>
      </w:tr>
      <w:tr w:rsidR="003B2A1B" w:rsidRPr="00A16176" w:rsidTr="00A16176">
        <w:tc>
          <w:tcPr>
            <w:tcW w:w="1848" w:type="dxa"/>
            <w:tcBorders>
              <w:top w:val="single" w:sz="4" w:space="0" w:color="auto"/>
              <w:left w:val="single" w:sz="4" w:space="0" w:color="auto"/>
              <w:bottom w:val="single" w:sz="12" w:space="0" w:color="auto"/>
              <w:right w:val="single" w:sz="4" w:space="0" w:color="auto"/>
            </w:tcBorders>
            <w:shd w:val="clear" w:color="auto" w:fill="auto"/>
          </w:tcPr>
          <w:p w:rsidR="003B2A1B" w:rsidRPr="00A16176" w:rsidRDefault="00A16176" w:rsidP="00A16176">
            <w:pPr>
              <w:suppressAutoHyphens w:val="0"/>
              <w:spacing w:before="60" w:after="60" w:line="220" w:lineRule="exact"/>
              <w:ind w:left="57" w:right="57"/>
              <w:rPr>
                <w:rFonts w:eastAsia="Times New Roman"/>
                <w:sz w:val="18"/>
                <w:lang w:val="fr-FR"/>
              </w:rPr>
            </w:pPr>
            <w:r w:rsidRPr="00A16176">
              <w:rPr>
                <w:rFonts w:eastAsia="Times New Roman"/>
                <w:sz w:val="18"/>
                <w:lang w:val="fr-FR"/>
              </w:rPr>
              <w:t>6</w:t>
            </w:r>
          </w:p>
        </w:tc>
        <w:tc>
          <w:tcPr>
            <w:tcW w:w="1439" w:type="dxa"/>
            <w:tcBorders>
              <w:top w:val="single" w:sz="4" w:space="0" w:color="auto"/>
              <w:left w:val="single" w:sz="4" w:space="0" w:color="auto"/>
              <w:bottom w:val="single" w:sz="12" w:space="0" w:color="auto"/>
              <w:right w:val="single" w:sz="4" w:space="0" w:color="auto"/>
            </w:tcBorders>
            <w:shd w:val="clear" w:color="auto" w:fill="auto"/>
            <w:vAlign w:val="bottom"/>
          </w:tcPr>
          <w:p w:rsidR="003B2A1B" w:rsidRPr="00A16176" w:rsidRDefault="00A16176" w:rsidP="00A16176">
            <w:pPr>
              <w:suppressAutoHyphens w:val="0"/>
              <w:spacing w:before="60" w:after="60" w:line="220" w:lineRule="exact"/>
              <w:ind w:left="57" w:right="57"/>
              <w:jc w:val="right"/>
              <w:rPr>
                <w:rFonts w:eastAsia="Times New Roman"/>
                <w:sz w:val="18"/>
                <w:lang w:val="fr-FR"/>
              </w:rPr>
            </w:pPr>
            <w:r w:rsidRPr="00A16176">
              <w:rPr>
                <w:rFonts w:eastAsia="Times New Roman"/>
                <w:sz w:val="18"/>
                <w:lang w:val="fr-FR"/>
              </w:rPr>
              <w:t>50</w:t>
            </w:r>
          </w:p>
        </w:tc>
        <w:tc>
          <w:tcPr>
            <w:tcW w:w="1533" w:type="dxa"/>
            <w:tcBorders>
              <w:top w:val="single" w:sz="4" w:space="0" w:color="auto"/>
              <w:left w:val="single" w:sz="4" w:space="0" w:color="auto"/>
              <w:bottom w:val="single" w:sz="12" w:space="0" w:color="auto"/>
              <w:right w:val="single" w:sz="4" w:space="0" w:color="auto"/>
            </w:tcBorders>
            <w:shd w:val="clear" w:color="auto" w:fill="auto"/>
            <w:vAlign w:val="bottom"/>
          </w:tcPr>
          <w:p w:rsidR="003B2A1B" w:rsidRPr="00A16176" w:rsidRDefault="00A16176" w:rsidP="00A16176">
            <w:pPr>
              <w:suppressAutoHyphens w:val="0"/>
              <w:spacing w:before="60" w:after="60" w:line="220" w:lineRule="exact"/>
              <w:ind w:left="57" w:right="57"/>
              <w:jc w:val="right"/>
              <w:rPr>
                <w:rFonts w:eastAsia="Times New Roman"/>
                <w:sz w:val="18"/>
                <w:lang w:val="fr-FR"/>
              </w:rPr>
            </w:pPr>
            <w:r w:rsidRPr="00A16176">
              <w:rPr>
                <w:rFonts w:eastAsia="Times New Roman"/>
                <w:sz w:val="18"/>
                <w:lang w:val="fr-FR"/>
              </w:rPr>
              <w:t>280</w:t>
            </w:r>
          </w:p>
        </w:tc>
        <w:tc>
          <w:tcPr>
            <w:tcW w:w="2551" w:type="dxa"/>
            <w:tcBorders>
              <w:top w:val="single" w:sz="4" w:space="0" w:color="auto"/>
              <w:left w:val="single" w:sz="4" w:space="0" w:color="auto"/>
              <w:bottom w:val="single" w:sz="12" w:space="0" w:color="auto"/>
              <w:right w:val="single" w:sz="4" w:space="0" w:color="auto"/>
            </w:tcBorders>
            <w:shd w:val="clear" w:color="auto" w:fill="auto"/>
            <w:vAlign w:val="bottom"/>
          </w:tcPr>
          <w:p w:rsidR="003B2A1B" w:rsidRPr="00A16176" w:rsidRDefault="00A16176" w:rsidP="00A16176">
            <w:pPr>
              <w:suppressAutoHyphens w:val="0"/>
              <w:spacing w:before="60" w:after="60" w:line="220" w:lineRule="exact"/>
              <w:ind w:left="57" w:right="57"/>
              <w:jc w:val="right"/>
              <w:rPr>
                <w:rFonts w:eastAsia="Times New Roman"/>
                <w:sz w:val="18"/>
                <w:lang w:val="fr-FR"/>
              </w:rPr>
            </w:pPr>
            <w:r w:rsidRPr="00A16176">
              <w:rPr>
                <w:rFonts w:eastAsia="Times New Roman"/>
                <w:sz w:val="18"/>
                <w:lang w:val="fr-FR"/>
              </w:rPr>
              <w:t>140</w:t>
            </w:r>
          </w:p>
        </w:tc>
      </w:tr>
    </w:tbl>
    <w:p w:rsidR="003B2A1B" w:rsidRPr="00A16176" w:rsidRDefault="00A16176" w:rsidP="00A16176">
      <w:pPr>
        <w:pStyle w:val="SingleTxtG"/>
        <w:ind w:left="2268" w:hanging="1134"/>
        <w:jc w:val="right"/>
        <w:rPr>
          <w:lang w:val="fr-FR"/>
        </w:rPr>
      </w:pPr>
      <w:r w:rsidRPr="00A16176">
        <w:rPr>
          <w:lang w:val="fr-FR"/>
        </w:rPr>
        <w:t>. ».</w:t>
      </w:r>
    </w:p>
    <w:p w:rsidR="003B2A1B" w:rsidRPr="00A16176" w:rsidRDefault="00A16176" w:rsidP="00A16176">
      <w:pPr>
        <w:pStyle w:val="SingleTxtG"/>
        <w:ind w:left="2268" w:hanging="1134"/>
        <w:rPr>
          <w:bCs/>
          <w:i/>
          <w:iCs/>
          <w:lang w:val="fr-FR"/>
        </w:rPr>
      </w:pPr>
      <w:r w:rsidRPr="00A16176">
        <w:rPr>
          <w:i/>
          <w:iCs/>
          <w:lang w:val="fr-FR"/>
        </w:rPr>
        <w:t>Paragraphe 10.1</w:t>
      </w:r>
      <w:r w:rsidRPr="00A16176">
        <w:rPr>
          <w:lang w:val="fr-FR"/>
        </w:rPr>
        <w:t>, lire :</w:t>
      </w:r>
    </w:p>
    <w:p w:rsidR="003B2A1B" w:rsidRPr="00A16176" w:rsidRDefault="00A16176" w:rsidP="00A16176">
      <w:pPr>
        <w:pStyle w:val="SingleTxtG"/>
        <w:ind w:left="2268" w:hanging="1134"/>
        <w:rPr>
          <w:lang w:val="fr-FR"/>
        </w:rPr>
      </w:pPr>
      <w:r w:rsidRPr="00A16176">
        <w:rPr>
          <w:lang w:val="fr-FR"/>
        </w:rPr>
        <w:t>« 10.1</w:t>
      </w:r>
      <w:r w:rsidRPr="00A16176">
        <w:rPr>
          <w:lang w:val="fr-FR"/>
        </w:rPr>
        <w:tab/>
        <w:t>Les indicateurs de direction doivent être fabriqués de façon à être conformes au type homologué en vertu du présent Règlement.</w:t>
      </w:r>
    </w:p>
    <w:p w:rsidR="003B2A1B" w:rsidRPr="00A16176" w:rsidRDefault="00A16176" w:rsidP="00A16176">
      <w:pPr>
        <w:pStyle w:val="SingleTxtG"/>
        <w:ind w:left="2268"/>
        <w:rPr>
          <w:lang w:val="fr-FR"/>
        </w:rPr>
      </w:pPr>
      <w:r w:rsidRPr="00A16176">
        <w:rPr>
          <w:lang w:val="fr-FR"/>
        </w:rPr>
        <w:t>Le respect des prescriptions énoncées aux paragraphes 6 et 8 sera vérifié de la façon suivante : ».</w:t>
      </w:r>
    </w:p>
    <w:p w:rsidR="003B2A1B" w:rsidRPr="00A16176" w:rsidRDefault="00A16176" w:rsidP="00A16176">
      <w:pPr>
        <w:pStyle w:val="SingleTxtG"/>
        <w:ind w:left="2268" w:hanging="1134"/>
        <w:rPr>
          <w:lang w:val="fr-FR"/>
        </w:rPr>
      </w:pPr>
      <w:r w:rsidRPr="00A16176">
        <w:rPr>
          <w:i/>
          <w:iCs/>
          <w:lang w:val="fr-FR"/>
        </w:rPr>
        <w:t>Le paragraphe 10.2</w:t>
      </w:r>
      <w:r w:rsidRPr="00A16176">
        <w:rPr>
          <w:lang w:val="fr-FR"/>
        </w:rPr>
        <w:t xml:space="preserve"> devient le paragraphe 10.1.1.</w:t>
      </w:r>
    </w:p>
    <w:p w:rsidR="003B2A1B" w:rsidRPr="00A16176" w:rsidRDefault="00A16176" w:rsidP="00A16176">
      <w:pPr>
        <w:pStyle w:val="SingleTxtG"/>
        <w:ind w:left="2268" w:hanging="1134"/>
        <w:rPr>
          <w:bCs/>
          <w:lang w:val="fr-FR"/>
        </w:rPr>
      </w:pPr>
      <w:r w:rsidRPr="00A16176">
        <w:rPr>
          <w:i/>
          <w:iCs/>
          <w:lang w:val="fr-FR"/>
        </w:rPr>
        <w:t>Le paragraphe 10.3</w:t>
      </w:r>
      <w:r w:rsidRPr="00A16176">
        <w:rPr>
          <w:lang w:val="fr-FR"/>
        </w:rPr>
        <w:t xml:space="preserve"> devient le paragraphe 10.1.2.</w:t>
      </w:r>
    </w:p>
    <w:p w:rsidR="003B2A1B" w:rsidRPr="00A16176" w:rsidRDefault="00A16176" w:rsidP="00A16176">
      <w:pPr>
        <w:pStyle w:val="SingleTxtG"/>
        <w:ind w:left="2268" w:hanging="1134"/>
        <w:rPr>
          <w:lang w:val="fr-FR"/>
        </w:rPr>
      </w:pPr>
      <w:r w:rsidRPr="00A16176">
        <w:rPr>
          <w:i/>
          <w:iCs/>
          <w:lang w:val="fr-FR"/>
        </w:rPr>
        <w:t>Ajouter un nouveau paragraphe 10.2</w:t>
      </w:r>
      <w:r w:rsidRPr="00A16176">
        <w:rPr>
          <w:lang w:val="fr-FR"/>
        </w:rPr>
        <w:t>, ainsi libellé :</w:t>
      </w:r>
    </w:p>
    <w:p w:rsidR="003B2A1B" w:rsidRPr="00A16176" w:rsidRDefault="00A16176" w:rsidP="00A16176">
      <w:pPr>
        <w:pStyle w:val="SingleTxtG"/>
        <w:ind w:left="2268" w:hanging="1134"/>
        <w:rPr>
          <w:lang w:val="fr-FR"/>
        </w:rPr>
      </w:pPr>
      <w:r w:rsidRPr="00A16176">
        <w:rPr>
          <w:lang w:val="fr-FR"/>
        </w:rPr>
        <w:t>« 10.2</w:t>
      </w:r>
      <w:r w:rsidRPr="00A16176">
        <w:rPr>
          <w:lang w:val="fr-FR"/>
        </w:rPr>
        <w:tab/>
        <w:t>Dans le cas d’une ou plusieurs lampe(s) à incandescence non remplaçable(s) ou d’un ou plusieurs module(s) d’éclairage équipé(s) de lampe(s) à incandescence non remplaçable(s), un rapport (établi par le fabricant de la source lumineuse mentionné dans le dossier d’homologation de type) doit démontrer la conformité de cette (ces) lampe(s) à incandescence non remplaçable(s) avec les exigences en matière de durée de vie et, dans le cas de lampes à incandescence colorisées, par rapport aux prescriptions en matière de stabilité des couleurs, qui sont énoncées au paragraphe 4.11 de la publication CEI 60809, troisième édition. ».</w:t>
      </w:r>
    </w:p>
    <w:p w:rsidR="003B2A1B" w:rsidRPr="00A16176" w:rsidRDefault="00A16176" w:rsidP="00A16176">
      <w:pPr>
        <w:pStyle w:val="SingleTxtG"/>
        <w:ind w:left="2268" w:hanging="1134"/>
        <w:rPr>
          <w:i/>
          <w:lang w:val="fr-FR"/>
        </w:rPr>
      </w:pPr>
      <w:r w:rsidRPr="00A16176">
        <w:rPr>
          <w:i/>
          <w:iCs/>
          <w:lang w:val="fr-FR"/>
        </w:rPr>
        <w:t>Le paragraphe 10.4</w:t>
      </w:r>
      <w:r w:rsidRPr="00A16176">
        <w:rPr>
          <w:lang w:val="fr-FR"/>
        </w:rPr>
        <w:t xml:space="preserve"> devient le paragraphe 10.3.</w:t>
      </w:r>
    </w:p>
    <w:p w:rsidR="003B2A1B" w:rsidRPr="00A16176" w:rsidRDefault="00A16176" w:rsidP="000D1E6B">
      <w:pPr>
        <w:pStyle w:val="SingleTxtG"/>
        <w:keepNext/>
        <w:keepLines/>
        <w:ind w:left="2268" w:hanging="1134"/>
        <w:rPr>
          <w:lang w:val="fr-FR"/>
        </w:rPr>
      </w:pPr>
      <w:r w:rsidRPr="00A16176">
        <w:rPr>
          <w:i/>
          <w:iCs/>
          <w:lang w:val="fr-FR"/>
        </w:rPr>
        <w:lastRenderedPageBreak/>
        <w:t>Annexe 1</w:t>
      </w:r>
      <w:r w:rsidRPr="00A16176">
        <w:rPr>
          <w:lang w:val="fr-FR"/>
        </w:rPr>
        <w:t>, lire :</w:t>
      </w:r>
    </w:p>
    <w:p w:rsidR="003B2A1B" w:rsidRPr="00A16176" w:rsidRDefault="00A16176" w:rsidP="00A05B55">
      <w:pPr>
        <w:pStyle w:val="SingleTxtG"/>
        <w:keepNext/>
        <w:keepLines/>
        <w:rPr>
          <w:lang w:val="fr-FR"/>
        </w:rPr>
      </w:pPr>
      <w:r w:rsidRPr="00A16176">
        <w:rPr>
          <w:lang w:val="fr-FR"/>
        </w:rPr>
        <w:t>« …</w:t>
      </w:r>
    </w:p>
    <w:p w:rsidR="003B2A1B" w:rsidRPr="00A16176" w:rsidRDefault="00A16176" w:rsidP="000D1E6B">
      <w:pPr>
        <w:pStyle w:val="SingleTxtG"/>
        <w:ind w:left="3119" w:hanging="1985"/>
        <w:rPr>
          <w:lang w:val="fr-FR"/>
        </w:rPr>
      </w:pPr>
      <w:r w:rsidRPr="00A16176">
        <w:rPr>
          <w:i/>
          <w:iCs/>
          <w:lang w:val="fr-FR"/>
        </w:rPr>
        <w:t>Catégorie 1b </w:t>
      </w:r>
      <w:r w:rsidRPr="00A16176">
        <w:rPr>
          <w:lang w:val="fr-FR"/>
        </w:rPr>
        <w:t>:</w:t>
      </w:r>
      <w:r w:rsidRPr="00A16176">
        <w:rPr>
          <w:i/>
          <w:lang w:val="fr-FR"/>
        </w:rPr>
        <w:t xml:space="preserve"> </w:t>
      </w:r>
      <w:r w:rsidRPr="00A16176">
        <w:rPr>
          <w:i/>
          <w:lang w:val="fr-FR"/>
        </w:rPr>
        <w:tab/>
      </w:r>
      <w:r w:rsidRPr="00A16176">
        <w:rPr>
          <w:lang w:val="fr-FR"/>
        </w:rPr>
        <w:t xml:space="preserve">Pour </w:t>
      </w:r>
      <w:r w:rsidRPr="000D1E6B">
        <w:rPr>
          <w:rFonts w:eastAsia="Times New Roman"/>
        </w:rPr>
        <w:t>utilisation</w:t>
      </w:r>
      <w:r w:rsidRPr="00A16176">
        <w:rPr>
          <w:lang w:val="fr-FR"/>
        </w:rPr>
        <w:t xml:space="preserve"> à moins de ou à 20 mm des feux de croisement et/ou des feux de brouillard avant.</w:t>
      </w:r>
    </w:p>
    <w:tbl>
      <w:tblPr>
        <w:tblW w:w="9639" w:type="dxa"/>
        <w:tblCellMar>
          <w:left w:w="0" w:type="dxa"/>
          <w:right w:w="0" w:type="dxa"/>
        </w:tblCellMar>
        <w:tblLook w:val="01E0" w:firstRow="1" w:lastRow="1" w:firstColumn="1" w:lastColumn="1" w:noHBand="0" w:noVBand="0"/>
      </w:tblPr>
      <w:tblGrid>
        <w:gridCol w:w="2063"/>
        <w:gridCol w:w="7576"/>
      </w:tblGrid>
      <w:tr w:rsidR="003B2A1B" w:rsidRPr="00A16176" w:rsidTr="00A276C1">
        <w:tc>
          <w:tcPr>
            <w:tcW w:w="2918" w:type="dxa"/>
            <w:shd w:val="clear" w:color="auto" w:fill="auto"/>
          </w:tcPr>
          <w:p w:rsidR="003B2A1B" w:rsidRPr="00A16176" w:rsidRDefault="00EC0A53" w:rsidP="00A16176">
            <w:pPr>
              <w:pStyle w:val="SingleTxtG"/>
              <w:ind w:left="2268" w:hanging="1134"/>
              <w:rPr>
                <w:u w:val="single"/>
                <w:lang w:val="fr-FR"/>
              </w:rPr>
            </w:pPr>
          </w:p>
          <w:p w:rsidR="003B2A1B" w:rsidRPr="00A16176" w:rsidRDefault="00EC0A53" w:rsidP="00A16176">
            <w:pPr>
              <w:pStyle w:val="SingleTxtG"/>
              <w:ind w:left="2268" w:hanging="1134"/>
              <w:rPr>
                <w:u w:val="single"/>
                <w:lang w:val="fr-FR"/>
              </w:rPr>
            </w:pPr>
          </w:p>
        </w:tc>
        <w:tc>
          <w:tcPr>
            <w:tcW w:w="6721" w:type="dxa"/>
            <w:shd w:val="clear" w:color="auto" w:fill="auto"/>
          </w:tcPr>
          <w:p w:rsidR="003B2A1B" w:rsidRPr="00A16176" w:rsidRDefault="00A16176" w:rsidP="00A16176">
            <w:pPr>
              <w:pStyle w:val="SingleTxtG"/>
              <w:ind w:left="2268" w:hanging="1134"/>
              <w:rPr>
                <w:u w:val="single"/>
                <w:lang w:val="fr-FR"/>
              </w:rPr>
            </w:pPr>
            <w:r w:rsidRPr="00A16176">
              <w:rPr>
                <w:lang w:val="fr-FR"/>
              </w:rPr>
              <w:object w:dxaOrig="6060" w:dyaOrig="3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pt;height:162.75pt" o:ole="">
                  <v:imagedata r:id="rId8" o:title=""/>
                </v:shape>
                <o:OLEObject Type="Embed" ProgID="Word.Picture.8" ShapeID="_x0000_i1025" DrawAspect="Content" ObjectID="_1601899454" r:id="rId9"/>
              </w:object>
            </w:r>
          </w:p>
        </w:tc>
      </w:tr>
      <w:tr w:rsidR="003B2A1B" w:rsidRPr="00A16176" w:rsidTr="00A276C1">
        <w:tc>
          <w:tcPr>
            <w:tcW w:w="2918" w:type="dxa"/>
            <w:shd w:val="clear" w:color="auto" w:fill="auto"/>
          </w:tcPr>
          <w:p w:rsidR="003B2A1B" w:rsidRPr="00A16176" w:rsidRDefault="00EC0A53" w:rsidP="00A16176">
            <w:pPr>
              <w:pStyle w:val="SingleTxtG"/>
              <w:ind w:left="2268" w:hanging="1134"/>
              <w:rPr>
                <w:u w:val="single"/>
                <w:lang w:val="fr-FR"/>
              </w:rPr>
            </w:pPr>
          </w:p>
          <w:p w:rsidR="003B2A1B" w:rsidRPr="00A16176" w:rsidRDefault="00A16176" w:rsidP="00A16176">
            <w:pPr>
              <w:pStyle w:val="SingleTxtG"/>
              <w:ind w:left="2268" w:hanging="1134"/>
              <w:rPr>
                <w:u w:val="single"/>
                <w:lang w:val="fr-FR"/>
              </w:rPr>
            </w:pPr>
            <w:r w:rsidRPr="00A16176">
              <w:rPr>
                <w:noProof/>
                <w:lang w:eastAsia="fr-CH"/>
              </w:rPr>
              <mc:AlternateContent>
                <mc:Choice Requires="wps">
                  <w:drawing>
                    <wp:anchor distT="0" distB="0" distL="114300" distR="114300" simplePos="0" relativeHeight="251658240" behindDoc="0" locked="0" layoutInCell="1" allowOverlap="1" wp14:anchorId="2761C230" wp14:editId="6C6378C3">
                      <wp:simplePos x="0" y="0"/>
                      <wp:positionH relativeFrom="column">
                        <wp:posOffset>60960</wp:posOffset>
                      </wp:positionH>
                      <wp:positionV relativeFrom="paragraph">
                        <wp:posOffset>40005</wp:posOffset>
                      </wp:positionV>
                      <wp:extent cx="1588770" cy="962025"/>
                      <wp:effectExtent l="0" t="0" r="0" b="952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6176" w:rsidRPr="003F0BC9" w:rsidRDefault="00A16176" w:rsidP="00A16176">
                                  <w:pPr>
                                    <w:suppressAutoHyphens w:val="0"/>
                                    <w:spacing w:line="276" w:lineRule="auto"/>
                                  </w:pPr>
                                  <w:r w:rsidRPr="003F0BC9">
                                    <w:rPr>
                                      <w:bCs/>
                                      <w:lang w:eastAsia="it-IT"/>
                                    </w:rPr>
                                    <w:t xml:space="preserve">Au-dessous du plan H pour </w:t>
                                  </w:r>
                                  <w:r>
                                    <w:rPr>
                                      <w:bCs/>
                                      <w:lang w:eastAsia="it-IT"/>
                                    </w:rPr>
                                    <w:br/>
                                  </w:r>
                                  <w:r w:rsidRPr="003F0BC9">
                                    <w:rPr>
                                      <w:bCs/>
                                      <w:lang w:eastAsia="it-IT"/>
                                    </w:rPr>
                                    <w:t>les feux destinés à être montés de</w:t>
                                  </w:r>
                                  <w:r>
                                    <w:rPr>
                                      <w:bCs/>
                                      <w:lang w:eastAsia="it-IT"/>
                                    </w:rPr>
                                    <w:t> </w:t>
                                  </w:r>
                                  <w:r w:rsidRPr="003F0BC9">
                                    <w:rPr>
                                      <w:bCs/>
                                      <w:lang w:eastAsia="it-IT"/>
                                    </w:rPr>
                                    <w:t>manière que leur plan H se</w:t>
                                  </w:r>
                                  <w:r>
                                    <w:rPr>
                                      <w:bCs/>
                                      <w:lang w:eastAsia="it-IT"/>
                                    </w:rPr>
                                    <w:t> </w:t>
                                  </w:r>
                                  <w:r w:rsidRPr="003F0BC9">
                                    <w:rPr>
                                      <w:bCs/>
                                      <w:lang w:eastAsia="it-IT"/>
                                    </w:rPr>
                                    <w:t>trouve à moins de 750 mm au</w:t>
                                  </w:r>
                                  <w:r>
                                    <w:rPr>
                                      <w:bCs/>
                                      <w:lang w:eastAsia="it-IT"/>
                                    </w:rPr>
                                    <w:noBreakHyphen/>
                                  </w:r>
                                  <w:r w:rsidRPr="003F0BC9">
                                    <w:rPr>
                                      <w:bCs/>
                                      <w:lang w:eastAsia="it-IT"/>
                                    </w:rPr>
                                    <w:t>dessus du sol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1C230" id="Zone de texte 6" o:spid="_x0000_s1027" type="#_x0000_t202" style="position:absolute;left:0;text-align:left;margin-left:4.8pt;margin-top:3.15pt;width:125.1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" stroked="f">
                      <v:textbox inset="0,0,0,0">
                        <w:txbxContent>
                          <w:p w:rsidR="00A16176" w:rsidRPr="003F0BC9" w:rsidRDefault="00A16176" w:rsidP="00A16176">
                            <w:pPr>
                              <w:suppressAutoHyphens w:val="0"/>
                              <w:spacing w:line="276" w:lineRule="auto"/>
                            </w:pPr>
                            <w:r w:rsidRPr="003F0BC9">
                              <w:rPr>
                                <w:bCs/>
                                <w:lang w:eastAsia="it-IT"/>
                              </w:rPr>
                              <w:t xml:space="preserve">Au-dessous du plan H pour </w:t>
                            </w:r>
                            <w:r>
                              <w:rPr>
                                <w:bCs/>
                                <w:lang w:eastAsia="it-IT"/>
                              </w:rPr>
                              <w:br/>
                            </w:r>
                            <w:r w:rsidRPr="003F0BC9">
                              <w:rPr>
                                <w:bCs/>
                                <w:lang w:eastAsia="it-IT"/>
                              </w:rPr>
                              <w:t>les feux destinés à être montés de</w:t>
                            </w:r>
                            <w:r>
                              <w:rPr>
                                <w:bCs/>
                                <w:lang w:eastAsia="it-IT"/>
                              </w:rPr>
                              <w:t> </w:t>
                            </w:r>
                            <w:r w:rsidRPr="003F0BC9">
                              <w:rPr>
                                <w:bCs/>
                                <w:lang w:eastAsia="it-IT"/>
                              </w:rPr>
                              <w:t>manière que leur plan H se</w:t>
                            </w:r>
                            <w:r>
                              <w:rPr>
                                <w:bCs/>
                                <w:lang w:eastAsia="it-IT"/>
                              </w:rPr>
                              <w:t> </w:t>
                            </w:r>
                            <w:r w:rsidRPr="003F0BC9">
                              <w:rPr>
                                <w:bCs/>
                                <w:lang w:eastAsia="it-IT"/>
                              </w:rPr>
                              <w:t>trouve à moins de 750 mm au</w:t>
                            </w:r>
                            <w:r>
                              <w:rPr>
                                <w:bCs/>
                                <w:lang w:eastAsia="it-IT"/>
                              </w:rPr>
                              <w:noBreakHyphen/>
                            </w:r>
                            <w:r w:rsidRPr="003F0BC9">
                              <w:rPr>
                                <w:bCs/>
                                <w:lang w:eastAsia="it-IT"/>
                              </w:rPr>
                              <w:t>dessus du sol</w:t>
                            </w:r>
                          </w:p>
                        </w:txbxContent>
                      </v:textbox>
                    </v:shape>
                  </w:pict>
                </mc:Fallback>
              </mc:AlternateContent>
            </w:r>
          </w:p>
          <w:p w:rsidR="003B2A1B" w:rsidRPr="00A16176" w:rsidRDefault="00A16176" w:rsidP="00A16176">
            <w:pPr>
              <w:pStyle w:val="SingleTxtG"/>
              <w:ind w:left="2268" w:hanging="1134"/>
              <w:rPr>
                <w:u w:val="single"/>
                <w:lang w:val="fr-FR"/>
              </w:rPr>
            </w:pPr>
            <w:r w:rsidRPr="00A16176">
              <w:rPr>
                <w:noProof/>
                <w:lang w:eastAsia="fr-CH"/>
              </w:rPr>
              <mc:AlternateContent>
                <mc:Choice Requires="wps">
                  <w:drawing>
                    <wp:anchor distT="0" distB="0" distL="114300" distR="114300" simplePos="0" relativeHeight="251659264" behindDoc="0" locked="0" layoutInCell="1" allowOverlap="1" wp14:anchorId="3F1CBC10" wp14:editId="4C6788F4">
                      <wp:simplePos x="0" y="0"/>
                      <wp:positionH relativeFrom="column">
                        <wp:posOffset>63500</wp:posOffset>
                      </wp:positionH>
                      <wp:positionV relativeFrom="paragraph">
                        <wp:posOffset>1079500</wp:posOffset>
                      </wp:positionV>
                      <wp:extent cx="1550670" cy="494030"/>
                      <wp:effectExtent l="0" t="0" r="0" b="127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670" cy="494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6176" w:rsidRPr="00A276C1" w:rsidRDefault="00A16176" w:rsidP="00A16176">
                                  <w:pPr>
                                    <w:rPr>
                                      <w:bCs/>
                                      <w:lang w:val="fr-FR"/>
                                    </w:rPr>
                                  </w:pPr>
                                  <w:r w:rsidRPr="003F0BC9">
                                    <w:rPr>
                                      <w:bCs/>
                                      <w:lang w:val="fr-FR"/>
                                    </w:rPr>
                                    <w:t xml:space="preserve">Plan H : </w:t>
                                  </w:r>
                                  <w:r w:rsidRPr="00A276C1">
                                    <w:rPr>
                                      <w:bCs/>
                                      <w:lang w:val="fr-FR"/>
                                    </w:rPr>
                                    <w:t>« </w:t>
                                  </w:r>
                                  <w:r w:rsidRPr="003F0BC9">
                                    <w:rPr>
                                      <w:bCs/>
                                      <w:lang w:val="fr-FR"/>
                                    </w:rPr>
                                    <w:t xml:space="preserve">plan horizontal </w:t>
                                  </w:r>
                                  <w:r w:rsidRPr="003F0BC9">
                                    <w:rPr>
                                      <w:bCs/>
                                      <w:lang w:val="fr-FR"/>
                                    </w:rPr>
                                    <w:br/>
                                    <w:t xml:space="preserve">passant par le centre </w:t>
                                  </w:r>
                                  <w:r w:rsidRPr="003F0BC9">
                                    <w:rPr>
                                      <w:bCs/>
                                      <w:lang w:val="fr-FR"/>
                                    </w:rPr>
                                    <w:br/>
                                    <w:t>de référence du feu </w:t>
                                  </w:r>
                                  <w:r w:rsidRPr="00A276C1">
                                    <w:rPr>
                                      <w:bCs/>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CBC10" id="Zone de texte 5" o:spid="_x0000_s1028" type="#_x0000_t202" style="position:absolute;left:0;text-align:left;margin-left:5pt;margin-top:85pt;width:122.1pt;height: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" stroked="f">
                      <v:textbox inset="0,0,0,0">
                        <w:txbxContent>
                          <w:p w:rsidR="00A16176" w:rsidRPr="00A276C1" w:rsidRDefault="00A16176" w:rsidP="00A16176">
                            <w:pPr>
                              <w:rPr>
                                <w:bCs/>
                                <w:lang w:val="fr-FR"/>
                              </w:rPr>
                            </w:pPr>
                            <w:r w:rsidRPr="003F0BC9">
                              <w:rPr>
                                <w:bCs/>
                                <w:lang w:val="fr-FR"/>
                              </w:rPr>
                              <w:t xml:space="preserve">Plan H : </w:t>
                            </w:r>
                            <w:r w:rsidRPr="00A276C1">
                              <w:rPr>
                                <w:bCs/>
                                <w:lang w:val="fr-FR"/>
                              </w:rPr>
                              <w:t>« </w:t>
                            </w:r>
                            <w:r w:rsidRPr="003F0BC9">
                              <w:rPr>
                                <w:bCs/>
                                <w:lang w:val="fr-FR"/>
                              </w:rPr>
                              <w:t xml:space="preserve">plan horizontal </w:t>
                            </w:r>
                            <w:r w:rsidRPr="003F0BC9">
                              <w:rPr>
                                <w:bCs/>
                                <w:lang w:val="fr-FR"/>
                              </w:rPr>
                              <w:br/>
                              <w:t xml:space="preserve">passant par le centre </w:t>
                            </w:r>
                            <w:r w:rsidRPr="003F0BC9">
                              <w:rPr>
                                <w:bCs/>
                                <w:lang w:val="fr-FR"/>
                              </w:rPr>
                              <w:br/>
                              <w:t>de référence du feu </w:t>
                            </w:r>
                            <w:r w:rsidRPr="00A276C1">
                              <w:rPr>
                                <w:bCs/>
                                <w:lang w:val="fr-FR"/>
                              </w:rPr>
                              <w:t>»</w:t>
                            </w:r>
                          </w:p>
                        </w:txbxContent>
                      </v:textbox>
                    </v:shape>
                  </w:pict>
                </mc:Fallback>
              </mc:AlternateContent>
            </w:r>
          </w:p>
        </w:tc>
        <w:bookmarkStart w:id="1" w:name="_MON_1281178835"/>
        <w:bookmarkStart w:id="2" w:name="_MON_1281178921"/>
        <w:bookmarkEnd w:id="1"/>
        <w:bookmarkEnd w:id="2"/>
        <w:bookmarkStart w:id="3" w:name="_MON_1375872757"/>
        <w:bookmarkEnd w:id="3"/>
        <w:tc>
          <w:tcPr>
            <w:tcW w:w="6721" w:type="dxa"/>
            <w:shd w:val="clear" w:color="auto" w:fill="auto"/>
          </w:tcPr>
          <w:p w:rsidR="003B2A1B" w:rsidRPr="00A16176" w:rsidRDefault="00A16176" w:rsidP="00A16176">
            <w:pPr>
              <w:pStyle w:val="SingleTxtG"/>
              <w:ind w:left="2268" w:hanging="1134"/>
              <w:rPr>
                <w:u w:val="single"/>
                <w:lang w:val="fr-FR"/>
              </w:rPr>
            </w:pPr>
            <w:r w:rsidRPr="00A16176">
              <w:rPr>
                <w:lang w:val="fr-FR"/>
              </w:rPr>
              <w:object w:dxaOrig="5715" w:dyaOrig="3300">
                <v:shape id="_x0000_i1026" type="#_x0000_t75" style="width:292.5pt;height:165pt" o:ole="">
                  <v:imagedata r:id="rId10" o:title=""/>
                </v:shape>
                <o:OLEObject Type="Embed" ProgID="Word.Picture.8" ShapeID="_x0000_i1026" DrawAspect="Content" ObjectID="_1601899455" r:id="rId11"/>
              </w:object>
            </w:r>
          </w:p>
        </w:tc>
      </w:tr>
    </w:tbl>
    <w:p w:rsidR="003B2A1B" w:rsidRPr="00A16176" w:rsidRDefault="00A16176" w:rsidP="00A16176">
      <w:pPr>
        <w:pStyle w:val="SingleTxtG"/>
        <w:spacing w:before="240"/>
        <w:ind w:left="3119" w:hanging="1985"/>
        <w:rPr>
          <w:lang w:val="fr-FR"/>
        </w:rPr>
      </w:pPr>
      <w:r w:rsidRPr="00A16176">
        <w:rPr>
          <w:i/>
          <w:lang w:val="fr-FR"/>
        </w:rPr>
        <w:t>Catégories 2a et 2b </w:t>
      </w:r>
      <w:r w:rsidRPr="00A16176">
        <w:rPr>
          <w:lang w:val="fr-FR"/>
        </w:rPr>
        <w:t>:</w:t>
      </w:r>
      <w:r w:rsidRPr="00A16176">
        <w:rPr>
          <w:lang w:val="fr-FR"/>
        </w:rPr>
        <w:tab/>
        <w:t xml:space="preserve">Indicateurs de direction </w:t>
      </w:r>
      <w:r w:rsidRPr="00A16176">
        <w:rPr>
          <w:rFonts w:eastAsia="Times New Roman"/>
          <w:lang w:val="fr-FR"/>
        </w:rPr>
        <w:t>destinés</w:t>
      </w:r>
      <w:r w:rsidRPr="00A16176">
        <w:rPr>
          <w:lang w:val="fr-FR"/>
        </w:rPr>
        <w:t xml:space="preserve"> à l’arrière du véhicule...</w:t>
      </w:r>
    </w:p>
    <w:p w:rsidR="003B2A1B" w:rsidRPr="00A16176" w:rsidRDefault="00A16176" w:rsidP="00A16176">
      <w:pPr>
        <w:pStyle w:val="SingleTxtG"/>
        <w:ind w:firstLine="170"/>
        <w:jc w:val="left"/>
        <w:rPr>
          <w:lang w:val="fr-FR"/>
        </w:rPr>
      </w:pPr>
      <w:r w:rsidRPr="00A16176">
        <w:rPr>
          <w:rFonts w:eastAsia="Times New Roman"/>
          <w:i/>
          <w:sz w:val="18"/>
          <w:szCs w:val="18"/>
          <w:lang w:val="fr-FR"/>
        </w:rPr>
        <w:t>Note</w:t>
      </w:r>
      <w:r w:rsidRPr="00A16176">
        <w:rPr>
          <w:rFonts w:eastAsia="Times New Roman"/>
          <w:sz w:val="18"/>
          <w:szCs w:val="18"/>
          <w:lang w:val="fr-FR"/>
        </w:rPr>
        <w:t> : Les schémas ne sont pas modifiés.</w:t>
      </w:r>
      <w:r w:rsidRPr="00A16176">
        <w:rPr>
          <w:lang w:val="fr-FR"/>
        </w:rPr>
        <w:t> ».</w:t>
      </w:r>
    </w:p>
    <w:p w:rsidR="003B2A1B" w:rsidRPr="00A16176" w:rsidRDefault="00A16176" w:rsidP="00A16176">
      <w:pPr>
        <w:pStyle w:val="SingleTxtG"/>
        <w:ind w:left="2268" w:hanging="1134"/>
        <w:rPr>
          <w:i/>
          <w:lang w:val="fr-FR"/>
        </w:rPr>
      </w:pPr>
      <w:r w:rsidRPr="00A16176">
        <w:rPr>
          <w:i/>
          <w:iCs/>
          <w:lang w:val="fr-FR"/>
        </w:rPr>
        <w:t>Annexe 5</w:t>
      </w:r>
    </w:p>
    <w:p w:rsidR="003B2A1B" w:rsidRPr="00A16176" w:rsidRDefault="00A16176" w:rsidP="00A16176">
      <w:pPr>
        <w:pStyle w:val="SingleTxtG"/>
        <w:ind w:left="2268" w:hanging="1134"/>
        <w:rPr>
          <w:lang w:val="fr-FR"/>
        </w:rPr>
      </w:pPr>
      <w:r w:rsidRPr="00A16176">
        <w:rPr>
          <w:i/>
          <w:iCs/>
          <w:lang w:val="fr-FR"/>
        </w:rPr>
        <w:t>Paragraphes 1.2 à</w:t>
      </w:r>
      <w:r w:rsidRPr="00A16176">
        <w:rPr>
          <w:lang w:val="fr-FR"/>
        </w:rPr>
        <w:t xml:space="preserve"> </w:t>
      </w:r>
      <w:r w:rsidRPr="00A16176">
        <w:rPr>
          <w:i/>
          <w:iCs/>
          <w:lang w:val="fr-FR"/>
        </w:rPr>
        <w:t>1.3</w:t>
      </w:r>
      <w:r w:rsidRPr="00A16176">
        <w:rPr>
          <w:lang w:val="fr-FR"/>
        </w:rPr>
        <w:t>, lire :</w:t>
      </w:r>
    </w:p>
    <w:p w:rsidR="003B2A1B" w:rsidRPr="00A16176" w:rsidRDefault="00A16176" w:rsidP="00A16176">
      <w:pPr>
        <w:pStyle w:val="SingleTxtG"/>
        <w:ind w:left="2268" w:hanging="1134"/>
        <w:rPr>
          <w:lang w:val="fr-FR"/>
        </w:rPr>
      </w:pPr>
      <w:r w:rsidRPr="00A16176">
        <w:rPr>
          <w:lang w:val="fr-FR"/>
        </w:rPr>
        <w:t>« 1.2</w:t>
      </w:r>
      <w:r w:rsidRPr="00A16176">
        <w:rPr>
          <w:lang w:val="fr-FR"/>
        </w:rPr>
        <w:tab/>
        <w:t>En ce qui concerne les caractéristiques photométriques, la conformité des feux de série ne doit pas être contestée si, lorsqu’il est procédé, conformément au paragraphe 7 du présent Règlement, à l’essai des caractéristiques photométriques, énoncées au paragraphe 6 du présent Règlement, d’un feu prélevé au hasard :</w:t>
      </w:r>
    </w:p>
    <w:p w:rsidR="003B2A1B" w:rsidRPr="00A16176" w:rsidRDefault="00A16176" w:rsidP="00A16176">
      <w:pPr>
        <w:pStyle w:val="SingleTxtG"/>
        <w:ind w:left="2268" w:hanging="1134"/>
        <w:rPr>
          <w:lang w:val="fr-FR"/>
        </w:rPr>
      </w:pPr>
      <w:r w:rsidRPr="00A16176">
        <w:rPr>
          <w:lang w:val="fr-FR"/>
        </w:rPr>
        <w:t>1.2.1</w:t>
      </w:r>
      <w:r w:rsidRPr="00A16176">
        <w:rPr>
          <w:lang w:val="fr-FR"/>
        </w:rPr>
        <w:tab/>
        <w:t xml:space="preserve">Aucune valeur mesurée ne s’écarte, dans le sens défavorable, de plus de 20 % des valeurs prescrites dans le présent Règlement pour les feux indicateurs de direction des catégories 1, 1a, 1b, 2a, 2b et 6. </w:t>
      </w:r>
    </w:p>
    <w:p w:rsidR="003B2A1B" w:rsidRPr="00A16176" w:rsidRDefault="00A16176" w:rsidP="00A16176">
      <w:pPr>
        <w:pStyle w:val="SingleTxtG"/>
        <w:ind w:left="2268"/>
        <w:rPr>
          <w:lang w:val="fr-FR"/>
        </w:rPr>
      </w:pPr>
      <w:r w:rsidRPr="00A16176">
        <w:rPr>
          <w:lang w:val="fr-FR"/>
        </w:rPr>
        <w:t>Dans le cas d’un indicateur de direction de la catégorie 5 et pour les valeurs minimales requises dans tous les domaines précisés à l’annexe 1, les écarts maximaux respectifs des valeurs mesurées doivent correspondre à ceux qui sont indiqués dans le tableau ci-dessous :</w:t>
      </w:r>
    </w:p>
    <w:tbl>
      <w:tblPr>
        <w:tblW w:w="6237" w:type="dxa"/>
        <w:tblInd w:w="2268" w:type="dxa"/>
        <w:tblLayout w:type="fixed"/>
        <w:tblCellMar>
          <w:left w:w="0" w:type="dxa"/>
          <w:right w:w="0" w:type="dxa"/>
        </w:tblCellMar>
        <w:tblLook w:val="01E0" w:firstRow="1" w:lastRow="1" w:firstColumn="1" w:lastColumn="1" w:noHBand="0" w:noVBand="0"/>
      </w:tblPr>
      <w:tblGrid>
        <w:gridCol w:w="2058"/>
        <w:gridCol w:w="2113"/>
        <w:gridCol w:w="2066"/>
      </w:tblGrid>
      <w:tr w:rsidR="003B2A1B" w:rsidRPr="00A16176" w:rsidTr="000D1E6B">
        <w:trPr>
          <w:cantSplit/>
          <w:tblHeader/>
        </w:trPr>
        <w:tc>
          <w:tcPr>
            <w:tcW w:w="2058" w:type="dxa"/>
            <w:tcBorders>
              <w:top w:val="single" w:sz="4" w:space="0" w:color="auto"/>
              <w:left w:val="single" w:sz="4" w:space="0" w:color="auto"/>
              <w:bottom w:val="single" w:sz="12" w:space="0" w:color="auto"/>
              <w:right w:val="single" w:sz="4" w:space="0" w:color="auto"/>
            </w:tcBorders>
            <w:shd w:val="clear" w:color="auto" w:fill="auto"/>
            <w:vAlign w:val="bottom"/>
          </w:tcPr>
          <w:p w:rsidR="003B2A1B" w:rsidRPr="00A16176" w:rsidRDefault="00A16176" w:rsidP="000D1E6B">
            <w:pPr>
              <w:keepNext/>
              <w:keepLines/>
              <w:suppressAutoHyphens w:val="0"/>
              <w:spacing w:before="80" w:after="80" w:line="200" w:lineRule="exact"/>
              <w:ind w:left="57" w:right="57"/>
              <w:rPr>
                <w:rFonts w:eastAsia="Times New Roman"/>
                <w:i/>
                <w:sz w:val="16"/>
                <w:lang w:val="fr-FR"/>
              </w:rPr>
            </w:pPr>
            <w:r w:rsidRPr="00A16176">
              <w:rPr>
                <w:rFonts w:eastAsia="Times New Roman"/>
                <w:i/>
                <w:sz w:val="16"/>
                <w:lang w:val="fr-FR"/>
              </w:rPr>
              <w:lastRenderedPageBreak/>
              <w:t>Valeur minimale requise</w:t>
            </w:r>
          </w:p>
        </w:tc>
        <w:tc>
          <w:tcPr>
            <w:tcW w:w="2113" w:type="dxa"/>
            <w:tcBorders>
              <w:top w:val="single" w:sz="4" w:space="0" w:color="auto"/>
              <w:left w:val="single" w:sz="4" w:space="0" w:color="auto"/>
              <w:bottom w:val="single" w:sz="12" w:space="0" w:color="auto"/>
              <w:right w:val="single" w:sz="4" w:space="0" w:color="auto"/>
            </w:tcBorders>
            <w:shd w:val="clear" w:color="auto" w:fill="auto"/>
            <w:vAlign w:val="bottom"/>
          </w:tcPr>
          <w:p w:rsidR="003B2A1B" w:rsidRPr="00A16176" w:rsidRDefault="00A16176" w:rsidP="000D1E6B">
            <w:pPr>
              <w:keepNext/>
              <w:keepLines/>
              <w:suppressAutoHyphens w:val="0"/>
              <w:spacing w:before="80" w:after="80" w:line="200" w:lineRule="exact"/>
              <w:ind w:left="57" w:right="57"/>
              <w:jc w:val="right"/>
              <w:rPr>
                <w:rFonts w:eastAsia="Times New Roman"/>
                <w:i/>
                <w:sz w:val="16"/>
                <w:lang w:val="fr-FR"/>
              </w:rPr>
            </w:pPr>
            <w:r w:rsidRPr="00A16176">
              <w:rPr>
                <w:rFonts w:eastAsia="Times New Roman"/>
                <w:i/>
                <w:sz w:val="16"/>
                <w:lang w:val="fr-FR"/>
              </w:rPr>
              <w:t>Équivalent 20 %</w:t>
            </w:r>
          </w:p>
        </w:tc>
        <w:tc>
          <w:tcPr>
            <w:tcW w:w="2066" w:type="dxa"/>
            <w:tcBorders>
              <w:top w:val="single" w:sz="4" w:space="0" w:color="auto"/>
              <w:left w:val="single" w:sz="4" w:space="0" w:color="auto"/>
              <w:bottom w:val="single" w:sz="12" w:space="0" w:color="auto"/>
              <w:right w:val="single" w:sz="4" w:space="0" w:color="auto"/>
            </w:tcBorders>
            <w:shd w:val="clear" w:color="auto" w:fill="auto"/>
            <w:vAlign w:val="bottom"/>
          </w:tcPr>
          <w:p w:rsidR="003B2A1B" w:rsidRPr="00A16176" w:rsidRDefault="00A16176" w:rsidP="000D1E6B">
            <w:pPr>
              <w:keepNext/>
              <w:keepLines/>
              <w:suppressAutoHyphens w:val="0"/>
              <w:spacing w:before="80" w:after="80" w:line="200" w:lineRule="exact"/>
              <w:ind w:left="57" w:right="57"/>
              <w:jc w:val="right"/>
              <w:rPr>
                <w:rFonts w:eastAsia="Times New Roman"/>
                <w:i/>
                <w:sz w:val="16"/>
                <w:lang w:val="fr-FR"/>
              </w:rPr>
            </w:pPr>
            <w:r w:rsidRPr="00A16176">
              <w:rPr>
                <w:rFonts w:eastAsia="Times New Roman"/>
                <w:i/>
                <w:sz w:val="16"/>
                <w:lang w:val="fr-FR"/>
              </w:rPr>
              <w:t>Équivalent 30 %</w:t>
            </w:r>
          </w:p>
        </w:tc>
      </w:tr>
      <w:tr w:rsidR="003B2A1B" w:rsidRPr="00A16176" w:rsidTr="000D1E6B">
        <w:trPr>
          <w:cantSplit/>
        </w:trPr>
        <w:tc>
          <w:tcPr>
            <w:tcW w:w="2058" w:type="dxa"/>
            <w:tcBorders>
              <w:top w:val="single" w:sz="12" w:space="0" w:color="auto"/>
              <w:left w:val="single" w:sz="4" w:space="0" w:color="auto"/>
              <w:bottom w:val="single" w:sz="4" w:space="0" w:color="auto"/>
              <w:right w:val="single" w:sz="4" w:space="0" w:color="auto"/>
            </w:tcBorders>
            <w:shd w:val="clear" w:color="auto" w:fill="auto"/>
          </w:tcPr>
          <w:p w:rsidR="003B2A1B" w:rsidRPr="00A16176" w:rsidRDefault="00A16176" w:rsidP="000D1E6B">
            <w:pPr>
              <w:keepNext/>
              <w:keepLines/>
              <w:suppressAutoHyphens w:val="0"/>
              <w:spacing w:before="60" w:after="60" w:line="220" w:lineRule="exact"/>
              <w:ind w:left="57" w:right="57"/>
              <w:rPr>
                <w:rFonts w:eastAsia="Times New Roman"/>
                <w:i/>
                <w:sz w:val="18"/>
                <w:lang w:val="fr-FR"/>
              </w:rPr>
            </w:pPr>
            <w:r w:rsidRPr="00A16176">
              <w:rPr>
                <w:rFonts w:eastAsia="Times New Roman"/>
                <w:i/>
                <w:sz w:val="18"/>
                <w:lang w:val="fr-FR"/>
              </w:rPr>
              <w:t>cd</w:t>
            </w:r>
          </w:p>
        </w:tc>
        <w:tc>
          <w:tcPr>
            <w:tcW w:w="2113" w:type="dxa"/>
            <w:tcBorders>
              <w:top w:val="single" w:sz="12" w:space="0" w:color="auto"/>
              <w:left w:val="single" w:sz="4" w:space="0" w:color="auto"/>
              <w:bottom w:val="single" w:sz="4" w:space="0" w:color="auto"/>
              <w:right w:val="single" w:sz="4" w:space="0" w:color="auto"/>
            </w:tcBorders>
            <w:shd w:val="clear" w:color="auto" w:fill="auto"/>
            <w:vAlign w:val="bottom"/>
          </w:tcPr>
          <w:p w:rsidR="003B2A1B" w:rsidRPr="00A16176" w:rsidRDefault="00A16176" w:rsidP="000D1E6B">
            <w:pPr>
              <w:keepNext/>
              <w:keepLines/>
              <w:suppressAutoHyphens w:val="0"/>
              <w:spacing w:before="60" w:after="60" w:line="220" w:lineRule="exact"/>
              <w:ind w:left="57" w:right="57"/>
              <w:jc w:val="right"/>
              <w:rPr>
                <w:rFonts w:eastAsia="Times New Roman"/>
                <w:i/>
                <w:sz w:val="18"/>
                <w:lang w:val="fr-FR"/>
              </w:rPr>
            </w:pPr>
            <w:r w:rsidRPr="00A16176">
              <w:rPr>
                <w:rFonts w:eastAsia="Times New Roman"/>
                <w:i/>
                <w:sz w:val="18"/>
                <w:lang w:val="fr-FR"/>
              </w:rPr>
              <w:t>cd</w:t>
            </w:r>
          </w:p>
        </w:tc>
        <w:tc>
          <w:tcPr>
            <w:tcW w:w="2066" w:type="dxa"/>
            <w:tcBorders>
              <w:top w:val="single" w:sz="12" w:space="0" w:color="auto"/>
              <w:left w:val="single" w:sz="4" w:space="0" w:color="auto"/>
              <w:bottom w:val="single" w:sz="4" w:space="0" w:color="auto"/>
              <w:right w:val="single" w:sz="4" w:space="0" w:color="auto"/>
            </w:tcBorders>
            <w:shd w:val="clear" w:color="auto" w:fill="auto"/>
            <w:vAlign w:val="bottom"/>
          </w:tcPr>
          <w:p w:rsidR="003B2A1B" w:rsidRPr="00A16176" w:rsidRDefault="00A16176" w:rsidP="000D1E6B">
            <w:pPr>
              <w:keepNext/>
              <w:keepLines/>
              <w:suppressAutoHyphens w:val="0"/>
              <w:spacing w:before="60" w:after="60" w:line="220" w:lineRule="exact"/>
              <w:ind w:left="57" w:right="57"/>
              <w:jc w:val="right"/>
              <w:rPr>
                <w:i/>
                <w:lang w:val="fr-FR"/>
              </w:rPr>
            </w:pPr>
            <w:r w:rsidRPr="00A16176">
              <w:rPr>
                <w:rFonts w:eastAsia="Times New Roman"/>
                <w:i/>
                <w:sz w:val="18"/>
                <w:lang w:val="fr-FR"/>
              </w:rPr>
              <w:t>cd</w:t>
            </w:r>
          </w:p>
        </w:tc>
      </w:tr>
      <w:tr w:rsidR="003B2A1B" w:rsidRPr="00A16176" w:rsidTr="000D1E6B">
        <w:trPr>
          <w:cantSplit/>
        </w:trPr>
        <w:tc>
          <w:tcPr>
            <w:tcW w:w="2058" w:type="dxa"/>
            <w:tcBorders>
              <w:top w:val="single" w:sz="4" w:space="0" w:color="auto"/>
              <w:left w:val="single" w:sz="4" w:space="0" w:color="auto"/>
              <w:bottom w:val="single" w:sz="4" w:space="0" w:color="auto"/>
              <w:right w:val="single" w:sz="4" w:space="0" w:color="auto"/>
            </w:tcBorders>
            <w:shd w:val="clear" w:color="auto" w:fill="auto"/>
          </w:tcPr>
          <w:p w:rsidR="003B2A1B" w:rsidRPr="00A16176" w:rsidRDefault="00A16176" w:rsidP="000D1E6B">
            <w:pPr>
              <w:keepNext/>
              <w:keepLines/>
              <w:suppressAutoHyphens w:val="0"/>
              <w:spacing w:before="60" w:after="60" w:line="220" w:lineRule="exact"/>
              <w:ind w:left="57" w:right="57"/>
              <w:rPr>
                <w:rFonts w:eastAsia="Times New Roman"/>
                <w:sz w:val="18"/>
                <w:lang w:val="fr-FR"/>
              </w:rPr>
            </w:pPr>
            <w:r w:rsidRPr="00A16176">
              <w:rPr>
                <w:rFonts w:eastAsia="Times New Roman"/>
                <w:sz w:val="18"/>
                <w:lang w:val="fr-FR"/>
              </w:rPr>
              <w:t>0,7</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bottom"/>
          </w:tcPr>
          <w:p w:rsidR="003B2A1B" w:rsidRPr="00A16176" w:rsidRDefault="00A16176" w:rsidP="000D1E6B">
            <w:pPr>
              <w:keepNext/>
              <w:keepLines/>
              <w:suppressAutoHyphens w:val="0"/>
              <w:spacing w:before="60" w:after="60" w:line="220" w:lineRule="exact"/>
              <w:ind w:left="57" w:right="57"/>
              <w:jc w:val="right"/>
              <w:rPr>
                <w:rFonts w:eastAsia="Times New Roman"/>
                <w:sz w:val="18"/>
                <w:lang w:val="fr-FR"/>
              </w:rPr>
            </w:pPr>
            <w:r w:rsidRPr="00A16176">
              <w:rPr>
                <w:rFonts w:eastAsia="Times New Roman"/>
                <w:sz w:val="18"/>
                <w:lang w:val="fr-FR"/>
              </w:rPr>
              <w:t>0,2</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bottom"/>
          </w:tcPr>
          <w:p w:rsidR="003B2A1B" w:rsidRPr="00A16176" w:rsidRDefault="00A16176" w:rsidP="000D1E6B">
            <w:pPr>
              <w:keepNext/>
              <w:keepLines/>
              <w:suppressAutoHyphens w:val="0"/>
              <w:spacing w:before="60" w:after="60" w:line="220" w:lineRule="exact"/>
              <w:ind w:left="57" w:right="57"/>
              <w:jc w:val="right"/>
              <w:rPr>
                <w:rFonts w:eastAsia="Times New Roman"/>
                <w:sz w:val="18"/>
                <w:lang w:val="fr-FR"/>
              </w:rPr>
            </w:pPr>
            <w:r w:rsidRPr="00A16176">
              <w:rPr>
                <w:rFonts w:eastAsia="Times New Roman"/>
                <w:sz w:val="18"/>
                <w:lang w:val="fr-FR"/>
              </w:rPr>
              <w:t>0,4</w:t>
            </w:r>
          </w:p>
        </w:tc>
      </w:tr>
      <w:tr w:rsidR="003B2A1B" w:rsidRPr="00A16176" w:rsidTr="000D1E6B">
        <w:trPr>
          <w:cantSplit/>
        </w:trPr>
        <w:tc>
          <w:tcPr>
            <w:tcW w:w="2058" w:type="dxa"/>
            <w:tcBorders>
              <w:top w:val="single" w:sz="4" w:space="0" w:color="auto"/>
              <w:left w:val="single" w:sz="4" w:space="0" w:color="auto"/>
              <w:bottom w:val="single" w:sz="4" w:space="0" w:color="auto"/>
              <w:right w:val="single" w:sz="4" w:space="0" w:color="auto"/>
            </w:tcBorders>
            <w:shd w:val="clear" w:color="auto" w:fill="auto"/>
          </w:tcPr>
          <w:p w:rsidR="003B2A1B" w:rsidRPr="00A16176" w:rsidRDefault="00A16176" w:rsidP="00A16176">
            <w:pPr>
              <w:suppressAutoHyphens w:val="0"/>
              <w:spacing w:before="60" w:after="60" w:line="220" w:lineRule="exact"/>
              <w:ind w:left="57" w:right="57"/>
              <w:rPr>
                <w:rFonts w:eastAsia="Times New Roman"/>
                <w:sz w:val="18"/>
                <w:lang w:val="fr-FR"/>
              </w:rPr>
            </w:pPr>
            <w:r w:rsidRPr="00A16176">
              <w:rPr>
                <w:rFonts w:eastAsia="Times New Roman"/>
                <w:sz w:val="18"/>
                <w:lang w:val="fr-FR"/>
              </w:rPr>
              <w:t>0,6</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bottom"/>
          </w:tcPr>
          <w:p w:rsidR="003B2A1B" w:rsidRPr="00A16176" w:rsidRDefault="00A16176" w:rsidP="00A16176">
            <w:pPr>
              <w:suppressAutoHyphens w:val="0"/>
              <w:spacing w:before="60" w:after="60" w:line="220" w:lineRule="exact"/>
              <w:ind w:left="57" w:right="57"/>
              <w:jc w:val="right"/>
              <w:rPr>
                <w:rFonts w:eastAsia="Times New Roman"/>
                <w:sz w:val="18"/>
                <w:lang w:val="fr-FR"/>
              </w:rPr>
            </w:pPr>
            <w:r w:rsidRPr="00A16176">
              <w:rPr>
                <w:rFonts w:eastAsia="Times New Roman"/>
                <w:sz w:val="18"/>
                <w:lang w:val="fr-FR"/>
              </w:rPr>
              <w:t>0,2</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bottom"/>
          </w:tcPr>
          <w:p w:rsidR="003B2A1B" w:rsidRPr="00A16176" w:rsidRDefault="00A16176" w:rsidP="00A16176">
            <w:pPr>
              <w:suppressAutoHyphens w:val="0"/>
              <w:spacing w:before="60" w:after="60" w:line="220" w:lineRule="exact"/>
              <w:ind w:left="57" w:right="57"/>
              <w:jc w:val="right"/>
              <w:rPr>
                <w:rFonts w:eastAsia="Times New Roman"/>
                <w:sz w:val="18"/>
                <w:lang w:val="fr-FR"/>
              </w:rPr>
            </w:pPr>
            <w:r w:rsidRPr="00A16176">
              <w:rPr>
                <w:rFonts w:eastAsia="Times New Roman"/>
                <w:sz w:val="18"/>
                <w:lang w:val="fr-FR"/>
              </w:rPr>
              <w:t>0,4</w:t>
            </w:r>
          </w:p>
        </w:tc>
      </w:tr>
      <w:tr w:rsidR="003B2A1B" w:rsidRPr="00A16176" w:rsidTr="000D1E6B">
        <w:trPr>
          <w:cantSplit/>
        </w:trPr>
        <w:tc>
          <w:tcPr>
            <w:tcW w:w="2058" w:type="dxa"/>
            <w:tcBorders>
              <w:top w:val="single" w:sz="4" w:space="0" w:color="auto"/>
              <w:left w:val="single" w:sz="4" w:space="0" w:color="auto"/>
              <w:bottom w:val="single" w:sz="4" w:space="0" w:color="auto"/>
              <w:right w:val="single" w:sz="4" w:space="0" w:color="auto"/>
            </w:tcBorders>
            <w:shd w:val="clear" w:color="auto" w:fill="auto"/>
          </w:tcPr>
          <w:p w:rsidR="003B2A1B" w:rsidRPr="00A16176" w:rsidRDefault="00A16176" w:rsidP="00A16176">
            <w:pPr>
              <w:suppressAutoHyphens w:val="0"/>
              <w:spacing w:before="60" w:after="60" w:line="220" w:lineRule="exact"/>
              <w:ind w:left="57" w:right="57"/>
              <w:rPr>
                <w:rFonts w:eastAsia="Times New Roman"/>
                <w:sz w:val="18"/>
                <w:lang w:val="fr-FR"/>
              </w:rPr>
            </w:pPr>
            <w:r w:rsidRPr="00A16176">
              <w:rPr>
                <w:rFonts w:eastAsia="Times New Roman"/>
                <w:sz w:val="18"/>
                <w:lang w:val="fr-FR"/>
              </w:rPr>
              <w:t>0,3</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bottom"/>
          </w:tcPr>
          <w:p w:rsidR="003B2A1B" w:rsidRPr="00A16176" w:rsidRDefault="00A16176" w:rsidP="00A16176">
            <w:pPr>
              <w:suppressAutoHyphens w:val="0"/>
              <w:spacing w:before="60" w:after="60" w:line="220" w:lineRule="exact"/>
              <w:ind w:left="57" w:right="57"/>
              <w:jc w:val="right"/>
              <w:rPr>
                <w:rFonts w:eastAsia="Times New Roman"/>
                <w:sz w:val="18"/>
                <w:lang w:val="fr-FR"/>
              </w:rPr>
            </w:pPr>
            <w:r w:rsidRPr="00A16176">
              <w:rPr>
                <w:rFonts w:eastAsia="Times New Roman"/>
                <w:sz w:val="18"/>
                <w:lang w:val="fr-FR"/>
              </w:rPr>
              <w:t>0.1</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bottom"/>
          </w:tcPr>
          <w:p w:rsidR="003B2A1B" w:rsidRPr="00A16176" w:rsidRDefault="00A16176" w:rsidP="00A16176">
            <w:pPr>
              <w:suppressAutoHyphens w:val="0"/>
              <w:spacing w:before="60" w:after="60" w:line="220" w:lineRule="exact"/>
              <w:ind w:left="57" w:right="57"/>
              <w:jc w:val="right"/>
              <w:rPr>
                <w:rFonts w:eastAsia="Times New Roman"/>
                <w:sz w:val="18"/>
                <w:lang w:val="fr-FR"/>
              </w:rPr>
            </w:pPr>
            <w:r w:rsidRPr="00A16176">
              <w:rPr>
                <w:rFonts w:eastAsia="Times New Roman"/>
                <w:sz w:val="18"/>
                <w:lang w:val="fr-FR"/>
              </w:rPr>
              <w:t>0,2</w:t>
            </w:r>
          </w:p>
        </w:tc>
      </w:tr>
      <w:tr w:rsidR="003B2A1B" w:rsidRPr="00A16176" w:rsidTr="000D1E6B">
        <w:trPr>
          <w:cantSplit/>
        </w:trPr>
        <w:tc>
          <w:tcPr>
            <w:tcW w:w="2058" w:type="dxa"/>
            <w:tcBorders>
              <w:top w:val="single" w:sz="4" w:space="0" w:color="auto"/>
              <w:left w:val="single" w:sz="4" w:space="0" w:color="auto"/>
              <w:bottom w:val="single" w:sz="12" w:space="0" w:color="auto"/>
              <w:right w:val="single" w:sz="4" w:space="0" w:color="auto"/>
            </w:tcBorders>
            <w:shd w:val="clear" w:color="auto" w:fill="auto"/>
          </w:tcPr>
          <w:p w:rsidR="003B2A1B" w:rsidRPr="00A16176" w:rsidRDefault="00A16176" w:rsidP="00A16176">
            <w:pPr>
              <w:suppressAutoHyphens w:val="0"/>
              <w:spacing w:before="60" w:after="60" w:line="220" w:lineRule="exact"/>
              <w:ind w:left="57" w:right="57"/>
              <w:rPr>
                <w:rFonts w:eastAsia="Times New Roman"/>
                <w:sz w:val="18"/>
                <w:lang w:val="fr-FR"/>
              </w:rPr>
            </w:pPr>
            <w:r w:rsidRPr="00A16176">
              <w:rPr>
                <w:rFonts w:eastAsia="Times New Roman"/>
                <w:sz w:val="18"/>
                <w:lang w:val="fr-FR"/>
              </w:rPr>
              <w:t>0,07</w:t>
            </w:r>
          </w:p>
        </w:tc>
        <w:tc>
          <w:tcPr>
            <w:tcW w:w="2113" w:type="dxa"/>
            <w:tcBorders>
              <w:top w:val="single" w:sz="4" w:space="0" w:color="auto"/>
              <w:left w:val="single" w:sz="4" w:space="0" w:color="auto"/>
              <w:bottom w:val="single" w:sz="12" w:space="0" w:color="auto"/>
              <w:right w:val="single" w:sz="4" w:space="0" w:color="auto"/>
            </w:tcBorders>
            <w:shd w:val="clear" w:color="auto" w:fill="auto"/>
            <w:vAlign w:val="bottom"/>
          </w:tcPr>
          <w:p w:rsidR="003B2A1B" w:rsidRPr="00A16176" w:rsidRDefault="00A16176" w:rsidP="00A16176">
            <w:pPr>
              <w:suppressAutoHyphens w:val="0"/>
              <w:spacing w:before="60" w:after="60" w:line="220" w:lineRule="exact"/>
              <w:ind w:left="57" w:right="57"/>
              <w:jc w:val="right"/>
              <w:rPr>
                <w:rFonts w:eastAsia="Times New Roman"/>
                <w:sz w:val="18"/>
                <w:lang w:val="fr-FR"/>
              </w:rPr>
            </w:pPr>
            <w:r w:rsidRPr="00A16176">
              <w:rPr>
                <w:rFonts w:eastAsia="Times New Roman"/>
                <w:sz w:val="18"/>
                <w:lang w:val="fr-FR"/>
              </w:rPr>
              <w:t>0,02</w:t>
            </w:r>
          </w:p>
        </w:tc>
        <w:tc>
          <w:tcPr>
            <w:tcW w:w="2066" w:type="dxa"/>
            <w:tcBorders>
              <w:top w:val="single" w:sz="4" w:space="0" w:color="auto"/>
              <w:left w:val="single" w:sz="4" w:space="0" w:color="auto"/>
              <w:bottom w:val="single" w:sz="12" w:space="0" w:color="auto"/>
              <w:right w:val="single" w:sz="4" w:space="0" w:color="auto"/>
            </w:tcBorders>
            <w:shd w:val="clear" w:color="auto" w:fill="auto"/>
            <w:vAlign w:val="bottom"/>
          </w:tcPr>
          <w:p w:rsidR="003B2A1B" w:rsidRPr="00A16176" w:rsidRDefault="00A16176" w:rsidP="00A16176">
            <w:pPr>
              <w:suppressAutoHyphens w:val="0"/>
              <w:spacing w:before="60" w:after="60" w:line="220" w:lineRule="exact"/>
              <w:ind w:left="57" w:right="57"/>
              <w:jc w:val="right"/>
              <w:rPr>
                <w:rFonts w:eastAsia="Times New Roman"/>
                <w:sz w:val="18"/>
                <w:lang w:val="fr-FR"/>
              </w:rPr>
            </w:pPr>
            <w:r w:rsidRPr="00A16176">
              <w:rPr>
                <w:rFonts w:eastAsia="Times New Roman"/>
                <w:sz w:val="18"/>
                <w:lang w:val="fr-FR"/>
              </w:rPr>
              <w:t>0,04</w:t>
            </w:r>
          </w:p>
        </w:tc>
      </w:tr>
    </w:tbl>
    <w:p w:rsidR="003B2A1B" w:rsidRPr="00A16176" w:rsidRDefault="00A16176" w:rsidP="000D1E6B">
      <w:pPr>
        <w:pStyle w:val="SingleTxtG"/>
        <w:spacing w:before="240" w:after="100"/>
        <w:ind w:left="2268" w:hanging="1134"/>
        <w:rPr>
          <w:lang w:val="fr-FR"/>
        </w:rPr>
      </w:pPr>
      <w:r w:rsidRPr="00A16176">
        <w:rPr>
          <w:lang w:val="fr-FR"/>
        </w:rPr>
        <w:t>1.2.2</w:t>
      </w:r>
      <w:r w:rsidRPr="00A16176">
        <w:rPr>
          <w:lang w:val="fr-FR"/>
        </w:rPr>
        <w:tab/>
        <w:t xml:space="preserve">Dans le cas d’un indicateur de direction fourni avec une source lumineuse </w:t>
      </w:r>
      <w:r w:rsidRPr="00A16176">
        <w:rPr>
          <w:rFonts w:eastAsia="Times New Roman"/>
          <w:lang w:val="fr-FR"/>
        </w:rPr>
        <w:t>remplaçable</w:t>
      </w:r>
      <w:r w:rsidRPr="00A16176">
        <w:rPr>
          <w:lang w:val="fr-FR"/>
        </w:rPr>
        <w:t>, si les résultats d’essai décrits ci-dessus ne sont pas conformes aux prescriptions, il faut procéder à de nouveaux essais avec une autre lampe à incandescence étalon.</w:t>
      </w:r>
    </w:p>
    <w:p w:rsidR="003B2A1B" w:rsidRPr="00A16176" w:rsidRDefault="00A16176" w:rsidP="000D1E6B">
      <w:pPr>
        <w:pStyle w:val="SingleTxtG"/>
        <w:spacing w:after="100"/>
        <w:ind w:left="2268" w:hanging="1134"/>
        <w:rPr>
          <w:lang w:val="fr-FR"/>
        </w:rPr>
      </w:pPr>
      <w:r w:rsidRPr="00A16176">
        <w:rPr>
          <w:lang w:val="fr-FR"/>
        </w:rPr>
        <w:t>1.3</w:t>
      </w:r>
      <w:r w:rsidRPr="00A16176">
        <w:rPr>
          <w:lang w:val="fr-FR"/>
        </w:rPr>
        <w:tab/>
        <w:t>En ce qui concerne les caractéristiques colorimétriques, il doit être satisfait aux prescriptions énoncées au paragraphe 8 du présent Règlement. ».</w:t>
      </w:r>
    </w:p>
    <w:p w:rsidR="003B2A1B" w:rsidRPr="00A16176" w:rsidRDefault="00A16176" w:rsidP="000D1E6B">
      <w:pPr>
        <w:pStyle w:val="SingleTxtG"/>
        <w:spacing w:after="100"/>
        <w:ind w:left="2268" w:hanging="1134"/>
        <w:rPr>
          <w:lang w:val="fr-FR"/>
        </w:rPr>
      </w:pPr>
      <w:r w:rsidRPr="00A16176">
        <w:rPr>
          <w:i/>
          <w:iCs/>
          <w:lang w:val="fr-FR"/>
        </w:rPr>
        <w:t>Ajouter les nouveaux paragraphes 1.4</w:t>
      </w:r>
      <w:r w:rsidRPr="00A16176">
        <w:rPr>
          <w:lang w:val="fr-FR"/>
        </w:rPr>
        <w:t xml:space="preserve"> </w:t>
      </w:r>
      <w:r w:rsidRPr="00A16176">
        <w:rPr>
          <w:i/>
          <w:iCs/>
          <w:lang w:val="fr-FR"/>
        </w:rPr>
        <w:t>à 1.4.2</w:t>
      </w:r>
      <w:r w:rsidRPr="00A16176">
        <w:rPr>
          <w:lang w:val="fr-FR"/>
        </w:rPr>
        <w:t>, ainsi libellés :</w:t>
      </w:r>
    </w:p>
    <w:p w:rsidR="003B2A1B" w:rsidRPr="00A16176" w:rsidRDefault="00A16176" w:rsidP="000D1E6B">
      <w:pPr>
        <w:pStyle w:val="SingleTxtG"/>
        <w:spacing w:after="100"/>
        <w:ind w:left="2268" w:hanging="1134"/>
        <w:rPr>
          <w:bCs/>
          <w:lang w:val="fr-FR"/>
        </w:rPr>
      </w:pPr>
      <w:r w:rsidRPr="00A16176">
        <w:rPr>
          <w:lang w:val="fr-FR"/>
        </w:rPr>
        <w:t>« 1.4</w:t>
      </w:r>
      <w:r w:rsidRPr="00A16176">
        <w:rPr>
          <w:lang w:val="fr-FR"/>
        </w:rPr>
        <w:tab/>
        <w:t>Dans le cas d’une ou plusieurs lampe(s) à incandescence non remplaçable(s) ou d’un ou plusieurs module(s) d’éclairage équipé(s) de lampe(s) à incandescence non remplaçable(s), lors de toute vérification de la conformité de la production :</w:t>
      </w:r>
    </w:p>
    <w:p w:rsidR="003B2A1B" w:rsidRPr="00A16176" w:rsidRDefault="00A16176" w:rsidP="000D1E6B">
      <w:pPr>
        <w:pStyle w:val="SingleTxtG"/>
        <w:spacing w:after="100"/>
        <w:ind w:left="2268" w:hanging="1134"/>
        <w:rPr>
          <w:bCs/>
          <w:lang w:val="fr-FR"/>
        </w:rPr>
      </w:pPr>
      <w:r w:rsidRPr="00A16176">
        <w:rPr>
          <w:lang w:val="fr-FR"/>
        </w:rPr>
        <w:t>1.4.1</w:t>
      </w:r>
      <w:r w:rsidRPr="00A16176">
        <w:rPr>
          <w:lang w:val="fr-FR"/>
        </w:rPr>
        <w:tab/>
        <w:t>Le détenteur de l’homologation est tenu d’apporter la preuve de son (leur) utilisation dans la fabrication courante et de montrer l’identification de la ou des lampes à incandescence non remplaçables comme il est indiqué dans le dossier d’homologation de type ;</w:t>
      </w:r>
    </w:p>
    <w:p w:rsidR="003B2A1B" w:rsidRPr="00A16176" w:rsidRDefault="00A16176" w:rsidP="000D1E6B">
      <w:pPr>
        <w:pStyle w:val="SingleTxtG"/>
        <w:spacing w:after="100"/>
        <w:ind w:left="2268" w:hanging="1134"/>
        <w:rPr>
          <w:i/>
          <w:lang w:val="fr-FR"/>
        </w:rPr>
      </w:pPr>
      <w:r w:rsidRPr="00A16176">
        <w:rPr>
          <w:lang w:val="fr-FR"/>
        </w:rPr>
        <w:t>1.4.2</w:t>
      </w:r>
      <w:r w:rsidRPr="00A16176">
        <w:rPr>
          <w:lang w:val="fr-FR"/>
        </w:rPr>
        <w:tab/>
        <w:t>En cas de doute quant à la conformité de la ou des lampes à incandescence non remplaçables avec les exigences en matière de durée de vie et/ou, dans le cas de lampes à incandescence colorisées, par rapport aux prescriptions en matière de stabilité des couleurs, qui sont énoncées au paragraphe 4.11 de la publication CEI 60809, troisième édition, la conformité doit être vérifiée (par le fabricant de la source lumineuse mentionné dans le dossier d’homologation de type) comme spécifié au paragraphe 4.11 de la publication CEI 60809, troisième édition. ».</w:t>
      </w:r>
    </w:p>
    <w:p w:rsidR="003B2A1B" w:rsidRPr="00A16176" w:rsidRDefault="00A16176" w:rsidP="000D1E6B">
      <w:pPr>
        <w:pStyle w:val="SingleTxtG"/>
        <w:spacing w:after="100"/>
        <w:ind w:left="2268" w:hanging="1134"/>
        <w:rPr>
          <w:i/>
          <w:lang w:val="fr-FR"/>
        </w:rPr>
      </w:pPr>
      <w:r w:rsidRPr="00A16176">
        <w:rPr>
          <w:i/>
          <w:iCs/>
          <w:lang w:val="fr-FR"/>
        </w:rPr>
        <w:t>Annexe 6</w:t>
      </w:r>
    </w:p>
    <w:p w:rsidR="003B2A1B" w:rsidRPr="00A16176" w:rsidRDefault="00A16176" w:rsidP="000D1E6B">
      <w:pPr>
        <w:pStyle w:val="SingleTxtG"/>
        <w:spacing w:after="100"/>
        <w:ind w:left="2268" w:hanging="1134"/>
        <w:rPr>
          <w:bCs/>
          <w:i/>
          <w:iCs/>
          <w:lang w:val="fr-FR"/>
        </w:rPr>
      </w:pPr>
      <w:r w:rsidRPr="00A16176">
        <w:rPr>
          <w:i/>
          <w:iCs/>
          <w:lang w:val="fr-FR"/>
        </w:rPr>
        <w:t>Paragraphe 1.2</w:t>
      </w:r>
      <w:r w:rsidRPr="00A16176">
        <w:rPr>
          <w:lang w:val="fr-FR"/>
        </w:rPr>
        <w:t>, lire :</w:t>
      </w:r>
    </w:p>
    <w:p w:rsidR="003B2A1B" w:rsidRPr="00A16176" w:rsidRDefault="00A16176" w:rsidP="000D1E6B">
      <w:pPr>
        <w:pStyle w:val="SingleTxtG"/>
        <w:spacing w:after="100"/>
        <w:ind w:left="2268" w:hanging="1134"/>
        <w:rPr>
          <w:lang w:val="fr-FR"/>
        </w:rPr>
      </w:pPr>
      <w:r w:rsidRPr="00A16176">
        <w:rPr>
          <w:lang w:val="fr-FR"/>
        </w:rPr>
        <w:t>« 1.2</w:t>
      </w:r>
      <w:r w:rsidRPr="00A16176">
        <w:rPr>
          <w:lang w:val="fr-FR"/>
        </w:rPr>
        <w:tab/>
        <w:t>En ce qui concerne les caractéristiques photométriques, la conformité des feux de série ne doit pas être contestée si, lorsqu’il est procédé, conformément au paragraphe 7 du présent Règlement, à l’essai des caractéristiques photométriques énoncées au paragraphe 6 du présent Règlement d’un feu prélevé au hasard : ».</w:t>
      </w:r>
    </w:p>
    <w:p w:rsidR="003B2A1B" w:rsidRPr="00A16176" w:rsidRDefault="00A16176" w:rsidP="000D1E6B">
      <w:pPr>
        <w:pStyle w:val="SingleTxtG"/>
        <w:spacing w:after="100"/>
        <w:ind w:left="2268" w:hanging="1134"/>
        <w:rPr>
          <w:bCs/>
          <w:iCs/>
          <w:lang w:val="fr-FR"/>
        </w:rPr>
      </w:pPr>
      <w:r w:rsidRPr="00A16176">
        <w:rPr>
          <w:i/>
          <w:iCs/>
          <w:lang w:val="fr-FR"/>
        </w:rPr>
        <w:t>Paragraphe 1.2.1</w:t>
      </w:r>
      <w:r w:rsidRPr="00A16176">
        <w:rPr>
          <w:lang w:val="fr-FR"/>
        </w:rPr>
        <w:t>, lire :</w:t>
      </w:r>
    </w:p>
    <w:p w:rsidR="003B2A1B" w:rsidRPr="000D1E6B" w:rsidRDefault="00A16176" w:rsidP="000D1E6B">
      <w:pPr>
        <w:pStyle w:val="SingleTxtG"/>
        <w:spacing w:after="100"/>
        <w:ind w:left="2268" w:hanging="1134"/>
        <w:rPr>
          <w:spacing w:val="-2"/>
          <w:lang w:val="fr-FR"/>
        </w:rPr>
      </w:pPr>
      <w:r w:rsidRPr="000D1E6B">
        <w:rPr>
          <w:spacing w:val="-2"/>
          <w:lang w:val="fr-FR"/>
        </w:rPr>
        <w:t>« 1.2.1</w:t>
      </w:r>
      <w:r w:rsidRPr="000D1E6B">
        <w:rPr>
          <w:spacing w:val="-2"/>
          <w:lang w:val="fr-FR"/>
        </w:rPr>
        <w:tab/>
        <w:t>Il est satisfait aux prescriptions du paragraphe 1.2.1 de l’annexe 5 du présent Règlement, selon la classe de feux indicateurs de direction la plus courante. ».</w:t>
      </w:r>
    </w:p>
    <w:p w:rsidR="003B2A1B" w:rsidRPr="00A16176" w:rsidRDefault="00A16176" w:rsidP="000D1E6B">
      <w:pPr>
        <w:pStyle w:val="SingleTxtG"/>
        <w:spacing w:after="100"/>
        <w:ind w:left="2268" w:hanging="1134"/>
        <w:rPr>
          <w:lang w:val="fr-FR"/>
        </w:rPr>
      </w:pPr>
      <w:r w:rsidRPr="00A16176">
        <w:rPr>
          <w:i/>
          <w:iCs/>
          <w:lang w:val="fr-FR"/>
        </w:rPr>
        <w:t>Paragraphes 2 à 5</w:t>
      </w:r>
      <w:r w:rsidRPr="00A16176">
        <w:rPr>
          <w:lang w:val="fr-FR"/>
        </w:rPr>
        <w:t>, lire :</w:t>
      </w:r>
    </w:p>
    <w:p w:rsidR="003B2A1B" w:rsidRPr="00A16176" w:rsidRDefault="00A16176" w:rsidP="000D1E6B">
      <w:pPr>
        <w:pStyle w:val="SingleTxtG"/>
        <w:spacing w:after="100"/>
        <w:ind w:left="2268" w:hanging="1134"/>
        <w:rPr>
          <w:lang w:val="fr-FR"/>
        </w:rPr>
      </w:pPr>
      <w:r w:rsidRPr="00A16176">
        <w:rPr>
          <w:lang w:val="fr-FR"/>
        </w:rPr>
        <w:t>« 2.</w:t>
      </w:r>
      <w:r w:rsidRPr="00A16176">
        <w:rPr>
          <w:lang w:val="fr-FR"/>
        </w:rPr>
        <w:tab/>
        <w:t>Premier prélèvement</w:t>
      </w:r>
    </w:p>
    <w:p w:rsidR="003B2A1B" w:rsidRPr="00A16176" w:rsidRDefault="00A16176" w:rsidP="000D1E6B">
      <w:pPr>
        <w:pStyle w:val="SingleTxtG"/>
        <w:spacing w:after="100"/>
        <w:ind w:left="2268"/>
        <w:rPr>
          <w:lang w:val="fr-FR"/>
        </w:rPr>
      </w:pPr>
      <w:r w:rsidRPr="00A16176">
        <w:rPr>
          <w:lang w:val="fr-FR"/>
        </w:rPr>
        <w:t>Lors du premier prélèvement, quatre feux sont choisis au hasard. La lettre A est apposée sur le premier et le troisième, et la lettre B sur le deuxième et le quatrième.</w:t>
      </w:r>
    </w:p>
    <w:p w:rsidR="003B2A1B" w:rsidRPr="00A16176" w:rsidRDefault="00A16176" w:rsidP="000D1E6B">
      <w:pPr>
        <w:pStyle w:val="SingleTxtG"/>
        <w:spacing w:after="100"/>
        <w:ind w:left="2268" w:hanging="1134"/>
        <w:rPr>
          <w:lang w:val="fr-FR"/>
        </w:rPr>
      </w:pPr>
      <w:r w:rsidRPr="00A16176">
        <w:rPr>
          <w:lang w:val="fr-FR"/>
        </w:rPr>
        <w:t>2.1</w:t>
      </w:r>
      <w:r w:rsidRPr="00A16176">
        <w:rPr>
          <w:lang w:val="fr-FR"/>
        </w:rPr>
        <w:tab/>
      </w:r>
      <w:r w:rsidRPr="00A16176">
        <w:rPr>
          <w:lang w:val="fr-FR"/>
        </w:rPr>
        <w:tab/>
        <w:t>La conformité des feux de série ne doit pas être contestée si aucune valeur mesurée sur les feux des échantillons A et B ne s’écarte de plus de 20 % (pour aucun des quatre feux).</w:t>
      </w:r>
    </w:p>
    <w:p w:rsidR="003B2A1B" w:rsidRPr="00A16176" w:rsidRDefault="00A16176" w:rsidP="000D1E6B">
      <w:pPr>
        <w:pStyle w:val="SingleTxtG"/>
        <w:spacing w:after="100"/>
        <w:ind w:left="2268"/>
        <w:rPr>
          <w:lang w:val="fr-FR"/>
        </w:rPr>
      </w:pPr>
      <w:r w:rsidRPr="00A16176">
        <w:rPr>
          <w:lang w:val="fr-FR"/>
        </w:rPr>
        <w:t>Si l’écart n’est pas supérieur à 0 % pour les deux feux de l’échantillon A, on peut arrêter les mesures.</w:t>
      </w:r>
    </w:p>
    <w:p w:rsidR="003B2A1B" w:rsidRPr="00A16176" w:rsidRDefault="00A16176" w:rsidP="000D1E6B">
      <w:pPr>
        <w:pStyle w:val="SingleTxtG"/>
        <w:spacing w:after="100"/>
        <w:ind w:left="2268" w:hanging="1134"/>
        <w:rPr>
          <w:lang w:val="fr-FR"/>
        </w:rPr>
      </w:pPr>
      <w:r w:rsidRPr="00A16176">
        <w:rPr>
          <w:lang w:val="fr-FR"/>
        </w:rPr>
        <w:lastRenderedPageBreak/>
        <w:t>2.2</w:t>
      </w:r>
      <w:r w:rsidRPr="00A16176">
        <w:rPr>
          <w:lang w:val="fr-FR"/>
        </w:rPr>
        <w:tab/>
      </w:r>
      <w:r w:rsidRPr="00A16176">
        <w:rPr>
          <w:lang w:val="fr-FR"/>
        </w:rPr>
        <w:tab/>
        <w:t>La conformité des feux de série doit être contestée si l’écart de la valeur mesurée sur au moins un feu des échantillons A ou B dépasse 20 %.</w:t>
      </w:r>
    </w:p>
    <w:p w:rsidR="003B2A1B" w:rsidRPr="00A16176" w:rsidRDefault="00A16176" w:rsidP="000D1E6B">
      <w:pPr>
        <w:pStyle w:val="SingleTxtG"/>
        <w:spacing w:after="100"/>
        <w:ind w:left="2268"/>
        <w:rPr>
          <w:lang w:val="fr-FR"/>
        </w:rPr>
      </w:pPr>
      <w:r w:rsidRPr="00A16176">
        <w:rPr>
          <w:lang w:val="fr-FR"/>
        </w:rPr>
        <w:t>Le fabricant doit être prié de mettre sa production en conformité avec les prescriptions et il faut procéder à un deuxième prélèvement, conformément au paragraphe 3, dans les deux mois qui suivent la notification. Les échantillons A et B doivent être conservés par le service technique jusqu’à la fin du processus de vérification de la conformité.</w:t>
      </w:r>
    </w:p>
    <w:p w:rsidR="003B2A1B" w:rsidRPr="00A16176" w:rsidRDefault="00A16176" w:rsidP="000D1E6B">
      <w:pPr>
        <w:pStyle w:val="SingleTxtG"/>
        <w:spacing w:after="100"/>
        <w:ind w:left="2268" w:hanging="1134"/>
        <w:rPr>
          <w:lang w:val="fr-FR"/>
        </w:rPr>
      </w:pPr>
      <w:r w:rsidRPr="00A16176">
        <w:rPr>
          <w:lang w:val="fr-FR"/>
        </w:rPr>
        <w:t>3.</w:t>
      </w:r>
      <w:r w:rsidRPr="00A16176">
        <w:rPr>
          <w:lang w:val="fr-FR"/>
        </w:rPr>
        <w:tab/>
        <w:t>Deuxième prélèvement</w:t>
      </w:r>
    </w:p>
    <w:p w:rsidR="003B2A1B" w:rsidRPr="00A16176" w:rsidRDefault="00A16176" w:rsidP="000D1E6B">
      <w:pPr>
        <w:pStyle w:val="SingleTxtG"/>
        <w:spacing w:after="100"/>
        <w:ind w:left="2268"/>
        <w:rPr>
          <w:lang w:val="fr-FR"/>
        </w:rPr>
      </w:pPr>
      <w:r w:rsidRPr="00A16176">
        <w:rPr>
          <w:lang w:val="fr-FR"/>
        </w:rPr>
        <w:t>On choisit au hasard quatre feux parmi le stock produit après mise en conformité.</w:t>
      </w:r>
    </w:p>
    <w:p w:rsidR="003B2A1B" w:rsidRPr="00A16176" w:rsidRDefault="00A16176" w:rsidP="000D1E6B">
      <w:pPr>
        <w:pStyle w:val="SingleTxtG"/>
        <w:spacing w:after="100"/>
        <w:ind w:left="2268"/>
        <w:rPr>
          <w:lang w:val="fr-FR"/>
        </w:rPr>
      </w:pPr>
      <w:r w:rsidRPr="00A16176">
        <w:rPr>
          <w:lang w:val="fr-FR"/>
        </w:rPr>
        <w:t>La lettre C est apposée sur le premier et le troisième, et la lettre D sur le deuxième et le quatrième.</w:t>
      </w:r>
    </w:p>
    <w:p w:rsidR="003B2A1B" w:rsidRPr="00A16176" w:rsidRDefault="00A16176" w:rsidP="000D1E6B">
      <w:pPr>
        <w:pStyle w:val="SingleTxtG"/>
        <w:spacing w:after="100"/>
        <w:ind w:left="2268" w:hanging="1134"/>
        <w:rPr>
          <w:lang w:val="fr-FR"/>
        </w:rPr>
      </w:pPr>
      <w:r w:rsidRPr="00A16176">
        <w:rPr>
          <w:lang w:val="fr-FR"/>
        </w:rPr>
        <w:t>3.1</w:t>
      </w:r>
      <w:r w:rsidRPr="00A16176">
        <w:rPr>
          <w:lang w:val="fr-FR"/>
        </w:rPr>
        <w:tab/>
        <w:t>La conformité des feux de série ne doit pas être contestée si aucune valeur mesurée sur les feux des échantillons C et D ne s’écarte de plus de 20 % (pour aucun des quatre feux).</w:t>
      </w:r>
    </w:p>
    <w:p w:rsidR="003B2A1B" w:rsidRPr="00A16176" w:rsidRDefault="00A16176" w:rsidP="000D1E6B">
      <w:pPr>
        <w:pStyle w:val="SingleTxtG"/>
        <w:spacing w:after="100"/>
        <w:ind w:left="2268"/>
        <w:rPr>
          <w:lang w:val="fr-FR"/>
        </w:rPr>
      </w:pPr>
      <w:r w:rsidRPr="00A16176">
        <w:rPr>
          <w:lang w:val="fr-FR"/>
        </w:rPr>
        <w:t xml:space="preserve">Si l’écart n’est pas supérieur à 0 % pour les deux feux de l’échantillon C, on peut arrêter les mesures. </w:t>
      </w:r>
    </w:p>
    <w:p w:rsidR="003B2A1B" w:rsidRPr="00A16176" w:rsidRDefault="00A16176" w:rsidP="000D1E6B">
      <w:pPr>
        <w:pStyle w:val="SingleTxtG"/>
        <w:spacing w:after="100"/>
        <w:ind w:left="2268" w:hanging="1134"/>
        <w:rPr>
          <w:lang w:val="fr-FR"/>
        </w:rPr>
      </w:pPr>
      <w:r w:rsidRPr="00A16176">
        <w:rPr>
          <w:lang w:val="fr-FR"/>
        </w:rPr>
        <w:t>3.2</w:t>
      </w:r>
      <w:r w:rsidRPr="00A16176">
        <w:rPr>
          <w:lang w:val="fr-FR"/>
        </w:rPr>
        <w:tab/>
        <w:t>La conformité des feux de série doit être contestée si l’écart de la valeur mesurée sur au moins</w:t>
      </w:r>
    </w:p>
    <w:p w:rsidR="003B2A1B" w:rsidRPr="00A16176" w:rsidRDefault="00A16176" w:rsidP="000D1E6B">
      <w:pPr>
        <w:pStyle w:val="SingleTxtG"/>
        <w:spacing w:after="100"/>
        <w:ind w:left="2268" w:hanging="1134"/>
        <w:rPr>
          <w:lang w:val="fr-FR"/>
        </w:rPr>
      </w:pPr>
      <w:r w:rsidRPr="00A16176">
        <w:rPr>
          <w:lang w:val="fr-FR"/>
        </w:rPr>
        <w:t>3.2.1</w:t>
      </w:r>
      <w:r w:rsidRPr="00A16176">
        <w:rPr>
          <w:lang w:val="fr-FR"/>
        </w:rPr>
        <w:tab/>
        <w:t>Un des échantillons C et D dépasse 20 % mais l’écart de l’ensemble de ces échantillons ne dépasse pas 30 %.</w:t>
      </w:r>
    </w:p>
    <w:p w:rsidR="003B2A1B" w:rsidRPr="00A16176" w:rsidRDefault="00A16176" w:rsidP="000D1E6B">
      <w:pPr>
        <w:pStyle w:val="SingleTxtG"/>
        <w:spacing w:after="100"/>
        <w:ind w:left="2268"/>
        <w:rPr>
          <w:lang w:val="fr-FR"/>
        </w:rPr>
      </w:pPr>
      <w:r w:rsidRPr="00A16176">
        <w:rPr>
          <w:lang w:val="fr-FR"/>
        </w:rPr>
        <w:t>Le fabricant doit être à nouveau prié de mettre sa production en conformité avec les prescriptions.</w:t>
      </w:r>
    </w:p>
    <w:p w:rsidR="003B2A1B" w:rsidRPr="00A16176" w:rsidRDefault="00A16176" w:rsidP="000D1E6B">
      <w:pPr>
        <w:pStyle w:val="SingleTxtG"/>
        <w:spacing w:after="100"/>
        <w:ind w:left="2268"/>
        <w:rPr>
          <w:lang w:val="fr-FR"/>
        </w:rPr>
      </w:pPr>
      <w:r w:rsidRPr="00A16176">
        <w:rPr>
          <w:lang w:val="fr-FR"/>
        </w:rPr>
        <w:t>Il faut procéder à un troisième prélèvement, conformément au paragraphe 4 ci-après, dans les deux mois qui suivent la notification. Les échantillons C et D doivent être conservés par le service technique jusqu’à la fin du processus de vérification de la conformité.</w:t>
      </w:r>
    </w:p>
    <w:p w:rsidR="003B2A1B" w:rsidRPr="00A16176" w:rsidRDefault="00A16176" w:rsidP="000D1E6B">
      <w:pPr>
        <w:pStyle w:val="SingleTxtG"/>
        <w:spacing w:after="100"/>
        <w:ind w:left="2268" w:hanging="1134"/>
        <w:rPr>
          <w:lang w:val="fr-FR"/>
        </w:rPr>
      </w:pPr>
      <w:r w:rsidRPr="00A16176">
        <w:rPr>
          <w:lang w:val="fr-FR"/>
        </w:rPr>
        <w:t>3.2.2</w:t>
      </w:r>
      <w:r w:rsidRPr="00A16176">
        <w:rPr>
          <w:lang w:val="fr-FR"/>
        </w:rPr>
        <w:tab/>
        <w:t>Un échantillon C ou D dépasse 30 %.</w:t>
      </w:r>
    </w:p>
    <w:p w:rsidR="003B2A1B" w:rsidRPr="00A16176" w:rsidRDefault="00A16176" w:rsidP="000D1E6B">
      <w:pPr>
        <w:pStyle w:val="SingleTxtG"/>
        <w:spacing w:after="100"/>
        <w:ind w:left="2268"/>
        <w:rPr>
          <w:lang w:val="fr-FR"/>
        </w:rPr>
      </w:pPr>
      <w:r w:rsidRPr="00A16176">
        <w:rPr>
          <w:lang w:val="fr-FR"/>
        </w:rPr>
        <w:t xml:space="preserve">Dans ce cas, il faut retirer l’homologation conformément aux dispositions du paragraphe 5 ci-dessous. </w:t>
      </w:r>
    </w:p>
    <w:p w:rsidR="003B2A1B" w:rsidRPr="00A16176" w:rsidRDefault="00A16176" w:rsidP="000D1E6B">
      <w:pPr>
        <w:pStyle w:val="SingleTxtG"/>
        <w:spacing w:after="100"/>
        <w:ind w:left="2268" w:hanging="1134"/>
        <w:rPr>
          <w:lang w:val="fr-FR"/>
        </w:rPr>
      </w:pPr>
      <w:r w:rsidRPr="00A16176">
        <w:rPr>
          <w:lang w:val="fr-FR"/>
        </w:rPr>
        <w:t>4.</w:t>
      </w:r>
      <w:r w:rsidRPr="00A16176">
        <w:rPr>
          <w:lang w:val="fr-FR"/>
        </w:rPr>
        <w:tab/>
      </w:r>
      <w:r w:rsidRPr="00A16176">
        <w:rPr>
          <w:lang w:val="fr-FR"/>
        </w:rPr>
        <w:tab/>
        <w:t>Troisième prélèvement</w:t>
      </w:r>
    </w:p>
    <w:p w:rsidR="003B2A1B" w:rsidRPr="00A16176" w:rsidRDefault="00A16176" w:rsidP="000D1E6B">
      <w:pPr>
        <w:pStyle w:val="SingleTxtG"/>
        <w:spacing w:after="100"/>
        <w:ind w:left="2268"/>
        <w:rPr>
          <w:lang w:val="fr-FR"/>
        </w:rPr>
      </w:pPr>
      <w:r w:rsidRPr="00A16176">
        <w:rPr>
          <w:lang w:val="fr-FR"/>
        </w:rPr>
        <w:t>On choisit au hasard quatre feux parmi le stock produit après mise en conformité.</w:t>
      </w:r>
    </w:p>
    <w:p w:rsidR="003B2A1B" w:rsidRPr="00A16176" w:rsidRDefault="00A16176" w:rsidP="000D1E6B">
      <w:pPr>
        <w:pStyle w:val="SingleTxtG"/>
        <w:spacing w:after="100"/>
        <w:ind w:left="2268"/>
        <w:rPr>
          <w:lang w:val="fr-FR"/>
        </w:rPr>
      </w:pPr>
      <w:r w:rsidRPr="00A16176">
        <w:rPr>
          <w:lang w:val="fr-FR"/>
        </w:rPr>
        <w:t>La lettre E est apposée sur le premier et le troisième, et la lettre F sur le deuxième et le quatrième.</w:t>
      </w:r>
    </w:p>
    <w:p w:rsidR="003B2A1B" w:rsidRPr="00A16176" w:rsidRDefault="00A16176" w:rsidP="000D1E6B">
      <w:pPr>
        <w:pStyle w:val="SingleTxtG"/>
        <w:spacing w:after="100"/>
        <w:ind w:left="2268" w:hanging="1134"/>
        <w:rPr>
          <w:lang w:val="fr-FR"/>
        </w:rPr>
      </w:pPr>
      <w:r w:rsidRPr="00A16176">
        <w:rPr>
          <w:lang w:val="fr-FR"/>
        </w:rPr>
        <w:t>4.1</w:t>
      </w:r>
      <w:r w:rsidRPr="00A16176">
        <w:rPr>
          <w:lang w:val="fr-FR"/>
        </w:rPr>
        <w:tab/>
        <w:t>La conformité des feux de série ne doit pas être contestée si aucune valeur mesurée sur les échantillons E et F ne s’écarte de plus de 20 % (pour aucun des quatre feux).</w:t>
      </w:r>
    </w:p>
    <w:p w:rsidR="003B2A1B" w:rsidRPr="00A16176" w:rsidRDefault="00A16176" w:rsidP="000D1E6B">
      <w:pPr>
        <w:pStyle w:val="SingleTxtG"/>
        <w:spacing w:after="100"/>
        <w:ind w:left="2268"/>
        <w:rPr>
          <w:lang w:val="fr-FR"/>
        </w:rPr>
      </w:pPr>
      <w:r w:rsidRPr="00A16176">
        <w:rPr>
          <w:lang w:val="fr-FR"/>
        </w:rPr>
        <w:t>Si l’écart n’est pas supérieur à 0 % pour les deux feux de l’échantillon E, on peut arrêter les mesures.</w:t>
      </w:r>
    </w:p>
    <w:p w:rsidR="003B2A1B" w:rsidRPr="00A16176" w:rsidRDefault="00A16176" w:rsidP="000D1E6B">
      <w:pPr>
        <w:pStyle w:val="SingleTxtG"/>
        <w:spacing w:after="100"/>
        <w:ind w:left="2268" w:hanging="1134"/>
        <w:rPr>
          <w:lang w:val="fr-FR"/>
        </w:rPr>
      </w:pPr>
      <w:r w:rsidRPr="00A16176">
        <w:rPr>
          <w:lang w:val="fr-FR"/>
        </w:rPr>
        <w:t>4.2</w:t>
      </w:r>
      <w:r w:rsidRPr="00A16176">
        <w:rPr>
          <w:lang w:val="fr-FR"/>
        </w:rPr>
        <w:tab/>
        <w:t>La conformité des feux de série doit être contestée si l’écart de la valeur mesurée sur au moins un des échantillons E ou F dépasse 20 %.</w:t>
      </w:r>
    </w:p>
    <w:p w:rsidR="003B2A1B" w:rsidRPr="00A16176" w:rsidRDefault="00A16176" w:rsidP="000D1E6B">
      <w:pPr>
        <w:pStyle w:val="SingleTxtG"/>
        <w:spacing w:after="100"/>
        <w:ind w:left="2268"/>
        <w:rPr>
          <w:lang w:val="fr-FR"/>
        </w:rPr>
      </w:pPr>
      <w:r w:rsidRPr="00A16176">
        <w:rPr>
          <w:lang w:val="fr-FR"/>
        </w:rPr>
        <w:t>Dans ce cas, il faut retirer l’homologation conformément aux dispositions du paragraphe 5 ci-dessous.</w:t>
      </w:r>
    </w:p>
    <w:p w:rsidR="003B2A1B" w:rsidRPr="00A16176" w:rsidRDefault="00A16176" w:rsidP="000D1E6B">
      <w:pPr>
        <w:pStyle w:val="SingleTxtG"/>
        <w:spacing w:after="100"/>
        <w:ind w:left="2268" w:hanging="1134"/>
        <w:rPr>
          <w:u w:val="single"/>
          <w:lang w:val="fr-FR"/>
        </w:rPr>
      </w:pPr>
      <w:r w:rsidRPr="00A16176">
        <w:rPr>
          <w:lang w:val="fr-FR"/>
        </w:rPr>
        <w:t>5.</w:t>
      </w:r>
      <w:r w:rsidRPr="00A16176">
        <w:rPr>
          <w:lang w:val="fr-FR"/>
        </w:rPr>
        <w:tab/>
      </w:r>
      <w:r w:rsidRPr="00A16176">
        <w:rPr>
          <w:lang w:val="fr-FR"/>
        </w:rPr>
        <w:tab/>
        <w:t>Retrait d’homologation</w:t>
      </w:r>
    </w:p>
    <w:p w:rsidR="003B2A1B" w:rsidRPr="00A16176" w:rsidRDefault="00A16176" w:rsidP="000D1E6B">
      <w:pPr>
        <w:pStyle w:val="SingleTxtG"/>
        <w:spacing w:after="100"/>
        <w:ind w:left="2268"/>
        <w:rPr>
          <w:lang w:val="fr-FR"/>
        </w:rPr>
      </w:pPr>
      <w:r w:rsidRPr="00A16176">
        <w:rPr>
          <w:lang w:val="fr-FR"/>
        </w:rPr>
        <w:t>Le retrait de l’homologation s’effectue en vertu du paragraphe 11 du présent Règlement. ».</w:t>
      </w:r>
    </w:p>
    <w:p w:rsidR="005F0207" w:rsidRDefault="00A16176" w:rsidP="000D1E6B">
      <w:pPr>
        <w:pStyle w:val="SingleTxtG"/>
        <w:spacing w:after="100"/>
        <w:ind w:left="2268" w:hanging="1134"/>
        <w:rPr>
          <w:lang w:val="fr-FR"/>
        </w:rPr>
      </w:pPr>
      <w:r w:rsidRPr="00A16176">
        <w:rPr>
          <w:i/>
          <w:iCs/>
          <w:lang w:val="fr-FR"/>
        </w:rPr>
        <w:t>Figure 1</w:t>
      </w:r>
      <w:r w:rsidRPr="00A16176">
        <w:rPr>
          <w:lang w:val="fr-FR"/>
        </w:rPr>
        <w:t>, supprimer.</w:t>
      </w:r>
    </w:p>
    <w:p w:rsidR="000D1E6B" w:rsidRPr="000D1E6B" w:rsidRDefault="000D1E6B" w:rsidP="000D1E6B">
      <w:pPr>
        <w:pStyle w:val="SingleTxtG"/>
        <w:spacing w:before="240" w:after="0"/>
        <w:jc w:val="center"/>
        <w:rPr>
          <w:u w:val="single"/>
        </w:rPr>
      </w:pPr>
      <w:r>
        <w:rPr>
          <w:u w:val="single"/>
        </w:rPr>
        <w:tab/>
      </w:r>
      <w:r>
        <w:rPr>
          <w:u w:val="single"/>
        </w:rPr>
        <w:tab/>
      </w:r>
      <w:r>
        <w:rPr>
          <w:u w:val="single"/>
        </w:rPr>
        <w:tab/>
      </w:r>
    </w:p>
    <w:sectPr w:rsidR="000D1E6B" w:rsidRPr="000D1E6B" w:rsidSect="00A16176">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95E" w:rsidRDefault="0071195E"/>
  </w:endnote>
  <w:endnote w:type="continuationSeparator" w:id="0">
    <w:p w:rsidR="0071195E" w:rsidRDefault="0071195E">
      <w:pPr>
        <w:pStyle w:val="Footer"/>
      </w:pPr>
    </w:p>
  </w:endnote>
  <w:endnote w:type="continuationNotice" w:id="1">
    <w:p w:rsidR="0071195E" w:rsidRPr="00C451B9" w:rsidRDefault="0071195E"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176" w:rsidRPr="00A16176" w:rsidRDefault="00A16176" w:rsidP="00A16176">
    <w:pPr>
      <w:pStyle w:val="Footer"/>
      <w:tabs>
        <w:tab w:val="right" w:pos="9638"/>
      </w:tabs>
    </w:pPr>
    <w:r w:rsidRPr="00A16176">
      <w:rPr>
        <w:b/>
        <w:sz w:val="18"/>
      </w:rPr>
      <w:fldChar w:fldCharType="begin"/>
    </w:r>
    <w:r w:rsidRPr="00A16176">
      <w:rPr>
        <w:b/>
        <w:sz w:val="18"/>
      </w:rPr>
      <w:instrText xml:space="preserve"> PAGE  \* MERGEFORMAT </w:instrText>
    </w:r>
    <w:r w:rsidRPr="00A16176">
      <w:rPr>
        <w:b/>
        <w:sz w:val="18"/>
      </w:rPr>
      <w:fldChar w:fldCharType="separate"/>
    </w:r>
    <w:r w:rsidR="000A10B4">
      <w:rPr>
        <w:b/>
        <w:noProof/>
        <w:sz w:val="18"/>
      </w:rPr>
      <w:t>2</w:t>
    </w:r>
    <w:r w:rsidRPr="00A16176">
      <w:rPr>
        <w:b/>
        <w:sz w:val="18"/>
      </w:rPr>
      <w:fldChar w:fldCharType="end"/>
    </w:r>
    <w:r>
      <w:rPr>
        <w:b/>
        <w:sz w:val="18"/>
      </w:rPr>
      <w:tab/>
    </w:r>
    <w:r>
      <w:t>GE.17-21630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176" w:rsidRPr="00A16176" w:rsidRDefault="00A16176" w:rsidP="00A16176">
    <w:pPr>
      <w:pStyle w:val="Footer"/>
      <w:tabs>
        <w:tab w:val="right" w:pos="9638"/>
      </w:tabs>
      <w:rPr>
        <w:b/>
        <w:sz w:val="18"/>
      </w:rPr>
    </w:pPr>
    <w:r>
      <w:t>GE.17-21630</w:t>
    </w:r>
    <w:r>
      <w:tab/>
    </w:r>
    <w:r w:rsidRPr="00A16176">
      <w:rPr>
        <w:b/>
        <w:sz w:val="18"/>
      </w:rPr>
      <w:fldChar w:fldCharType="begin"/>
    </w:r>
    <w:r w:rsidRPr="00A16176">
      <w:rPr>
        <w:b/>
        <w:sz w:val="18"/>
      </w:rPr>
      <w:instrText xml:space="preserve"> PAGE  \* MERGEFORMAT </w:instrText>
    </w:r>
    <w:r w:rsidRPr="00A16176">
      <w:rPr>
        <w:b/>
        <w:sz w:val="18"/>
      </w:rPr>
      <w:fldChar w:fldCharType="separate"/>
    </w:r>
    <w:r w:rsidR="0061149A">
      <w:rPr>
        <w:b/>
        <w:noProof/>
        <w:sz w:val="18"/>
      </w:rPr>
      <w:t>5</w:t>
    </w:r>
    <w:r w:rsidRPr="00A161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F2C" w:rsidRPr="00A16176" w:rsidRDefault="00A16176" w:rsidP="00A16176">
    <w:pPr>
      <w:pStyle w:val="Footer"/>
      <w:spacing w:before="120"/>
      <w:rPr>
        <w:sz w:val="20"/>
      </w:rPr>
    </w:pPr>
    <w:r>
      <w:rPr>
        <w:sz w:val="20"/>
      </w:rPr>
      <w:t>GE.</w:t>
    </w:r>
    <w:r w:rsidR="00467F2C">
      <w:rPr>
        <w:noProof/>
        <w:lang w:eastAsia="fr-CH"/>
      </w:rPr>
      <w:drawing>
        <wp:anchor distT="0" distB="0" distL="114300" distR="114300" simplePos="0" relativeHeight="251657216"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17-21630  (F)</w:t>
    </w:r>
    <w:r w:rsidR="0064260F">
      <w:rPr>
        <w:sz w:val="20"/>
      </w:rPr>
      <w:t xml:space="preserve">    090318    110418</w:t>
    </w:r>
    <w:r>
      <w:rPr>
        <w:sz w:val="20"/>
      </w:rPr>
      <w:br/>
    </w:r>
    <w:r w:rsidRPr="00A16176">
      <w:rPr>
        <w:rFonts w:ascii="C39T30Lfz" w:hAnsi="C39T30Lfz"/>
        <w:sz w:val="56"/>
      </w:rPr>
      <w:t></w:t>
    </w:r>
    <w:r w:rsidRPr="00A16176">
      <w:rPr>
        <w:rFonts w:ascii="C39T30Lfz" w:hAnsi="C39T30Lfz"/>
        <w:sz w:val="56"/>
      </w:rPr>
      <w:t></w:t>
    </w:r>
    <w:r w:rsidRPr="00A16176">
      <w:rPr>
        <w:rFonts w:ascii="C39T30Lfz" w:hAnsi="C39T30Lfz"/>
        <w:sz w:val="56"/>
      </w:rPr>
      <w:t></w:t>
    </w:r>
    <w:r w:rsidRPr="00A16176">
      <w:rPr>
        <w:rFonts w:ascii="C39T30Lfz" w:hAnsi="C39T30Lfz"/>
        <w:sz w:val="56"/>
      </w:rPr>
      <w:t></w:t>
    </w:r>
    <w:r w:rsidRPr="00A16176">
      <w:rPr>
        <w:rFonts w:ascii="C39T30Lfz" w:hAnsi="C39T30Lfz"/>
        <w:sz w:val="56"/>
      </w:rPr>
      <w:t></w:t>
    </w:r>
    <w:r w:rsidRPr="00A16176">
      <w:rPr>
        <w:rFonts w:ascii="C39T30Lfz" w:hAnsi="C39T30Lfz"/>
        <w:sz w:val="56"/>
      </w:rPr>
      <w:t></w:t>
    </w:r>
    <w:r w:rsidRPr="00A16176">
      <w:rPr>
        <w:rFonts w:ascii="C39T30Lfz" w:hAnsi="C39T30Lfz"/>
        <w:sz w:val="56"/>
      </w:rPr>
      <w:t></w:t>
    </w:r>
    <w:r w:rsidRPr="00A16176">
      <w:rPr>
        <w:rFonts w:ascii="C39T30Lfz" w:hAnsi="C39T30Lfz"/>
        <w:sz w:val="56"/>
      </w:rPr>
      <w:t></w:t>
    </w:r>
    <w:r w:rsidRPr="00A16176">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Add.5/Rev.6/Amend.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Add.5/Rev.6/Amend.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95E" w:rsidRPr="00D27D5E" w:rsidRDefault="0071195E" w:rsidP="00D27D5E">
      <w:pPr>
        <w:tabs>
          <w:tab w:val="right" w:pos="2155"/>
        </w:tabs>
        <w:spacing w:after="80"/>
        <w:ind w:left="680"/>
        <w:rPr>
          <w:u w:val="single"/>
        </w:rPr>
      </w:pPr>
      <w:r>
        <w:rPr>
          <w:u w:val="single"/>
        </w:rPr>
        <w:tab/>
      </w:r>
    </w:p>
  </w:footnote>
  <w:footnote w:type="continuationSeparator" w:id="0">
    <w:p w:rsidR="0071195E" w:rsidRPr="00D171D4" w:rsidRDefault="0071195E" w:rsidP="00D171D4">
      <w:pPr>
        <w:tabs>
          <w:tab w:val="right" w:pos="2155"/>
        </w:tabs>
        <w:spacing w:after="80"/>
        <w:ind w:left="680"/>
        <w:rPr>
          <w:u w:val="single"/>
        </w:rPr>
      </w:pPr>
      <w:r w:rsidRPr="00D171D4">
        <w:rPr>
          <w:u w:val="single"/>
        </w:rPr>
        <w:tab/>
      </w:r>
    </w:p>
  </w:footnote>
  <w:footnote w:type="continuationNotice" w:id="1">
    <w:p w:rsidR="0071195E" w:rsidRPr="00C451B9" w:rsidRDefault="0071195E" w:rsidP="00C451B9">
      <w:pPr>
        <w:spacing w:line="240" w:lineRule="auto"/>
        <w:rPr>
          <w:sz w:val="2"/>
          <w:szCs w:val="2"/>
        </w:rPr>
      </w:pPr>
    </w:p>
  </w:footnote>
  <w:footnote w:id="2">
    <w:p w:rsidR="00A16176" w:rsidRPr="00DC06DE" w:rsidRDefault="00A16176" w:rsidP="00A16176">
      <w:r>
        <w:rPr>
          <w:rStyle w:val="FootnoteReference"/>
        </w:rPr>
        <w:tab/>
      </w:r>
      <w:r w:rsidRPr="00A16176">
        <w:rPr>
          <w:rStyle w:val="FootnoteReference"/>
          <w:sz w:val="20"/>
          <w:vertAlign w:val="baseline"/>
        </w:rPr>
        <w:t>*</w:t>
      </w:r>
      <w:r>
        <w:rPr>
          <w:rStyle w:val="FootnoteReference"/>
          <w:sz w:val="20"/>
          <w:vertAlign w:val="baseline"/>
        </w:rPr>
        <w:tab/>
      </w:r>
      <w:r w:rsidRPr="00A16176">
        <w:rPr>
          <w:sz w:val="18"/>
        </w:rPr>
        <w:t>Anciens titres de l’Accord :</w:t>
      </w:r>
    </w:p>
    <w:p w:rsidR="00A16176" w:rsidRPr="00DC06DE" w:rsidRDefault="00A16176" w:rsidP="00A16176">
      <w:pPr>
        <w:pStyle w:val="FootnoteText"/>
      </w:pPr>
      <w:r w:rsidRPr="00DC06DE">
        <w:tab/>
      </w:r>
      <w:r w:rsidRPr="00DC06DE">
        <w:tab/>
        <w:t>Accord concernant l’adoption de conditions uniformes d’homologation et la reconnaissance réciproque de l’homologation des équipements et pièces de véhicules à moteur, en date, à Genève, du</w:t>
      </w:r>
      <w:r w:rsidR="000D1E6B">
        <w:t> </w:t>
      </w:r>
      <w:r w:rsidRPr="00DC06DE">
        <w:t>20 mars 1958 (version originale);</w:t>
      </w:r>
    </w:p>
    <w:p w:rsidR="00A16176" w:rsidRPr="00A16176" w:rsidRDefault="00A16176" w:rsidP="00A16176">
      <w:pPr>
        <w:pStyle w:val="FootnoteText"/>
      </w:pPr>
      <w:r w:rsidRPr="00DC06DE">
        <w:tab/>
      </w:r>
      <w:r w:rsidRPr="00DC06DE">
        <w:tab/>
        <w:t>Accord concernant l’adoption de prescriptions techniques uniformes applicables aux véhicules à</w:t>
      </w:r>
      <w:r w:rsidR="000D1E6B">
        <w:t> </w:t>
      </w:r>
      <w:r w:rsidRPr="00DC06DE">
        <w:t>roues, aux équipements et aux pièces susceptibles d’être montés ou utilisés sur un véhicule à roues et les conditions de reconnaissance réciproque des homologations délivrées conformément à ces prescriptions, en date, à Genève, du 5 octobre 1995 (Révision 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176" w:rsidRPr="00A16176" w:rsidRDefault="00EC0A53">
    <w:pPr>
      <w:pStyle w:val="Header"/>
    </w:pPr>
    <w:r>
      <w:fldChar w:fldCharType="begin"/>
    </w:r>
    <w:r>
      <w:instrText xml:space="preserve"> TITLE  \* MERGEFORMAT </w:instrText>
    </w:r>
    <w:r>
      <w:fldChar w:fldCharType="separate"/>
    </w:r>
    <w:r w:rsidR="0061149A">
      <w:t>E/ECE/324/Add.5/Rev.6/Amend.2</w:t>
    </w:r>
    <w:r>
      <w:fldChar w:fldCharType="end"/>
    </w:r>
    <w:r w:rsidR="00A16176">
      <w:br/>
    </w:r>
    <w:r>
      <w:fldChar w:fldCharType="begin"/>
    </w:r>
    <w:r>
      <w:instrText xml:space="preserve"> KEYWORDS  \* MERGEFORMAT </w:instrText>
    </w:r>
    <w:r>
      <w:fldChar w:fldCharType="separate"/>
    </w:r>
    <w:r w:rsidR="0061149A">
      <w:t>E/ECE/TRANS/505/Add.5/Rev.6/Amend.2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176" w:rsidRPr="00A16176" w:rsidRDefault="00EC0A53" w:rsidP="00A16176">
    <w:pPr>
      <w:pStyle w:val="Header"/>
      <w:jc w:val="right"/>
    </w:pPr>
    <w:r>
      <w:fldChar w:fldCharType="begin"/>
    </w:r>
    <w:r>
      <w:instrText xml:space="preserve"> TITLE  \* MERGEFORMAT </w:instrText>
    </w:r>
    <w:r>
      <w:fldChar w:fldCharType="separate"/>
    </w:r>
    <w:r w:rsidR="0061149A">
      <w:t>E/ECE/324/Add.5/Rev.6/Amend.2</w:t>
    </w:r>
    <w:r>
      <w:fldChar w:fldCharType="end"/>
    </w:r>
    <w:r w:rsidR="00A16176">
      <w:br/>
    </w:r>
    <w:r>
      <w:fldChar w:fldCharType="begin"/>
    </w:r>
    <w:r>
      <w:instrText xml:space="preserve"> KEYWORDS  \* MERGEFORMAT </w:instrText>
    </w:r>
    <w:r>
      <w:fldChar w:fldCharType="separate"/>
    </w:r>
    <w:r w:rsidR="0061149A">
      <w:t>E/ECE/TRANS/505/Add.5/Rev.6/Amend.2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5" w:nlCheck="1" w:checkStyle="1"/>
  <w:activeWritingStyle w:appName="MSWord" w:lang="fr-CH" w:vendorID="64" w:dllVersion="6" w:nlCheck="1" w:checkStyle="1"/>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95E"/>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96377"/>
    <w:rsid w:val="000A10B4"/>
    <w:rsid w:val="000A1501"/>
    <w:rsid w:val="000A2494"/>
    <w:rsid w:val="000A6B7E"/>
    <w:rsid w:val="000B20D3"/>
    <w:rsid w:val="000C6CDB"/>
    <w:rsid w:val="000D1E6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5D97"/>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49A"/>
    <w:rsid w:val="00611D43"/>
    <w:rsid w:val="00612D48"/>
    <w:rsid w:val="00613A5E"/>
    <w:rsid w:val="00616B45"/>
    <w:rsid w:val="006241C6"/>
    <w:rsid w:val="00630D9B"/>
    <w:rsid w:val="00631953"/>
    <w:rsid w:val="0063208D"/>
    <w:rsid w:val="0064260F"/>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195E"/>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B55"/>
    <w:rsid w:val="00A05DD1"/>
    <w:rsid w:val="00A077E9"/>
    <w:rsid w:val="00A16176"/>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098"/>
    <w:rsid w:val="00E84A82"/>
    <w:rsid w:val="00E85025"/>
    <w:rsid w:val="00E9483E"/>
    <w:rsid w:val="00E96710"/>
    <w:rsid w:val="00E97E2C"/>
    <w:rsid w:val="00EA3B1D"/>
    <w:rsid w:val="00EB77B9"/>
    <w:rsid w:val="00EB7D07"/>
    <w:rsid w:val="00EC0A53"/>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5:docId w15:val="{B16CDA18-0A79-48E0-B91E-DC7AB606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1863</Words>
  <Characters>10621</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E/ECE/324/Add.5/Rev.6/Amend.2</vt:lpstr>
      <vt:lpstr>E/ECE/324/Add.5/Rev.6/Amend.2</vt:lpstr>
    </vt:vector>
  </TitlesOfParts>
  <Company>CSD</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E/ECE/324/Add.5/Rev.6/Amend.2</dc:title>
  <dc:creator>Pascale BEYSARD</dc:creator>
  <cp:keywords>E/ECE/TRANS/505/Add.5/Rev.6/Amend.2</cp:keywords>
  <cp:lastModifiedBy>Secretariat</cp:lastModifiedBy>
  <cp:revision>2</cp:revision>
  <cp:lastPrinted>2018-04-10T14:36:00Z</cp:lastPrinted>
  <dcterms:created xsi:type="dcterms:W3CDTF">2018-10-24T13:18:00Z</dcterms:created>
  <dcterms:modified xsi:type="dcterms:W3CDTF">2018-10-24T13:18:00Z</dcterms:modified>
</cp:coreProperties>
</file>