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A408F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6B" w:rsidRPr="00FA2F6B" w:rsidRDefault="00FA2F6B" w:rsidP="00FA2F6B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FA2F6B">
              <w:rPr>
                <w:sz w:val="40"/>
                <w:lang w:val="en-US"/>
              </w:rPr>
              <w:t>E</w:t>
            </w:r>
            <w:r w:rsidRPr="00FA2F6B">
              <w:rPr>
                <w:lang w:val="en-US"/>
              </w:rPr>
              <w:t>/ECE/324/Add.3/Rev.3/Amend.3−</w:t>
            </w:r>
            <w:r w:rsidRPr="00FA2F6B">
              <w:rPr>
                <w:sz w:val="40"/>
                <w:lang w:val="en-US"/>
              </w:rPr>
              <w:t>E</w:t>
            </w:r>
            <w:r w:rsidRPr="00FA2F6B">
              <w:rPr>
                <w:lang w:val="en-US"/>
              </w:rPr>
              <w:t>/ECE/TRANS/505/Add.3/Rev.3/Amend.3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A2F6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FA2F6B" w:rsidP="00A27C92">
            <w:pPr>
              <w:spacing w:before="480" w:line="240" w:lineRule="exact"/>
            </w:pPr>
            <w:r>
              <w:t>26 mars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FA2F6B" w:rsidRDefault="0029791D" w:rsidP="0029791D">
      <w:pPr>
        <w:pStyle w:val="H1G"/>
        <w:rPr>
          <w:b w:val="0"/>
        </w:rPr>
      </w:pPr>
      <w:r>
        <w:tab/>
      </w:r>
      <w:r>
        <w:tab/>
      </w:r>
      <w:r w:rsidR="00421A10" w:rsidRPr="00583D68">
        <w:t>Concernant l</w:t>
      </w:r>
      <w:r w:rsidR="007369CB">
        <w:t>’</w:t>
      </w:r>
      <w:r w:rsidR="00421A10" w:rsidRPr="00583D68">
        <w:t xml:space="preserve">adoption </w:t>
      </w:r>
      <w:r w:rsidR="00FA2F6B" w:rsidRPr="00D24BE1">
        <w:rPr>
          <w:lang w:val="fr-FR"/>
        </w:rPr>
        <w:t>de Règlements techniques harmonisés de l</w:t>
      </w:r>
      <w:r w:rsidR="007369CB">
        <w:rPr>
          <w:lang w:val="fr-FR"/>
        </w:rPr>
        <w:t>’</w:t>
      </w:r>
      <w:r w:rsidR="00FA2F6B" w:rsidRPr="00D24BE1">
        <w:rPr>
          <w:lang w:val="fr-FR"/>
        </w:rPr>
        <w:t>ONU applicables aux véhicules à roues et aux équipements et pièces susceptibles d</w:t>
      </w:r>
      <w:r w:rsidR="007369CB">
        <w:rPr>
          <w:lang w:val="fr-FR"/>
        </w:rPr>
        <w:t>’</w:t>
      </w:r>
      <w:r w:rsidR="00FA2F6B" w:rsidRPr="00D24BE1">
        <w:rPr>
          <w:lang w:val="fr-FR"/>
        </w:rPr>
        <w:t>être montés ou utilisés s</w:t>
      </w:r>
      <w:r w:rsidR="00FA2F6B">
        <w:rPr>
          <w:lang w:val="fr-FR"/>
        </w:rPr>
        <w:t>ur les véhicules à roues et les </w:t>
      </w:r>
      <w:r w:rsidR="00FA2F6B" w:rsidRPr="00D24BE1">
        <w:rPr>
          <w:lang w:val="fr-FR"/>
        </w:rPr>
        <w:t>conditions de reconnaissance réciproque des homologations délivrée</w:t>
      </w:r>
      <w:r w:rsidR="00FA2F6B">
        <w:rPr>
          <w:lang w:val="fr-FR"/>
        </w:rPr>
        <w:t>s conformément à ces Règlements</w:t>
      </w:r>
      <w:r w:rsidR="00FA2F6B" w:rsidRPr="00FA2F6B">
        <w:rPr>
          <w:b w:val="0"/>
          <w:lang w:val="fr-FR"/>
        </w:rPr>
        <w:footnoteReference w:customMarkFollows="1" w:id="2"/>
        <w:t>*</w:t>
      </w:r>
    </w:p>
    <w:p w:rsidR="00421A10" w:rsidRPr="00A12483" w:rsidRDefault="00FA2F6B" w:rsidP="0029791D">
      <w:pPr>
        <w:pStyle w:val="SingleTxtG"/>
        <w:jc w:val="left"/>
        <w:rPr>
          <w:b/>
          <w:sz w:val="24"/>
          <w:szCs w:val="24"/>
        </w:rPr>
      </w:pPr>
      <w:r>
        <w:t>(Révision 3</w:t>
      </w:r>
      <w:r w:rsidR="00421A10" w:rsidRPr="006549FF">
        <w:t>, comprenant les amen</w:t>
      </w:r>
      <w:r w:rsidR="00421A10">
        <w:t xml:space="preserve">dements entrés en vigueur le </w:t>
      </w:r>
      <w:r>
        <w:rPr>
          <w:lang w:val="fr-FR"/>
        </w:rPr>
        <w:t>14 </w:t>
      </w:r>
      <w:r w:rsidRPr="00FA2F6B">
        <w:rPr>
          <w:lang w:val="fr-FR"/>
        </w:rPr>
        <w:t>septembre 2017</w:t>
      </w:r>
      <w:r w:rsidR="00421A10"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A2F6B">
        <w:t>3 − </w:t>
      </w:r>
      <w:r w:rsidR="00421A10" w:rsidRPr="006549FF">
        <w:t>Règlement</w:t>
      </w:r>
      <w:r w:rsidR="00421A10">
        <w:t xml:space="preserve"> </w:t>
      </w:r>
      <w:r w:rsidR="00FA2F6B">
        <w:rPr>
          <w:lang w:val="fr-FR"/>
        </w:rPr>
        <w:t>ONU </w:t>
      </w:r>
      <w:r w:rsidR="00FA2F6B" w:rsidRPr="00D24BE1">
        <w:rPr>
          <w:lang w:val="fr-FR"/>
        </w:rPr>
        <w:t>n</w:t>
      </w:r>
      <w:r w:rsidR="00FA2F6B" w:rsidRPr="00D24BE1">
        <w:rPr>
          <w:vertAlign w:val="superscript"/>
          <w:lang w:val="fr-FR"/>
        </w:rPr>
        <w:t>o</w:t>
      </w:r>
      <w:r w:rsidR="00FA2F6B" w:rsidRPr="00D24BE1">
        <w:rPr>
          <w:lang w:val="fr-FR"/>
        </w:rPr>
        <w:t> 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FA2F6B" w:rsidRPr="00D24BE1">
        <w:rPr>
          <w:lang w:val="fr-FR"/>
        </w:rPr>
        <w:t>3</w:t>
      </w:r>
      <w:r w:rsidR="00FA2F6B">
        <w:rPr>
          <w:lang w:val="fr-FR"/>
        </w:rPr>
        <w:t xml:space="preserve"> −</w:t>
      </w:r>
      <w:r w:rsidR="00FA2F6B" w:rsidRPr="00D24BE1">
        <w:rPr>
          <w:lang w:val="fr-FR"/>
        </w:rPr>
        <w:t xml:space="preserve"> Amendement</w:t>
      </w:r>
      <w:r w:rsidR="00FA2F6B">
        <w:rPr>
          <w:lang w:val="fr-FR"/>
        </w:rPr>
        <w:t> </w:t>
      </w:r>
      <w:r w:rsidR="00FA2F6B" w:rsidRPr="00D24BE1">
        <w:rPr>
          <w:lang w:val="fr-FR"/>
        </w:rPr>
        <w:t>3</w:t>
      </w:r>
    </w:p>
    <w:p w:rsidR="00421A10" w:rsidRPr="00FA2F6B" w:rsidRDefault="00421A10" w:rsidP="00FA2F6B">
      <w:pPr>
        <w:pStyle w:val="SingleTxtG"/>
        <w:spacing w:after="0"/>
        <w:rPr>
          <w:spacing w:val="-3"/>
          <w:lang w:val="fr-FR"/>
        </w:rPr>
      </w:pPr>
      <w:r w:rsidRPr="00FA2F6B">
        <w:rPr>
          <w:spacing w:val="-3"/>
        </w:rPr>
        <w:t>Comprenant</w:t>
      </w:r>
      <w:r w:rsidR="00FA2F6B" w:rsidRPr="00FA2F6B">
        <w:rPr>
          <w:spacing w:val="-3"/>
        </w:rPr>
        <w:t xml:space="preserve"> </w:t>
      </w:r>
      <w:r w:rsidR="00FA2F6B" w:rsidRPr="00FA2F6B">
        <w:rPr>
          <w:spacing w:val="-3"/>
          <w:lang w:val="fr-FR"/>
        </w:rPr>
        <w:t>19 à la version originale du Règlement − Date d</w:t>
      </w:r>
      <w:r w:rsidR="007369CB">
        <w:rPr>
          <w:spacing w:val="-3"/>
          <w:lang w:val="fr-FR"/>
        </w:rPr>
        <w:t>’</w:t>
      </w:r>
      <w:r w:rsidR="00FA2F6B" w:rsidRPr="00FA2F6B">
        <w:rPr>
          <w:spacing w:val="-3"/>
          <w:lang w:val="fr-FR"/>
        </w:rPr>
        <w:t>entrée en vigueur : 10 février 2018</w:t>
      </w:r>
    </w:p>
    <w:p w:rsidR="00FA2F6B" w:rsidRPr="00D24BE1" w:rsidRDefault="0029791D" w:rsidP="00FA2F6B">
      <w:pPr>
        <w:pStyle w:val="H1G"/>
        <w:spacing w:before="120"/>
        <w:rPr>
          <w:lang w:val="fr-FR"/>
        </w:rPr>
      </w:pPr>
      <w:r>
        <w:tab/>
      </w:r>
      <w:r>
        <w:tab/>
      </w:r>
      <w:r w:rsidR="00FA2F6B" w:rsidRPr="00D24BE1">
        <w:rPr>
          <w:lang w:val="fr-FR"/>
        </w:rPr>
        <w:t>Prescriptions uniformes relatives à l</w:t>
      </w:r>
      <w:r w:rsidR="007369CB">
        <w:rPr>
          <w:lang w:val="fr-FR"/>
        </w:rPr>
        <w:t>’homologation des dispositifs d’</w:t>
      </w:r>
      <w:r w:rsidR="00FA2F6B" w:rsidRPr="00D24BE1">
        <w:rPr>
          <w:lang w:val="fr-FR"/>
        </w:rPr>
        <w:t>éclairage des plaques d</w:t>
      </w:r>
      <w:r w:rsidR="007369CB">
        <w:rPr>
          <w:lang w:val="fr-FR"/>
        </w:rPr>
        <w:t>’</w:t>
      </w:r>
      <w:r w:rsidR="00FA2F6B" w:rsidRPr="00D24BE1">
        <w:rPr>
          <w:lang w:val="fr-FR"/>
        </w:rPr>
        <w:t>immatriculation arrière des véhicules à moteur et de leurs remorques</w:t>
      </w:r>
    </w:p>
    <w:p w:rsidR="00FA2F6B" w:rsidRDefault="00FA2F6B" w:rsidP="00FA2F6B">
      <w:pPr>
        <w:pStyle w:val="SingleTxtG"/>
        <w:spacing w:after="0"/>
        <w:rPr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85A496" wp14:editId="6D07ED20">
                <wp:simplePos x="0" y="0"/>
                <wp:positionH relativeFrom="margin">
                  <wp:posOffset>389066</wp:posOffset>
                </wp:positionH>
                <wp:positionV relativeFrom="margin">
                  <wp:posOffset>6291958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FA2F6B">
                            <w:pPr>
                              <w:spacing w:line="240" w:lineRule="auto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6B51EE4" wp14:editId="0D6EE64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5A49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0.65pt;margin-top:495.4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" stroked="f">
                <v:textbox inset="0,0,0,0">
                  <w:txbxContent>
                    <w:p w:rsidR="00442E31" w:rsidRPr="0029791D" w:rsidRDefault="00442E31" w:rsidP="00FA2F6B">
                      <w:pPr>
                        <w:spacing w:line="240" w:lineRule="auto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6B51EE4" wp14:editId="0D6EE64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24BE1">
        <w:rPr>
          <w:spacing w:val="-4"/>
          <w:lang w:val="fr-FR" w:eastAsia="en-GB"/>
        </w:rPr>
        <w:t>Le présent document est communiqué uniquement à titre d</w:t>
      </w:r>
      <w:r w:rsidR="007369CB">
        <w:rPr>
          <w:spacing w:val="-4"/>
          <w:lang w:val="fr-FR" w:eastAsia="en-GB"/>
        </w:rPr>
        <w:t>’</w:t>
      </w:r>
      <w:r w:rsidRPr="00D24BE1">
        <w:rPr>
          <w:spacing w:val="-4"/>
          <w:lang w:val="fr-FR" w:eastAsia="en-GB"/>
        </w:rPr>
        <w:t xml:space="preserve">information. Le texte authentique, juridiquement contraignant, est celui du document </w:t>
      </w:r>
      <w:r w:rsidRPr="00D24BE1">
        <w:rPr>
          <w:spacing w:val="-6"/>
          <w:lang w:val="fr-FR" w:eastAsia="en-GB"/>
        </w:rPr>
        <w:t>ECE/TRANS/WP.29/2017/72 (tel que modifié par le paragraphe</w:t>
      </w:r>
      <w:r>
        <w:rPr>
          <w:spacing w:val="-6"/>
          <w:lang w:val="fr-FR" w:eastAsia="en-GB"/>
        </w:rPr>
        <w:t> </w:t>
      </w:r>
      <w:r w:rsidRPr="00D24BE1">
        <w:rPr>
          <w:spacing w:val="-6"/>
          <w:lang w:val="fr-FR" w:eastAsia="en-GB"/>
        </w:rPr>
        <w:t xml:space="preserve">74 du rapport </w:t>
      </w:r>
      <w:r w:rsidRPr="00D24BE1">
        <w:rPr>
          <w:lang w:val="fr-FR" w:eastAsia="en-GB"/>
        </w:rPr>
        <w:t>ECE/TRANS/WP.29/1131)</w:t>
      </w:r>
      <w:r w:rsidR="007369CB">
        <w:rPr>
          <w:lang w:val="fr-FR" w:eastAsia="en-GB"/>
        </w:rPr>
        <w:t>.</w:t>
      </w:r>
    </w:p>
    <w:p w:rsidR="00FA2F6B" w:rsidRPr="00D24BE1" w:rsidRDefault="00FA2F6B" w:rsidP="00FA2F6B">
      <w:pPr>
        <w:pStyle w:val="SingleTxtG"/>
        <w:rPr>
          <w:lang w:val="fr-FR"/>
        </w:rPr>
      </w:pPr>
      <w:r>
        <w:rPr>
          <w:lang w:val="fr-FR" w:eastAsia="en-GB"/>
        </w:rPr>
        <w:br w:type="page"/>
      </w:r>
      <w:r w:rsidRPr="00D24BE1">
        <w:rPr>
          <w:i/>
          <w:lang w:val="fr-FR"/>
        </w:rPr>
        <w:lastRenderedPageBreak/>
        <w:t>Paragraphe 5.6.1</w:t>
      </w:r>
      <w:r w:rsidRPr="00D24BE1">
        <w:rPr>
          <w:lang w:val="fr-FR"/>
        </w:rPr>
        <w:t>, lire :</w:t>
      </w:r>
    </w:p>
    <w:p w:rsidR="00FA2F6B" w:rsidRPr="00D24BE1" w:rsidRDefault="00FA2F6B" w:rsidP="00FA2F6B">
      <w:pPr>
        <w:pStyle w:val="SingleTxtG"/>
        <w:ind w:left="2259" w:hanging="1125"/>
        <w:rPr>
          <w:lang w:val="fr-FR"/>
        </w:rPr>
      </w:pPr>
      <w:r w:rsidRPr="00D24BE1">
        <w:rPr>
          <w:lang w:val="fr-FR"/>
        </w:rPr>
        <w:t>« 5.6.1</w:t>
      </w:r>
      <w:r w:rsidRPr="00D24BE1">
        <w:rPr>
          <w:lang w:val="fr-FR"/>
        </w:rPr>
        <w:tab/>
        <w:t>Le dispositif d</w:t>
      </w:r>
      <w:r w:rsidR="007369CB">
        <w:rPr>
          <w:lang w:val="fr-FR"/>
        </w:rPr>
        <w:t>’</w:t>
      </w:r>
      <w:r w:rsidRPr="00D24BE1">
        <w:rPr>
          <w:lang w:val="fr-FR"/>
        </w:rPr>
        <w:t>éclairage doit être équipé exclusivement d</w:t>
      </w:r>
      <w:r w:rsidR="007369CB">
        <w:rPr>
          <w:lang w:val="fr-FR"/>
        </w:rPr>
        <w:t>’</w:t>
      </w:r>
      <w:r w:rsidRPr="00D24BE1">
        <w:rPr>
          <w:lang w:val="fr-FR"/>
        </w:rPr>
        <w:t xml:space="preserve">une ou de plusieurs sources lumineuses homologuées </w:t>
      </w:r>
      <w:r>
        <w:rPr>
          <w:lang w:val="fr-FR"/>
        </w:rPr>
        <w:t>en application du Règlement ONU </w:t>
      </w:r>
      <w:r w:rsidRPr="00FA2F6B">
        <w:rPr>
          <w:rFonts w:eastAsia="MS Mincho"/>
          <w:szCs w:val="22"/>
          <w:lang w:val="fr-FR"/>
        </w:rPr>
        <w:t>n</w:t>
      </w:r>
      <w:r w:rsidRPr="00FA2F6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37 et/ou du Règlement ONU </w:t>
      </w:r>
      <w:r w:rsidRPr="00FA2F6B">
        <w:rPr>
          <w:rFonts w:eastAsia="MS Mincho"/>
          <w:szCs w:val="22"/>
          <w:lang w:val="fr-FR"/>
        </w:rPr>
        <w:t>n</w:t>
      </w:r>
      <w:r w:rsidRPr="00FA2F6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24BE1">
        <w:rPr>
          <w:lang w:val="fr-FR"/>
        </w:rPr>
        <w:t>128, à condition qu</w:t>
      </w:r>
      <w:r w:rsidR="007369CB">
        <w:rPr>
          <w:lang w:val="fr-FR"/>
        </w:rPr>
        <w:t>’</w:t>
      </w:r>
      <w:r w:rsidRPr="00D24BE1">
        <w:rPr>
          <w:lang w:val="fr-FR"/>
        </w:rPr>
        <w:t>aucune restriction d</w:t>
      </w:r>
      <w:r w:rsidR="007369CB">
        <w:rPr>
          <w:lang w:val="fr-FR"/>
        </w:rPr>
        <w:t>’</w:t>
      </w:r>
      <w:r w:rsidRPr="00D24BE1">
        <w:rPr>
          <w:lang w:val="fr-FR"/>
        </w:rPr>
        <w:t>utilisation ne soit i</w:t>
      </w:r>
      <w:r>
        <w:rPr>
          <w:lang w:val="fr-FR"/>
        </w:rPr>
        <w:t>ndiquée dans les Règlements ONU </w:t>
      </w:r>
      <w:r w:rsidRPr="00FA2F6B">
        <w:rPr>
          <w:rFonts w:eastAsia="MS Mincho"/>
          <w:szCs w:val="22"/>
          <w:lang w:val="fr-FR"/>
        </w:rPr>
        <w:t>n</w:t>
      </w:r>
      <w:r w:rsidRPr="00FA2F6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24BE1">
        <w:rPr>
          <w:lang w:val="fr-FR"/>
        </w:rPr>
        <w:t xml:space="preserve">37 et </w:t>
      </w:r>
      <w:r w:rsidRPr="00FA2F6B">
        <w:rPr>
          <w:rFonts w:eastAsia="MS Mincho"/>
          <w:szCs w:val="22"/>
          <w:lang w:val="fr-FR"/>
        </w:rPr>
        <w:t>n</w:t>
      </w:r>
      <w:r w:rsidRPr="00FA2F6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24BE1">
        <w:rPr>
          <w:lang w:val="fr-FR"/>
        </w:rPr>
        <w:t>128 et leurs séries respectives d</w:t>
      </w:r>
      <w:r w:rsidR="007369CB">
        <w:rPr>
          <w:lang w:val="fr-FR"/>
        </w:rPr>
        <w:t>’</w:t>
      </w:r>
      <w:r w:rsidRPr="00D24BE1">
        <w:rPr>
          <w:lang w:val="fr-FR"/>
        </w:rPr>
        <w:t>amendements en vigueur au moment de la de</w:t>
      </w:r>
      <w:r>
        <w:rPr>
          <w:lang w:val="fr-FR"/>
        </w:rPr>
        <w:t>mande d</w:t>
      </w:r>
      <w:r w:rsidR="007369CB">
        <w:rPr>
          <w:lang w:val="fr-FR"/>
        </w:rPr>
        <w:t>’</w:t>
      </w:r>
      <w:r>
        <w:rPr>
          <w:lang w:val="fr-FR"/>
        </w:rPr>
        <w:t>homologation de type. »</w:t>
      </w:r>
    </w:p>
    <w:p w:rsidR="005F0207" w:rsidRPr="00FA2F6B" w:rsidRDefault="00FA2F6B" w:rsidP="00FA2F6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FA2F6B" w:rsidSect="00FA2F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F3" w:rsidRDefault="000833F3"/>
  </w:endnote>
  <w:endnote w:type="continuationSeparator" w:id="0">
    <w:p w:rsidR="000833F3" w:rsidRDefault="000833F3">
      <w:pPr>
        <w:pStyle w:val="Footer"/>
      </w:pPr>
    </w:p>
  </w:endnote>
  <w:endnote w:type="continuationNotice" w:id="1">
    <w:p w:rsidR="000833F3" w:rsidRPr="00C451B9" w:rsidRDefault="000833F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6B" w:rsidRPr="00FA2F6B" w:rsidRDefault="00FA2F6B" w:rsidP="00FA2F6B">
    <w:pPr>
      <w:pStyle w:val="Footer"/>
      <w:tabs>
        <w:tab w:val="right" w:pos="9638"/>
      </w:tabs>
    </w:pPr>
    <w:r w:rsidRPr="00FA2F6B">
      <w:rPr>
        <w:b/>
        <w:sz w:val="18"/>
      </w:rPr>
      <w:fldChar w:fldCharType="begin"/>
    </w:r>
    <w:r w:rsidRPr="00FA2F6B">
      <w:rPr>
        <w:b/>
        <w:sz w:val="18"/>
      </w:rPr>
      <w:instrText xml:space="preserve"> PAGE  \* MERGEFORMAT </w:instrText>
    </w:r>
    <w:r w:rsidRPr="00FA2F6B">
      <w:rPr>
        <w:b/>
        <w:sz w:val="18"/>
      </w:rPr>
      <w:fldChar w:fldCharType="separate"/>
    </w:r>
    <w:r w:rsidR="0019574B">
      <w:rPr>
        <w:b/>
        <w:noProof/>
        <w:sz w:val="18"/>
      </w:rPr>
      <w:t>2</w:t>
    </w:r>
    <w:r w:rsidRPr="00FA2F6B">
      <w:rPr>
        <w:b/>
        <w:sz w:val="18"/>
      </w:rPr>
      <w:fldChar w:fldCharType="end"/>
    </w:r>
    <w:r>
      <w:rPr>
        <w:b/>
        <w:sz w:val="18"/>
      </w:rPr>
      <w:tab/>
    </w:r>
    <w:r>
      <w:t>GE.18-04692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6B" w:rsidRPr="00FA2F6B" w:rsidRDefault="00FA2F6B" w:rsidP="00FA2F6B">
    <w:pPr>
      <w:pStyle w:val="Footer"/>
      <w:tabs>
        <w:tab w:val="right" w:pos="9638"/>
      </w:tabs>
      <w:rPr>
        <w:b/>
        <w:sz w:val="18"/>
      </w:rPr>
    </w:pPr>
    <w:r>
      <w:t>GE.18-04692</w:t>
    </w:r>
    <w:r>
      <w:tab/>
    </w:r>
    <w:r w:rsidRPr="00FA2F6B">
      <w:rPr>
        <w:b/>
        <w:sz w:val="18"/>
      </w:rPr>
      <w:fldChar w:fldCharType="begin"/>
    </w:r>
    <w:r w:rsidRPr="00FA2F6B">
      <w:rPr>
        <w:b/>
        <w:sz w:val="18"/>
      </w:rPr>
      <w:instrText xml:space="preserve"> PAGE  \* MERGEFORMAT </w:instrText>
    </w:r>
    <w:r w:rsidRPr="00FA2F6B">
      <w:rPr>
        <w:b/>
        <w:sz w:val="18"/>
      </w:rPr>
      <w:fldChar w:fldCharType="separate"/>
    </w:r>
    <w:r w:rsidR="00705F90">
      <w:rPr>
        <w:b/>
        <w:noProof/>
        <w:sz w:val="18"/>
      </w:rPr>
      <w:t>2</w:t>
    </w:r>
    <w:r w:rsidRPr="00FA2F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FA2F6B" w:rsidRDefault="00FA2F6B" w:rsidP="00FA2F6B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04692  (</w:t>
    </w:r>
    <w:proofErr w:type="gramEnd"/>
    <w:r>
      <w:rPr>
        <w:sz w:val="20"/>
      </w:rPr>
      <w:t>F)    040518    040518</w:t>
    </w:r>
    <w:r>
      <w:rPr>
        <w:sz w:val="20"/>
      </w:rPr>
      <w:br/>
    </w:r>
    <w:r w:rsidRPr="00FA2F6B">
      <w:rPr>
        <w:rFonts w:ascii="C39T30Lfz" w:hAnsi="C39T30Lfz"/>
        <w:sz w:val="56"/>
      </w:rPr>
      <w:t></w:t>
    </w:r>
    <w:r w:rsidRPr="00FA2F6B">
      <w:rPr>
        <w:rFonts w:ascii="C39T30Lfz" w:hAnsi="C39T30Lfz"/>
        <w:sz w:val="56"/>
      </w:rPr>
      <w:t></w:t>
    </w:r>
    <w:r w:rsidRPr="00FA2F6B">
      <w:rPr>
        <w:rFonts w:ascii="C39T30Lfz" w:hAnsi="C39T30Lfz"/>
        <w:sz w:val="56"/>
      </w:rPr>
      <w:t></w:t>
    </w:r>
    <w:r w:rsidRPr="00FA2F6B">
      <w:rPr>
        <w:rFonts w:ascii="C39T30Lfz" w:hAnsi="C39T30Lfz"/>
        <w:sz w:val="56"/>
      </w:rPr>
      <w:t></w:t>
    </w:r>
    <w:r w:rsidRPr="00FA2F6B">
      <w:rPr>
        <w:rFonts w:ascii="C39T30Lfz" w:hAnsi="C39T30Lfz"/>
        <w:sz w:val="56"/>
      </w:rPr>
      <w:t></w:t>
    </w:r>
    <w:r w:rsidRPr="00FA2F6B">
      <w:rPr>
        <w:rFonts w:ascii="C39T30Lfz" w:hAnsi="C39T30Lfz"/>
        <w:sz w:val="56"/>
      </w:rPr>
      <w:t></w:t>
    </w:r>
    <w:r w:rsidRPr="00FA2F6B">
      <w:rPr>
        <w:rFonts w:ascii="C39T30Lfz" w:hAnsi="C39T30Lfz"/>
        <w:sz w:val="56"/>
      </w:rPr>
      <w:t></w:t>
    </w:r>
    <w:r w:rsidRPr="00FA2F6B">
      <w:rPr>
        <w:rFonts w:ascii="C39T30Lfz" w:hAnsi="C39T30Lfz"/>
        <w:sz w:val="56"/>
      </w:rPr>
      <w:t></w:t>
    </w:r>
    <w:r w:rsidRPr="00FA2F6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Add.3/Rev.3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3/Rev.3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F3" w:rsidRPr="00D27D5E" w:rsidRDefault="000833F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33F3" w:rsidRPr="00D171D4" w:rsidRDefault="000833F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833F3" w:rsidRPr="00C451B9" w:rsidRDefault="000833F3" w:rsidP="00C451B9">
      <w:pPr>
        <w:spacing w:line="240" w:lineRule="auto"/>
        <w:rPr>
          <w:sz w:val="2"/>
          <w:szCs w:val="2"/>
        </w:rPr>
      </w:pPr>
    </w:p>
  </w:footnote>
  <w:footnote w:id="2">
    <w:p w:rsidR="00FA2F6B" w:rsidRPr="00771154" w:rsidRDefault="00FA2F6B" w:rsidP="00FA2F6B">
      <w:pPr>
        <w:pStyle w:val="FootnoteText"/>
        <w:rPr>
          <w:lang w:val="fr-FR"/>
        </w:rPr>
      </w:pPr>
      <w:r>
        <w:tab/>
      </w:r>
      <w:r w:rsidRPr="00771154">
        <w:rPr>
          <w:rStyle w:val="FootnoteReference"/>
          <w:sz w:val="20"/>
          <w:lang w:val="fr-FR"/>
        </w:rPr>
        <w:t>*</w:t>
      </w:r>
      <w:r w:rsidRPr="00771154">
        <w:rPr>
          <w:sz w:val="20"/>
          <w:lang w:val="fr-FR"/>
        </w:rPr>
        <w:tab/>
      </w:r>
      <w:r w:rsidR="00705F90">
        <w:rPr>
          <w:lang w:val="fr-FR"/>
        </w:rPr>
        <w:t>Anciens titres de l’Accord :</w:t>
      </w:r>
    </w:p>
    <w:p w:rsidR="00FA2F6B" w:rsidRPr="00771154" w:rsidRDefault="00FA2F6B" w:rsidP="00FA2F6B">
      <w:pPr>
        <w:pStyle w:val="FootnoteText"/>
        <w:rPr>
          <w:sz w:val="20"/>
          <w:lang w:val="fr-FR"/>
        </w:rPr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conditions uniformes d’homologation et la reconnaissance réciproque de l’homologation des équipements et pièces de véhicules à m</w:t>
      </w:r>
      <w:r>
        <w:rPr>
          <w:lang w:val="fr-FR"/>
        </w:rPr>
        <w:t>oteur, en date, à Genève, du 20 </w:t>
      </w:r>
      <w:r w:rsidRPr="00771154">
        <w:rPr>
          <w:lang w:val="fr-FR"/>
        </w:rPr>
        <w:t>mars 1958 (version originale</w:t>
      </w:r>
      <w:r w:rsidRPr="00771154">
        <w:rPr>
          <w:spacing w:val="-4"/>
          <w:lang w:val="fr-FR"/>
        </w:rPr>
        <w:t>)</w:t>
      </w:r>
      <w:r>
        <w:rPr>
          <w:spacing w:val="-4"/>
          <w:lang w:val="fr-FR"/>
        </w:rPr>
        <w:t> ;</w:t>
      </w:r>
    </w:p>
    <w:p w:rsidR="00FA2F6B" w:rsidRPr="00771154" w:rsidRDefault="00FA2F6B" w:rsidP="00FA2F6B">
      <w:pPr>
        <w:pStyle w:val="FootnoteText"/>
        <w:rPr>
          <w:lang w:val="fr-FR"/>
        </w:rPr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prescriptions techniques uniformes applicables aux véhicules à roues, aux équipements et aux pièces susceptibles d’être montés ou util</w:t>
      </w:r>
      <w:r>
        <w:rPr>
          <w:lang w:val="fr-FR"/>
        </w:rPr>
        <w:t>isés sur un véhicule à roues et </w:t>
      </w:r>
      <w:r w:rsidRPr="00771154">
        <w:rPr>
          <w:lang w:val="fr-FR"/>
        </w:rPr>
        <w:t>les conditions de reconnaissance réciproque des homologations délivrées conformément à ces prescriptions, en date, à Genè</w:t>
      </w:r>
      <w:r>
        <w:rPr>
          <w:lang w:val="fr-FR"/>
        </w:rPr>
        <w:t>ve, du 5 octobre 1995 (Révision </w:t>
      </w:r>
      <w:r w:rsidRPr="00771154">
        <w:rPr>
          <w:lang w:val="fr-FR"/>
        </w:rPr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6B" w:rsidRPr="00FA2F6B" w:rsidRDefault="00BD45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E/ECE/324/Add.3/Rev.3/Amend.3</w:t>
    </w:r>
    <w:r>
      <w:fldChar w:fldCharType="end"/>
    </w:r>
    <w:r w:rsidR="00FA2F6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E/ECE/TRANS/505/Add.3/Rev.3/Amend.3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6B" w:rsidRPr="00FA2F6B" w:rsidRDefault="00BD45DF" w:rsidP="00FA2F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E/ECE/324/Add.3/Rev.3/Amend.3</w:t>
    </w:r>
    <w:r>
      <w:fldChar w:fldCharType="end"/>
    </w:r>
    <w:r w:rsidR="00FA2F6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E/ECE/TRANS/505/Add.3/Rev.3/Amend.3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33F3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9574B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377D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05F90"/>
    <w:rsid w:val="007102D2"/>
    <w:rsid w:val="00714A66"/>
    <w:rsid w:val="007176C1"/>
    <w:rsid w:val="00720BC0"/>
    <w:rsid w:val="0072116B"/>
    <w:rsid w:val="00725063"/>
    <w:rsid w:val="00732E72"/>
    <w:rsid w:val="007369CB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605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03D8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45DF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408F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2F6B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9F2A274-8EE9-4378-9B6B-9A914601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FA2F6B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E/ECE/324/Add.3/Rev.3/Amend.3</vt:lpstr>
      <vt:lpstr>E/ECE/324/Add.3/Rev.3/Amend.3</vt:lpstr>
    </vt:vector>
  </TitlesOfParts>
  <Company>CSD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E/ECE/324/Add.3/Rev.3/Amend.3</dc:title>
  <dc:creator>Edith BOURION</dc:creator>
  <cp:keywords>E/ECE/TRANS/505/Add.3/Rev.3/Amend.3</cp:keywords>
  <cp:lastModifiedBy>Marie-Claude Collet</cp:lastModifiedBy>
  <cp:revision>3</cp:revision>
  <cp:lastPrinted>2018-12-31T10:45:00Z</cp:lastPrinted>
  <dcterms:created xsi:type="dcterms:W3CDTF">2018-12-31T10:44:00Z</dcterms:created>
  <dcterms:modified xsi:type="dcterms:W3CDTF">2018-12-31T10:45:00Z</dcterms:modified>
</cp:coreProperties>
</file>