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905E50" w:rsidRPr="00665FC1" w:rsidTr="00E80404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905E50" w:rsidRPr="00905E50" w:rsidRDefault="00905E50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</w:t>
            </w:r>
            <w:r w:rsidRPr="00905E50">
              <w:rPr>
                <w:lang w:val="en-US"/>
              </w:rPr>
              <w:t>/</w:t>
            </w:r>
            <w:r>
              <w:fldChar w:fldCharType="begin"/>
            </w:r>
            <w:r w:rsidRPr="00905E50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905E50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905E50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905E50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905E50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Pr="00905E50">
              <w:rPr>
                <w:lang w:val="en-US"/>
              </w:rPr>
              <w:t>ECE/</w:t>
            </w:r>
            <w:r>
              <w:rPr>
                <w:lang w:val="en-US"/>
              </w:rPr>
              <w:t>324/Rev.2/Add.130/Rev.1/Amend.1–</w:t>
            </w:r>
            <w:r w:rsidRPr="00905E50">
              <w:rPr>
                <w:sz w:val="40"/>
                <w:szCs w:val="40"/>
                <w:lang w:val="en-US"/>
              </w:rPr>
              <w:t>E</w:t>
            </w:r>
            <w:r w:rsidRPr="00905E50">
              <w:rPr>
                <w:lang w:val="en-US"/>
              </w:rPr>
              <w:t>/ECE/TRANS/505/Rev.2/Add.130</w:t>
            </w:r>
            <w:r>
              <w:fldChar w:fldCharType="end"/>
            </w:r>
            <w:r w:rsidR="0068358F">
              <w:rPr>
                <w:lang w:val="en-US"/>
              </w:rPr>
              <w:t>/Rev.1/Amend.1</w:t>
            </w:r>
            <w:r w:rsidRPr="00905E50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905E50" w:rsidRDefault="00A658DB" w:rsidP="007B199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905E50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E2308" w:rsidRDefault="004E2308" w:rsidP="007B199D">
            <w:pPr>
              <w:rPr>
                <w:lang w:val="en-US"/>
              </w:rPr>
            </w:pPr>
          </w:p>
          <w:p w:rsidR="004E2308" w:rsidRDefault="004E2308" w:rsidP="007B199D">
            <w:pPr>
              <w:rPr>
                <w:lang w:val="en-US"/>
              </w:rPr>
            </w:pPr>
          </w:p>
          <w:p w:rsidR="004E2308" w:rsidRDefault="004E2308" w:rsidP="007B199D">
            <w:pPr>
              <w:rPr>
                <w:lang w:val="en-US"/>
              </w:rPr>
            </w:pPr>
          </w:p>
          <w:p w:rsidR="004E2308" w:rsidRDefault="004E2308" w:rsidP="007B199D">
            <w:pPr>
              <w:rPr>
                <w:lang w:val="en-US"/>
              </w:rPr>
            </w:pPr>
          </w:p>
          <w:p w:rsidR="00A658DB" w:rsidRPr="00245892" w:rsidRDefault="00A658DB" w:rsidP="007B199D">
            <w:fldSimple w:instr=" FILLIN  &quot;Введите дату документа&quot; \* MERGEFORMAT ">
              <w:r w:rsidR="00924852">
                <w:rPr>
                  <w:lang w:val="en-US"/>
                </w:rPr>
                <w:t>28</w:t>
              </w:r>
              <w:r w:rsidR="00D92BEA">
                <w:t xml:space="preserve"> October 2016</w:t>
              </w:r>
            </w:fldSimple>
          </w:p>
          <w:p w:rsidR="00A658DB" w:rsidRDefault="00A658DB" w:rsidP="007B199D">
            <w:pPr>
              <w:rPr>
                <w:lang w:val="en-US"/>
              </w:rPr>
            </w:pPr>
          </w:p>
          <w:p w:rsidR="004E2308" w:rsidRPr="004E2308" w:rsidRDefault="004E2308" w:rsidP="007B199D">
            <w:pPr>
              <w:rPr>
                <w:lang w:val="en-US"/>
              </w:rPr>
            </w:pPr>
          </w:p>
        </w:tc>
      </w:tr>
    </w:tbl>
    <w:p w:rsidR="004E2308" w:rsidRPr="004E2308" w:rsidRDefault="004E2308" w:rsidP="009C2EC3">
      <w:pPr>
        <w:pStyle w:val="HChGR"/>
        <w:spacing w:before="120" w:after="120"/>
      </w:pPr>
      <w:r w:rsidRPr="004E2308">
        <w:rPr>
          <w:lang w:val="en-US"/>
        </w:rPr>
        <w:tab/>
      </w:r>
      <w:r w:rsidRPr="004E2308">
        <w:rPr>
          <w:lang w:val="en-US"/>
        </w:rPr>
        <w:tab/>
      </w:r>
      <w:r w:rsidRPr="004E2308">
        <w:t>Соглашение</w:t>
      </w:r>
      <w:bookmarkStart w:id="0" w:name="_GoBack"/>
      <w:bookmarkEnd w:id="0"/>
    </w:p>
    <w:p w:rsidR="004E2308" w:rsidRPr="004E2308" w:rsidRDefault="004E2308" w:rsidP="00A04516">
      <w:pPr>
        <w:pStyle w:val="H1GR"/>
        <w:spacing w:before="160"/>
      </w:pPr>
      <w:r w:rsidRPr="004E2308">
        <w:tab/>
      </w:r>
      <w:r w:rsidRPr="004E2308">
        <w:tab/>
        <w:t>О принятии единообразных технических предписаний для</w:t>
      </w:r>
      <w:r w:rsidRPr="004E2308">
        <w:rPr>
          <w:lang w:val="en-US"/>
        </w:rPr>
        <w:t> </w:t>
      </w:r>
      <w:r w:rsidRPr="004E2308">
        <w:t xml:space="preserve">колесных транспортных средств, предметов оборудования и частей, которые могут быть установлены </w:t>
      </w:r>
      <w:r w:rsidRPr="004E2308">
        <w:br/>
        <w:t>и/или использованы на колесных транспортных средствах, и об условиях взаимного признания официальных утверждений, выдаваемых на основе этих предписаний</w:t>
      </w:r>
      <w:r w:rsidRPr="009C2EC3">
        <w:rPr>
          <w:b w:val="0"/>
          <w:bCs/>
          <w:sz w:val="20"/>
        </w:rPr>
        <w:footnoteReference w:customMarkFollows="1" w:id="1"/>
        <w:t>*</w:t>
      </w:r>
    </w:p>
    <w:p w:rsidR="004E2308" w:rsidRPr="004E2308" w:rsidRDefault="004E2308" w:rsidP="004E2308">
      <w:pPr>
        <w:pStyle w:val="SingleTxtGR"/>
      </w:pPr>
      <w:r w:rsidRPr="004E2308">
        <w:t>(Пересмотр 2, включающий поправки, вступившие в силу 16 октября 1995 года)</w:t>
      </w:r>
    </w:p>
    <w:p w:rsidR="004E2308" w:rsidRPr="004E2308" w:rsidRDefault="004E2308" w:rsidP="009C2EC3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E2308" w:rsidRPr="004E2308" w:rsidRDefault="004E2308" w:rsidP="00F67C48">
      <w:pPr>
        <w:pStyle w:val="H1GR"/>
        <w:spacing w:before="240"/>
      </w:pPr>
      <w:r w:rsidRPr="004E2308">
        <w:tab/>
      </w:r>
      <w:r w:rsidRPr="004E2308">
        <w:tab/>
        <w:t>Добавление 130 − Правила № 131</w:t>
      </w:r>
    </w:p>
    <w:p w:rsidR="004E2308" w:rsidRPr="004E2308" w:rsidRDefault="004E2308" w:rsidP="00F67C48">
      <w:pPr>
        <w:pStyle w:val="H1GR"/>
        <w:spacing w:before="240"/>
      </w:pPr>
      <w:r w:rsidRPr="004E2308">
        <w:tab/>
      </w:r>
      <w:r w:rsidRPr="004E2308">
        <w:tab/>
        <w:t>Пересмотр 1 − Поправка 1</w:t>
      </w:r>
    </w:p>
    <w:p w:rsidR="004E2308" w:rsidRPr="000D6FB1" w:rsidRDefault="004E2308" w:rsidP="004E2308">
      <w:pPr>
        <w:pStyle w:val="SingleTxtGR"/>
        <w:rPr>
          <w:sz w:val="19"/>
          <w:szCs w:val="19"/>
        </w:rPr>
      </w:pPr>
      <w:r w:rsidRPr="000D6FB1">
        <w:rPr>
          <w:sz w:val="19"/>
          <w:szCs w:val="19"/>
        </w:rPr>
        <w:t>Дополнение 2 к поправкам серии 01 − Дата вступления в силу: 8 октября 2016 года</w:t>
      </w:r>
    </w:p>
    <w:p w:rsidR="004E2308" w:rsidRPr="004E2308" w:rsidRDefault="004E2308" w:rsidP="00A04516">
      <w:pPr>
        <w:pStyle w:val="H1GR"/>
        <w:spacing w:before="240"/>
      </w:pPr>
      <w:r w:rsidRPr="004E2308">
        <w:tab/>
      </w:r>
      <w:r w:rsidRPr="004E2308">
        <w:tab/>
        <w:t>Единообразные предписания, касающиеся официального утверждения автотранспортных средств в отношении систем автоматического экстренного торможения (САЭТ)</w:t>
      </w:r>
    </w:p>
    <w:p w:rsidR="004E2308" w:rsidRPr="004E2308" w:rsidRDefault="004E2308" w:rsidP="003C414B">
      <w:pPr>
        <w:pStyle w:val="SingleTxtGR"/>
        <w:jc w:val="left"/>
      </w:pPr>
      <w:r w:rsidRPr="004E2308"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  <w:r w:rsidR="003C414B" w:rsidRPr="003C414B">
        <w:t xml:space="preserve"> </w:t>
      </w:r>
      <w:r w:rsidRPr="004E2308">
        <w:rPr>
          <w:lang w:val="fr-CH"/>
        </w:rPr>
        <w:t>ECE</w:t>
      </w:r>
      <w:r w:rsidRPr="004E2308">
        <w:t>/</w:t>
      </w:r>
      <w:r w:rsidRPr="004E2308">
        <w:rPr>
          <w:lang w:val="fr-CH"/>
        </w:rPr>
        <w:t>TRANS</w:t>
      </w:r>
      <w:r w:rsidRPr="004E2308">
        <w:t>/</w:t>
      </w:r>
      <w:r w:rsidRPr="004E2308">
        <w:rPr>
          <w:lang w:val="fr-CH"/>
        </w:rPr>
        <w:t>WP</w:t>
      </w:r>
      <w:r w:rsidRPr="004E2308">
        <w:t xml:space="preserve">.29/2016/7. </w:t>
      </w:r>
    </w:p>
    <w:p w:rsidR="004E2308" w:rsidRPr="003C414B" w:rsidRDefault="009C2EC3" w:rsidP="009C2EC3">
      <w:pPr>
        <w:spacing w:before="240"/>
        <w:jc w:val="center"/>
        <w:rPr>
          <w:u w:val="single"/>
        </w:rPr>
      </w:pPr>
      <w:r w:rsidRPr="003C414B">
        <w:rPr>
          <w:u w:val="single"/>
        </w:rPr>
        <w:tab/>
      </w:r>
      <w:r w:rsidRPr="003C414B">
        <w:rPr>
          <w:u w:val="single"/>
        </w:rPr>
        <w:tab/>
      </w:r>
      <w:r w:rsidRPr="003C414B">
        <w:rPr>
          <w:u w:val="single"/>
        </w:rPr>
        <w:tab/>
      </w:r>
    </w:p>
    <w:p w:rsidR="004E2308" w:rsidRPr="004E2308" w:rsidRDefault="004E2308" w:rsidP="009C2EC3">
      <w:pPr>
        <w:spacing w:line="240" w:lineRule="auto"/>
        <w:jc w:val="center"/>
      </w:pPr>
      <w:bookmarkStart w:id="1" w:name="_MON_1000209745"/>
      <w:bookmarkEnd w:id="1"/>
      <w:r w:rsidRPr="004E2308">
        <w:rPr>
          <w:noProof/>
          <w:lang w:val="en-GB" w:eastAsia="en-GB"/>
        </w:rPr>
        <w:drawing>
          <wp:inline distT="0" distB="0" distL="0" distR="0" wp14:anchorId="49A2EEA3" wp14:editId="0AA9CD04">
            <wp:extent cx="61658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08" w:rsidRPr="004E2308" w:rsidRDefault="004E2308" w:rsidP="009C2EC3">
      <w:pPr>
        <w:spacing w:line="240" w:lineRule="auto"/>
        <w:jc w:val="center"/>
        <w:rPr>
          <w:b/>
        </w:rPr>
      </w:pPr>
      <w:r w:rsidRPr="004E2308">
        <w:rPr>
          <w:b/>
        </w:rPr>
        <w:t>ОРГАНИЗАЦИЯ ОБЪЕДИНЕННЫХ НАЦИЙ</w:t>
      </w:r>
    </w:p>
    <w:p w:rsidR="004E2308" w:rsidRPr="004E2308" w:rsidRDefault="004E2308" w:rsidP="00924852">
      <w:pPr>
        <w:pStyle w:val="SingleTxtGR"/>
      </w:pPr>
      <w:r w:rsidRPr="004E2308">
        <w:rPr>
          <w:b/>
        </w:rPr>
        <w:br w:type="page"/>
      </w:r>
      <w:r w:rsidRPr="004E2308">
        <w:rPr>
          <w:i/>
          <w:iCs/>
        </w:rPr>
        <w:lastRenderedPageBreak/>
        <w:t>Введение к Правилам</w:t>
      </w:r>
      <w:r w:rsidRPr="004E2308">
        <w:t xml:space="preserve"> изменить следующим образом (включая добавление новых ссылок на существующую сноску 1):</w:t>
      </w:r>
    </w:p>
    <w:p w:rsidR="004E2308" w:rsidRPr="004E2308" w:rsidRDefault="004E2308" w:rsidP="00924852">
      <w:pPr>
        <w:pStyle w:val="HChGR"/>
      </w:pPr>
      <w:r w:rsidRPr="004E2308">
        <w:tab/>
      </w:r>
      <w:r w:rsidRPr="004E2308">
        <w:tab/>
      </w:r>
      <w:r w:rsidRPr="004E2308">
        <w:rPr>
          <w:bCs/>
        </w:rPr>
        <w:t>«</w:t>
      </w:r>
      <w:r w:rsidRPr="004E2308">
        <w:t>Введение</w:t>
      </w:r>
    </w:p>
    <w:p w:rsidR="004E2308" w:rsidRPr="004E2308" w:rsidRDefault="004E2308" w:rsidP="00924852">
      <w:pPr>
        <w:pStyle w:val="SingleTxtGR"/>
      </w:pPr>
      <w:r w:rsidRPr="004E2308">
        <w:tab/>
        <w:t>Цель настоящих Правил − ввести единообразные предписания, касающиеся систем автоматического экстренного торможения (САЭТ), установленных на автотранспортных средствах категорий M</w:t>
      </w:r>
      <w:r w:rsidRPr="004E2308">
        <w:rPr>
          <w:vertAlign w:val="subscript"/>
        </w:rPr>
        <w:t>2</w:t>
      </w:r>
      <w:r w:rsidRPr="004E2308">
        <w:t>, M</w:t>
      </w:r>
      <w:r w:rsidRPr="004E2308">
        <w:rPr>
          <w:vertAlign w:val="subscript"/>
        </w:rPr>
        <w:t>3</w:t>
      </w:r>
      <w:r w:rsidRPr="004E2308">
        <w:t>, N</w:t>
      </w:r>
      <w:r w:rsidRPr="004E2308">
        <w:rPr>
          <w:vertAlign w:val="subscript"/>
        </w:rPr>
        <w:t>2</w:t>
      </w:r>
      <w:r w:rsidRPr="004E2308">
        <w:t xml:space="preserve"> и N</w:t>
      </w:r>
      <w:r w:rsidRPr="004E2308">
        <w:rPr>
          <w:vertAlign w:val="subscript"/>
        </w:rPr>
        <w:t>3</w:t>
      </w:r>
      <w:r w:rsidRPr="00A04516">
        <w:rPr>
          <w:sz w:val="18"/>
          <w:szCs w:val="18"/>
          <w:vertAlign w:val="superscript"/>
        </w:rPr>
        <w:t>1</w:t>
      </w:r>
      <w:r w:rsidRPr="004E2308">
        <w:t>, которые эксплуатируются главным образом на автомагистралях в условиях монотонного движения.</w:t>
      </w:r>
    </w:p>
    <w:p w:rsidR="004E2308" w:rsidRPr="004E2308" w:rsidRDefault="004E2308" w:rsidP="00A04516">
      <w:pPr>
        <w:pStyle w:val="SingleTxtGR"/>
      </w:pPr>
      <w:r w:rsidRPr="004E2308">
        <w:tab/>
        <w:t>Хотя в целом транспортные средства этих категорий и выиграют от оснащения их САЭТ, в случае некоторых подгрупп преимущества будут довольно сомнительными, поскольку они эксплуатируются главным образом в условиях, не связанных с движением по автомагистралям (например, автобусы, в которых пассажиры перевозятся стоя, т.е. кото</w:t>
      </w:r>
      <w:r w:rsidR="00A04516">
        <w:t>рые относятся к классам I, II и</w:t>
      </w:r>
      <w:r w:rsidR="00A04516">
        <w:rPr>
          <w:lang w:val="en-US"/>
        </w:rPr>
        <w:t> </w:t>
      </w:r>
      <w:r w:rsidRPr="004E2308">
        <w:t>A</w:t>
      </w:r>
      <w:r w:rsidRPr="00A04516">
        <w:rPr>
          <w:sz w:val="18"/>
          <w:szCs w:val="18"/>
          <w:vertAlign w:val="superscript"/>
        </w:rPr>
        <w:t>1</w:t>
      </w:r>
      <w:r w:rsidRPr="004E2308">
        <w:t>, транспортные средства категории G</w:t>
      </w:r>
      <w:r w:rsidRPr="004E2308">
        <w:rPr>
          <w:vertAlign w:val="superscript"/>
        </w:rPr>
        <w:t>1</w:t>
      </w:r>
      <w:r w:rsidRPr="004E2308">
        <w:t>, строительная техника и т.д.). Независимо от преимуществ, в случае других подгрупп установка САЭТ будет сопряжена с техническими трудностями или окажется невозможной (например, при выборе места для установки датчика на транспортных средствах категории</w:t>
      </w:r>
      <w:r w:rsidR="00A04516">
        <w:rPr>
          <w:lang w:val="en-US"/>
        </w:rPr>
        <w:t> </w:t>
      </w:r>
      <w:r w:rsidRPr="004E2308">
        <w:t>G</w:t>
      </w:r>
      <w:r w:rsidRPr="00A04516">
        <w:rPr>
          <w:sz w:val="18"/>
          <w:szCs w:val="18"/>
          <w:vertAlign w:val="superscript"/>
        </w:rPr>
        <w:t>1</w:t>
      </w:r>
      <w:r w:rsidRPr="004E2308">
        <w:t>, на строительной технике, используемой главным образом во внедорожных условиях и на гравийных дорогах, на транспортных средствах специального назначения и транспортных средствах с орудиями фронтальной навески и т.д.). В некоторых случаях в силу конструкционных особенностей транспортного средства может существовать вероятность возникновения ложной ситуации экстренного торможения.</w:t>
      </w:r>
    </w:p>
    <w:p w:rsidR="004E2308" w:rsidRPr="004E2308" w:rsidRDefault="004E2308" w:rsidP="00924852">
      <w:pPr>
        <w:pStyle w:val="SingleTxtGR"/>
      </w:pPr>
      <w:r w:rsidRPr="004E2308">
        <w:tab/>
        <w:t>Кроме того, системы, предназначенные для транспортных средств, у которых задняя ось не оснащена пневматической подвеской, требуют использования передовой сенсорной технологии для учета изменения угла развала колес транспортного средства.</w:t>
      </w:r>
    </w:p>
    <w:p w:rsidR="004E2308" w:rsidRPr="004E2308" w:rsidRDefault="004E2308" w:rsidP="00924852">
      <w:pPr>
        <w:pStyle w:val="SingleTxtGR"/>
      </w:pPr>
      <w:r w:rsidRPr="004E2308">
        <w:tab/>
        <w:t xml:space="preserve">Система автоматически выявляет риск столкновения спереди, предупреждает о нем водителя и приводит в действие тормозную систему транспортного средства для снижения его скорости с целью недопущения столкновения либо смягчения его последствий в том случае, когда водитель не реагирует на предупреждение. </w:t>
      </w:r>
    </w:p>
    <w:p w:rsidR="004E2308" w:rsidRPr="004E2308" w:rsidRDefault="004E2308" w:rsidP="00924852">
      <w:pPr>
        <w:pStyle w:val="SingleTxtGR"/>
      </w:pPr>
      <w:r w:rsidRPr="004E2308">
        <w:tab/>
        <w:t>Система срабатывает только в таких условиях вождения, когда торможение позволяет не допустить дорожно-транспортное происшествие или смягчить его последствия, и не функционирует при обычных условиях вождения.</w:t>
      </w:r>
    </w:p>
    <w:p w:rsidR="004E2308" w:rsidRPr="004E2308" w:rsidRDefault="004E2308" w:rsidP="00924852">
      <w:pPr>
        <w:pStyle w:val="SingleTxtGR"/>
      </w:pPr>
      <w:r w:rsidRPr="004E2308">
        <w:tab/>
        <w:t>В случае сбоя в работе системы никакого риска для безопасного функционирования транспортного средства не возникает.</w:t>
      </w:r>
    </w:p>
    <w:p w:rsidR="004E2308" w:rsidRPr="004E2308" w:rsidRDefault="004E2308" w:rsidP="00924852">
      <w:pPr>
        <w:pStyle w:val="SingleTxtGR"/>
      </w:pPr>
      <w:r w:rsidRPr="004E2308">
        <w:tab/>
        <w:t xml:space="preserve">Система обеспечивает как минимум акустическое или тактильное предупреждение, которое может выражаться также в резком замедлении движения, с тем чтобы невнимательный водитель мог осознать всю серьезность сложившейся ситуации. </w:t>
      </w:r>
    </w:p>
    <w:p w:rsidR="004E2308" w:rsidRPr="004E2308" w:rsidRDefault="004E2308" w:rsidP="00924852">
      <w:pPr>
        <w:pStyle w:val="SingleTxtGR"/>
      </w:pPr>
      <w:r w:rsidRPr="004E2308">
        <w:tab/>
        <w:t>При любой реакции системы (этапы предупреждения и экстренного торможения) водитель может в любой момент посредством осознанного действия, например путем поворота рулевого колеса либо перехода на понижающую передачу, восстановить контроль над транспортным средством и отключить систему.</w:t>
      </w:r>
    </w:p>
    <w:p w:rsidR="004E2308" w:rsidRPr="004E2308" w:rsidRDefault="004E2308" w:rsidP="00924852">
      <w:pPr>
        <w:pStyle w:val="SingleTxtGR"/>
      </w:pPr>
      <w:r w:rsidRPr="004E2308">
        <w:lastRenderedPageBreak/>
        <w:tab/>
        <w:t>В настоящих Правилах невозможно предусмотреть все дорожные условия и особенности инфраструктуры, которые следует учитывать в процессе официального утверждения типа. Фактические условия и особенности в реальной ситуации не должны быть причиной частого срабатывания ложного сигнала или необоснованного торможения, что может побудить водителя отключить систему».</w:t>
      </w:r>
    </w:p>
    <w:p w:rsidR="004E2308" w:rsidRPr="004E2308" w:rsidRDefault="004E2308" w:rsidP="00924852">
      <w:pPr>
        <w:pStyle w:val="SingleTxtGR"/>
        <w:rPr>
          <w:iCs/>
        </w:rPr>
      </w:pPr>
      <w:r w:rsidRPr="004E2308">
        <w:rPr>
          <w:i/>
          <w:iCs/>
        </w:rPr>
        <w:t>Изменить текст пункта 5.1.2</w:t>
      </w:r>
      <w:r w:rsidRPr="004E2308">
        <w:t xml:space="preserve"> следующим образом:</w:t>
      </w:r>
    </w:p>
    <w:p w:rsidR="004E2308" w:rsidRPr="004E2308" w:rsidRDefault="004E2308" w:rsidP="00A04516">
      <w:pPr>
        <w:pStyle w:val="SingleTxtGR"/>
        <w:ind w:left="2268" w:hanging="1134"/>
      </w:pPr>
      <w:r w:rsidRPr="004E2308">
        <w:t>«</w:t>
      </w:r>
      <w:r w:rsidR="003C414B">
        <w:t>5.1.2</w:t>
      </w:r>
      <w:r w:rsidR="003C414B">
        <w:rPr>
          <w:lang w:val="en-US"/>
        </w:rPr>
        <w:tab/>
      </w:r>
      <w:r w:rsidRPr="004E2308">
        <w:tab/>
        <w:t xml:space="preserve">Магнитные и электрические поля не должны снижать эффективности САЭТ. Это требование считается выполненным, если соблюдаются </w:t>
      </w:r>
      <w:r w:rsidRPr="004E2308">
        <w:rPr>
          <w:bCs/>
        </w:rPr>
        <w:t>технические требовани</w:t>
      </w:r>
      <w:r w:rsidR="00A04516">
        <w:rPr>
          <w:bCs/>
        </w:rPr>
        <w:t>я и переходные положения Правил</w:t>
      </w:r>
      <w:r w:rsidR="00A04516">
        <w:rPr>
          <w:bCs/>
          <w:lang w:val="en-US"/>
        </w:rPr>
        <w:t> </w:t>
      </w:r>
      <w:r w:rsidRPr="004E2308">
        <w:rPr>
          <w:bCs/>
        </w:rPr>
        <w:t>№ 10 посредством применения:</w:t>
      </w:r>
    </w:p>
    <w:p w:rsidR="004E2308" w:rsidRPr="004E2308" w:rsidRDefault="004E2308" w:rsidP="00A04516">
      <w:pPr>
        <w:pStyle w:val="SingleTxtGR"/>
        <w:ind w:left="2835" w:hanging="1701"/>
        <w:rPr>
          <w:bCs/>
        </w:rPr>
      </w:pPr>
      <w:r w:rsidRPr="004E2308">
        <w:rPr>
          <w:bCs/>
        </w:rPr>
        <w:tab/>
      </w:r>
      <w:r w:rsidRPr="004E2308">
        <w:rPr>
          <w:bCs/>
        </w:rPr>
        <w:tab/>
        <w:t>а)</w:t>
      </w:r>
      <w:r w:rsidRPr="004E2308">
        <w:rPr>
          <w:bCs/>
        </w:rPr>
        <w:tab/>
        <w:t xml:space="preserve">поправок серии 03 для </w:t>
      </w:r>
      <w:r w:rsidRPr="00924852">
        <w:t>транспортных</w:t>
      </w:r>
      <w:r w:rsidRPr="004E2308">
        <w:rPr>
          <w:bCs/>
        </w:rPr>
        <w:t xml:space="preserve"> средств без соединительной системы для зарядки </w:t>
      </w:r>
      <w:r w:rsidRPr="004E2308">
        <w:t>перезаряжаемой системы</w:t>
      </w:r>
      <w:r w:rsidRPr="004E2308">
        <w:rPr>
          <w:bCs/>
        </w:rPr>
        <w:t xml:space="preserve"> хранения энергии (тяговых батарей);</w:t>
      </w:r>
    </w:p>
    <w:p w:rsidR="00A658DB" w:rsidRPr="00FE2567" w:rsidRDefault="004E2308" w:rsidP="00A04516">
      <w:pPr>
        <w:pStyle w:val="SingleTxtGR"/>
        <w:ind w:left="2835" w:hanging="1701"/>
        <w:rPr>
          <w:bCs/>
        </w:rPr>
      </w:pPr>
      <w:r w:rsidRPr="004E2308">
        <w:rPr>
          <w:bCs/>
        </w:rPr>
        <w:tab/>
      </w:r>
      <w:r w:rsidRPr="004E2308">
        <w:rPr>
          <w:bCs/>
        </w:rPr>
        <w:tab/>
      </w:r>
      <w:r w:rsidRPr="004E2308">
        <w:rPr>
          <w:bCs/>
          <w:lang w:val="en-US"/>
        </w:rPr>
        <w:t>b</w:t>
      </w:r>
      <w:r w:rsidRPr="004E2308">
        <w:rPr>
          <w:bCs/>
        </w:rPr>
        <w:t>)</w:t>
      </w:r>
      <w:r w:rsidRPr="004E2308">
        <w:rPr>
          <w:bCs/>
        </w:rPr>
        <w:tab/>
        <w:t xml:space="preserve">поправок серии 04 для </w:t>
      </w:r>
      <w:r w:rsidRPr="00924852">
        <w:t>транспортных</w:t>
      </w:r>
      <w:r w:rsidRPr="004E2308">
        <w:rPr>
          <w:bCs/>
        </w:rPr>
        <w:t xml:space="preserve"> средств с соединительной системой для зарядки </w:t>
      </w:r>
      <w:r w:rsidRPr="004E2308">
        <w:t>перезаряжаемой системы</w:t>
      </w:r>
      <w:r w:rsidRPr="004E2308">
        <w:rPr>
          <w:bCs/>
        </w:rPr>
        <w:t xml:space="preserve"> хранения энергии (тяговых батарей)».</w:t>
      </w:r>
    </w:p>
    <w:p w:rsidR="00A04516" w:rsidRPr="00FE2567" w:rsidRDefault="00A04516" w:rsidP="00A04516">
      <w:pPr>
        <w:spacing w:before="240"/>
        <w:jc w:val="center"/>
        <w:rPr>
          <w:u w:val="single"/>
        </w:rPr>
      </w:pPr>
      <w:r w:rsidRPr="00FE2567">
        <w:rPr>
          <w:u w:val="single"/>
        </w:rPr>
        <w:tab/>
      </w:r>
      <w:r w:rsidRPr="00FE2567">
        <w:rPr>
          <w:u w:val="single"/>
        </w:rPr>
        <w:tab/>
      </w:r>
      <w:r w:rsidRPr="00FE2567">
        <w:rPr>
          <w:u w:val="single"/>
        </w:rPr>
        <w:tab/>
      </w:r>
    </w:p>
    <w:sectPr w:rsidR="00A04516" w:rsidRPr="00FE2567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EA" w:rsidRDefault="00D92BEA" w:rsidP="00B471C5">
      <w:r>
        <w:separator/>
      </w:r>
    </w:p>
  </w:endnote>
  <w:endnote w:type="continuationSeparator" w:id="0">
    <w:p w:rsidR="00D92BEA" w:rsidRDefault="00D92BE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65FC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D6FB1">
      <w:rPr>
        <w:lang w:val="en-US"/>
      </w:rPr>
      <w:t>17894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04516">
      <w:rPr>
        <w:lang w:val="en-US"/>
      </w:rPr>
      <w:t>17894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65FC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FE256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D6FB1">
            <w:rPr>
              <w:lang w:val="en-US"/>
            </w:rPr>
            <w:t>17894</w:t>
          </w:r>
          <w:r w:rsidRPr="001C3ABC">
            <w:rPr>
              <w:lang w:val="en-US"/>
            </w:rPr>
            <w:t xml:space="preserve"> (R)</w:t>
          </w:r>
          <w:r w:rsidR="000D6FB1">
            <w:rPr>
              <w:lang w:val="en-US"/>
            </w:rPr>
            <w:t xml:space="preserve">  021116  0</w:t>
          </w:r>
          <w:r w:rsidR="00FE2567">
            <w:rPr>
              <w:lang w:val="en-US"/>
            </w:rPr>
            <w:t>3</w:t>
          </w:r>
          <w:r w:rsidR="000D6FB1">
            <w:rPr>
              <w:lang w:val="en-US"/>
            </w:rPr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D6FB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/ECE/324/Rev.2/Add.130/Rev.1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30/Rev.1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D6FB1" w:rsidRDefault="000D6FB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D6FB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EA" w:rsidRPr="009141DC" w:rsidRDefault="00D92BE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92BEA" w:rsidRPr="00D1261C" w:rsidRDefault="00D92BE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E2308" w:rsidRPr="00AA2DC3" w:rsidRDefault="004E2308" w:rsidP="004E2308">
      <w:pPr>
        <w:pStyle w:val="FootnoteText"/>
        <w:rPr>
          <w:sz w:val="20"/>
          <w:lang w:val="ru-RU"/>
        </w:rPr>
      </w:pPr>
      <w:r>
        <w:tab/>
      </w:r>
      <w:r w:rsidRPr="009C2EC3">
        <w:rPr>
          <w:rStyle w:val="FootnoteReference"/>
          <w:sz w:val="20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Default="000D6FB1">
    <w:pPr>
      <w:pStyle w:val="Header"/>
      <w:rPr>
        <w:lang w:val="en-US"/>
      </w:rPr>
    </w:pPr>
    <w:r w:rsidRPr="000D6FB1">
      <w:rPr>
        <w:lang w:val="en-US"/>
      </w:rPr>
      <w:t>E/ECE/324/Rev.2/Add.130/Rev.1/Amend.1</w:t>
    </w:r>
    <w:r>
      <w:rPr>
        <w:lang w:val="en-US"/>
      </w:rPr>
      <w:br/>
    </w:r>
    <w:r w:rsidRPr="000D6FB1">
      <w:rPr>
        <w:lang w:val="en-US"/>
      </w:rPr>
      <w:t>E/ECE/TRANS/505/Rev.2/Add.130/Rev.1/Amend.1</w:t>
    </w:r>
  </w:p>
  <w:p w:rsidR="00924852" w:rsidRPr="00924852" w:rsidRDefault="00924852" w:rsidP="00924852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Default="00924852" w:rsidP="007005EE">
    <w:pPr>
      <w:pStyle w:val="Header"/>
      <w:jc w:val="right"/>
      <w:rPr>
        <w:lang w:val="en-US"/>
      </w:rPr>
    </w:pPr>
    <w:r w:rsidRPr="000D6FB1">
      <w:rPr>
        <w:lang w:val="en-US"/>
      </w:rPr>
      <w:t>E/ECE/324/Rev.2/Add.130/Rev.1/Amend.1</w:t>
    </w:r>
    <w:r>
      <w:rPr>
        <w:lang w:val="en-US"/>
      </w:rPr>
      <w:br/>
    </w:r>
    <w:r w:rsidRPr="000D6FB1">
      <w:rPr>
        <w:lang w:val="en-US"/>
      </w:rPr>
      <w:t>E/ECE/TRANS/505/Rev.2/Add.130/Rev.1/Amend.1</w:t>
    </w:r>
  </w:p>
  <w:p w:rsidR="00924852" w:rsidRPr="00924852" w:rsidRDefault="00924852" w:rsidP="00924852">
    <w:pPr>
      <w:rPr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67" w:rsidRDefault="00FE2567" w:rsidP="00665FC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A"/>
    <w:rsid w:val="000450D1"/>
    <w:rsid w:val="000B1FD5"/>
    <w:rsid w:val="000D6FB1"/>
    <w:rsid w:val="000F2A4F"/>
    <w:rsid w:val="00111365"/>
    <w:rsid w:val="00203F84"/>
    <w:rsid w:val="00275188"/>
    <w:rsid w:val="0028687D"/>
    <w:rsid w:val="002B091C"/>
    <w:rsid w:val="002B3D40"/>
    <w:rsid w:val="002D0CCB"/>
    <w:rsid w:val="00345C79"/>
    <w:rsid w:val="00366A39"/>
    <w:rsid w:val="003C414B"/>
    <w:rsid w:val="0048005C"/>
    <w:rsid w:val="004D639B"/>
    <w:rsid w:val="004E2308"/>
    <w:rsid w:val="004E242B"/>
    <w:rsid w:val="00544379"/>
    <w:rsid w:val="00566944"/>
    <w:rsid w:val="005D56BF"/>
    <w:rsid w:val="0062027E"/>
    <w:rsid w:val="00643644"/>
    <w:rsid w:val="00665D8D"/>
    <w:rsid w:val="00665FC1"/>
    <w:rsid w:val="0068358F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05E50"/>
    <w:rsid w:val="009141DC"/>
    <w:rsid w:val="009174A1"/>
    <w:rsid w:val="00924852"/>
    <w:rsid w:val="0098674D"/>
    <w:rsid w:val="00997ACA"/>
    <w:rsid w:val="009C2EC3"/>
    <w:rsid w:val="00A03FB7"/>
    <w:rsid w:val="00A04516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92BEA"/>
    <w:rsid w:val="00DD35AC"/>
    <w:rsid w:val="00DD479F"/>
    <w:rsid w:val="00E15E48"/>
    <w:rsid w:val="00EB0723"/>
    <w:rsid w:val="00EB2957"/>
    <w:rsid w:val="00EE6F37"/>
    <w:rsid w:val="00F1599F"/>
    <w:rsid w:val="00F31EF2"/>
    <w:rsid w:val="00F67C48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A4A570-9BED-4DDE-BFEF-2F5BC86F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E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2B53-B663-48F2-BF04-2EEBF80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Lucille</cp:lastModifiedBy>
  <cp:revision>2</cp:revision>
  <cp:lastPrinted>2016-11-03T09:26:00Z</cp:lastPrinted>
  <dcterms:created xsi:type="dcterms:W3CDTF">2017-01-05T17:29:00Z</dcterms:created>
  <dcterms:modified xsi:type="dcterms:W3CDTF">2017-01-05T17:29:00Z</dcterms:modified>
</cp:coreProperties>
</file>