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716"/>
        <w:gridCol w:w="2930"/>
      </w:tblGrid>
      <w:tr w:rsidR="0008521E" w:rsidRPr="00705DDB" w:rsidTr="0008521E">
        <w:trPr>
          <w:trHeight w:val="851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21E" w:rsidRDefault="0008521E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21E" w:rsidRPr="00B7537C" w:rsidRDefault="00B7537C" w:rsidP="00B6411C">
            <w:pPr>
              <w:spacing w:after="80" w:line="340" w:lineRule="exact"/>
              <w:jc w:val="right"/>
              <w:rPr>
                <w:lang w:val="en-US"/>
              </w:rPr>
            </w:pPr>
            <w:r w:rsidRPr="00B7537C">
              <w:rPr>
                <w:sz w:val="40"/>
                <w:lang w:val="en-US"/>
              </w:rPr>
              <w:t>E</w:t>
            </w:r>
            <w:r w:rsidRPr="00B7537C">
              <w:rPr>
                <w:lang w:val="en-US"/>
              </w:rPr>
              <w:t>/ECE/324/Rev.2/Add.129/Amend.1−</w:t>
            </w:r>
            <w:r w:rsidRPr="00B7537C">
              <w:rPr>
                <w:sz w:val="40"/>
                <w:lang w:val="en-US"/>
              </w:rPr>
              <w:t>E</w:t>
            </w:r>
            <w:r w:rsidRPr="00B7537C">
              <w:rPr>
                <w:lang w:val="en-US"/>
              </w:rPr>
              <w:t>/ECE/TRANS/505/Rev.2/Add.129/Amend.1</w:t>
            </w:r>
          </w:p>
        </w:tc>
      </w:tr>
      <w:tr w:rsidR="000D0013" w:rsidTr="00B7537C">
        <w:trPr>
          <w:trHeight w:val="223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8521E" w:rsidRDefault="000D0013" w:rsidP="00B6411C">
            <w:pPr>
              <w:rPr>
                <w:lang w:val="en-US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8521E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B172D2" w:rsidRDefault="000D0013" w:rsidP="00B6411C">
            <w:pPr>
              <w:spacing w:before="240"/>
              <w:rPr>
                <w:lang w:val="en-US"/>
              </w:rPr>
            </w:pPr>
          </w:p>
          <w:p w:rsidR="00C60363" w:rsidRDefault="00C60363" w:rsidP="00B6411C">
            <w:pPr>
              <w:rPr>
                <w:lang w:val="en-US"/>
              </w:rPr>
            </w:pPr>
          </w:p>
          <w:p w:rsidR="000D0013" w:rsidRPr="00B172D2" w:rsidRDefault="00D17A60" w:rsidP="00C60363">
            <w:r>
              <w:rPr>
                <w:lang w:val="en-US"/>
              </w:rPr>
              <w:t>28 October 2016</w:t>
            </w:r>
            <w:r w:rsidR="000D0013" w:rsidRPr="00B172D2">
              <w:rPr>
                <w:lang w:val="en-US"/>
              </w:rPr>
              <w:fldChar w:fldCharType="begin"/>
            </w:r>
            <w:r w:rsidR="000D0013"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="000D0013" w:rsidRPr="00B172D2">
              <w:rPr>
                <w:lang w:val="en-US"/>
              </w:rPr>
              <w:fldChar w:fldCharType="end"/>
            </w:r>
          </w:p>
        </w:tc>
      </w:tr>
    </w:tbl>
    <w:p w:rsidR="00B7537C" w:rsidRPr="009964BB" w:rsidRDefault="00B7537C" w:rsidP="00B7537C">
      <w:pPr>
        <w:pStyle w:val="HCh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r w:rsidRPr="00A50D36">
        <w:t>Соглашение</w:t>
      </w:r>
    </w:p>
    <w:p w:rsidR="00B7537C" w:rsidRPr="00A16D18" w:rsidRDefault="00B7537C" w:rsidP="00B7537C">
      <w:pPr>
        <w:pStyle w:val="H1GR"/>
        <w:spacing w:before="240" w:after="120"/>
      </w:pPr>
      <w:r w:rsidRPr="009964BB">
        <w:tab/>
      </w:r>
      <w:r w:rsidRPr="009964BB">
        <w:tab/>
      </w:r>
      <w:r>
        <w:t>О</w:t>
      </w:r>
      <w:r w:rsidRPr="00A16D18">
        <w:t xml:space="preserve"> принятии единообразных технических предписаний для</w:t>
      </w:r>
      <w:r w:rsidR="00860F38">
        <w:rPr>
          <w:lang w:val="en-US"/>
        </w:rPr>
        <w:t> </w:t>
      </w:r>
      <w:r w:rsidRPr="00A16D18">
        <w:t xml:space="preserve">колесных транспортных средств, предметов </w:t>
      </w:r>
      <w:r w:rsidR="00860F38" w:rsidRPr="00860F38">
        <w:br/>
      </w:r>
      <w:r w:rsidRPr="00A16D18">
        <w:t>оборудования и частей, которые могут быть установлены и/или использованы на кол</w:t>
      </w:r>
      <w:r w:rsidR="00860F38">
        <w:t>есных транспортных средствах, и</w:t>
      </w:r>
      <w:r w:rsidR="00860F38">
        <w:rPr>
          <w:lang w:val="en-US"/>
        </w:rPr>
        <w:t> </w:t>
      </w:r>
      <w:r w:rsidRPr="00A16D18">
        <w:t>об условиях взаимного признания официальных утверждений, выдаваемых на основе этих предписаний</w:t>
      </w:r>
      <w:r w:rsidR="00A01BCB" w:rsidRPr="00A01BC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A16D18">
        <w:rPr>
          <w:b w:val="0"/>
          <w:lang w:eastAsia="en-US"/>
        </w:rPr>
        <w:t xml:space="preserve"> </w:t>
      </w:r>
    </w:p>
    <w:p w:rsidR="00B7537C" w:rsidRDefault="00B7537C" w:rsidP="00B7537C">
      <w:pPr>
        <w:pStyle w:val="SingleTxtGR"/>
      </w:pPr>
      <w:r w:rsidRPr="00A16D18">
        <w:t>(Пересмотр 2, включающий поправки, вступившие в силу 16 октября 1995 года)</w:t>
      </w:r>
    </w:p>
    <w:p w:rsidR="00B7537C" w:rsidRDefault="00B7537C" w:rsidP="000B03F8">
      <w:pPr>
        <w:pStyle w:val="SingleTxtGR"/>
        <w:spacing w:after="0"/>
        <w:jc w:val="center"/>
      </w:pPr>
      <w:r>
        <w:t>__________</w:t>
      </w:r>
    </w:p>
    <w:p w:rsidR="00B7537C" w:rsidRPr="00EE135C" w:rsidRDefault="00B7537C" w:rsidP="000B03F8">
      <w:pPr>
        <w:pStyle w:val="H1GR"/>
        <w:spacing w:before="240"/>
      </w:pPr>
      <w:r w:rsidRPr="007C0414">
        <w:tab/>
      </w:r>
      <w:r w:rsidRPr="007C0414">
        <w:tab/>
        <w:t>Добавление 12</w:t>
      </w:r>
      <w:r w:rsidRPr="00EE135C">
        <w:t>9</w:t>
      </w:r>
      <w:r>
        <w:t xml:space="preserve"> − </w:t>
      </w:r>
      <w:r w:rsidRPr="007C0414">
        <w:t>Правила № 1</w:t>
      </w:r>
      <w:r w:rsidRPr="00EE135C">
        <w:t>30</w:t>
      </w:r>
    </w:p>
    <w:p w:rsidR="00B7537C" w:rsidRPr="00545BC4" w:rsidRDefault="00B7537C" w:rsidP="000B03F8">
      <w:pPr>
        <w:pStyle w:val="H1GR"/>
      </w:pPr>
      <w:r>
        <w:tab/>
      </w:r>
      <w:r>
        <w:tab/>
        <w:t>Поправка 1</w:t>
      </w:r>
    </w:p>
    <w:p w:rsidR="00B7537C" w:rsidRPr="00822C31" w:rsidRDefault="00B7537C" w:rsidP="000B03F8">
      <w:pPr>
        <w:pStyle w:val="SingleTxtGR"/>
        <w:rPr>
          <w:w w:val="102"/>
        </w:rPr>
      </w:pPr>
      <w:r>
        <w:rPr>
          <w:w w:val="102"/>
        </w:rPr>
        <w:t>Дополнение 1 к первоначальному варианту Правил</w:t>
      </w:r>
      <w:r w:rsidRPr="00822C31">
        <w:rPr>
          <w:w w:val="102"/>
        </w:rPr>
        <w:t xml:space="preserve"> − Дата вступления в силу: </w:t>
      </w:r>
      <w:r w:rsidR="00A01BCB" w:rsidRPr="00A01BCB">
        <w:rPr>
          <w:w w:val="102"/>
        </w:rPr>
        <w:br/>
      </w:r>
      <w:r>
        <w:rPr>
          <w:w w:val="102"/>
        </w:rPr>
        <w:t>8 октябр</w:t>
      </w:r>
      <w:r w:rsidRPr="00822C31">
        <w:rPr>
          <w:w w:val="102"/>
        </w:rPr>
        <w:t>я 201</w:t>
      </w:r>
      <w:r>
        <w:rPr>
          <w:w w:val="102"/>
        </w:rPr>
        <w:t>6</w:t>
      </w:r>
      <w:r w:rsidRPr="00822C31">
        <w:rPr>
          <w:w w:val="102"/>
        </w:rPr>
        <w:t xml:space="preserve"> года</w:t>
      </w:r>
    </w:p>
    <w:p w:rsidR="00B7537C" w:rsidRDefault="00B7537C" w:rsidP="00B7537C">
      <w:pPr>
        <w:pStyle w:val="H1GR"/>
        <w:spacing w:before="240" w:after="120"/>
      </w:pPr>
      <w:r w:rsidRPr="007C0414">
        <w:tab/>
      </w:r>
      <w:r w:rsidRPr="007C0414">
        <w:tab/>
      </w:r>
      <w:r w:rsidRPr="00897414">
        <w:t xml:space="preserve">Единообразные предписания, касающиеся официального утверждения </w:t>
      </w:r>
      <w:r>
        <w:t>автотранспортных средств в отношении системы предупреждения о выходе из полосы движения (СПВП)</w:t>
      </w:r>
    </w:p>
    <w:p w:rsidR="00B7537C" w:rsidRPr="00B336A7" w:rsidRDefault="00B7537C" w:rsidP="000B03F8">
      <w:pPr>
        <w:pStyle w:val="SingleTxtGR"/>
        <w:rPr>
          <w:spacing w:val="-6"/>
          <w:lang w:eastAsia="en-GB"/>
        </w:rPr>
      </w:pPr>
      <w:r>
        <w:rPr>
          <w:rStyle w:val="hps"/>
        </w:rPr>
        <w:t xml:space="preserve">Настоящий документ опубликован исключительно в информационных </w:t>
      </w:r>
      <w:r w:rsidR="00A01BCB" w:rsidRPr="00A01BCB">
        <w:rPr>
          <w:rStyle w:val="hps"/>
        </w:rPr>
        <w:br/>
      </w:r>
      <w:r>
        <w:rPr>
          <w:rStyle w:val="hps"/>
        </w:rPr>
        <w:t>целях</w:t>
      </w:r>
      <w:r w:rsidRPr="00E014B0">
        <w:rPr>
          <w:rStyle w:val="hps"/>
        </w:rPr>
        <w:t xml:space="preserve">. Аутентичным и </w:t>
      </w:r>
      <w:r>
        <w:rPr>
          <w:rStyle w:val="hps"/>
        </w:rPr>
        <w:t>юридически обязательным текстом является документ:</w:t>
      </w:r>
      <w:r w:rsidR="00A01BCB" w:rsidRPr="00A01BCB">
        <w:rPr>
          <w:rStyle w:val="hps"/>
        </w:rPr>
        <w:t xml:space="preserve"> </w:t>
      </w:r>
      <w:r w:rsidRPr="00E014B0">
        <w:rPr>
          <w:rStyle w:val="hps"/>
        </w:rPr>
        <w:t>ECE/TRANS/WP.29/2016/6 (с поправкой, содержащей</w:t>
      </w:r>
      <w:r w:rsidR="00A01BCB" w:rsidRPr="00E014B0">
        <w:rPr>
          <w:rStyle w:val="hps"/>
        </w:rPr>
        <w:t>ся в пункте 59 документа </w:t>
      </w:r>
      <w:r w:rsidRPr="00E014B0">
        <w:rPr>
          <w:rStyle w:val="hps"/>
        </w:rPr>
        <w:t xml:space="preserve">ECE/TRANS/WP.29/1120). </w:t>
      </w:r>
    </w:p>
    <w:p w:rsidR="00B7537C" w:rsidRPr="00432F08" w:rsidRDefault="00B7537C" w:rsidP="000B03F8">
      <w:pPr>
        <w:spacing w:after="12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B7537C" w:rsidRDefault="00B7537C" w:rsidP="00B7537C">
      <w:pPr>
        <w:spacing w:after="240"/>
        <w:jc w:val="center"/>
      </w:pPr>
      <w:bookmarkStart w:id="1" w:name="_MON_1000209745"/>
      <w:bookmarkEnd w:id="1"/>
      <w:r>
        <w:rPr>
          <w:noProof/>
          <w:lang w:val="en-GB" w:eastAsia="en-GB"/>
        </w:rPr>
        <w:drawing>
          <wp:inline distT="0" distB="0" distL="0" distR="0" wp14:anchorId="268072C8" wp14:editId="28C01A54">
            <wp:extent cx="61658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60" w:rsidRPr="003B5F95" w:rsidRDefault="00B7537C" w:rsidP="000B03F8">
      <w:pPr>
        <w:pStyle w:val="SingleTxtGR"/>
        <w:spacing w:after="0"/>
        <w:jc w:val="center"/>
        <w:rPr>
          <w:i/>
        </w:rPr>
      </w:pPr>
      <w:r w:rsidRPr="00752A52">
        <w:rPr>
          <w:b/>
        </w:rPr>
        <w:t>ОРГАНИЗАЦИЯ ОБЪЕДИНЕННЫХ НАЦИЙ</w:t>
      </w:r>
      <w:r w:rsidR="00D17A60" w:rsidRPr="00D17A60">
        <w:br w:type="page"/>
      </w:r>
    </w:p>
    <w:p w:rsidR="006F39AD" w:rsidRPr="006F39AD" w:rsidRDefault="006F39AD" w:rsidP="006F39AD">
      <w:pPr>
        <w:pStyle w:val="SingleTxtGR"/>
      </w:pPr>
      <w:r w:rsidRPr="006F39AD">
        <w:rPr>
          <w:i/>
        </w:rPr>
        <w:lastRenderedPageBreak/>
        <w:t>Включить новое введение</w:t>
      </w:r>
      <w:r w:rsidRPr="006F39AD">
        <w:t xml:space="preserve"> следующего содержания:</w:t>
      </w:r>
    </w:p>
    <w:p w:rsidR="006F39AD" w:rsidRPr="006F39AD" w:rsidRDefault="006F39AD" w:rsidP="00773D25">
      <w:pPr>
        <w:pStyle w:val="HChGR"/>
      </w:pPr>
      <w:r w:rsidRPr="006F39AD">
        <w:tab/>
      </w:r>
      <w:r w:rsidRPr="00773D25">
        <w:rPr>
          <w:b w:val="0"/>
          <w:sz w:val="20"/>
        </w:rPr>
        <w:tab/>
        <w:t>«</w:t>
      </w:r>
      <w:r w:rsidRPr="006F39AD">
        <w:t xml:space="preserve">Введение </w:t>
      </w:r>
    </w:p>
    <w:p w:rsidR="006F39AD" w:rsidRPr="006F39AD" w:rsidRDefault="006F39AD" w:rsidP="006F39AD">
      <w:pPr>
        <w:pStyle w:val="SingleTxtGR"/>
      </w:pPr>
      <w:r w:rsidRPr="006F39AD">
        <w:tab/>
        <w:t>Цель настоящих Правил – ввести единообразные предписания для систем предупреждения о выходе из полосы движения (СПВП), устанавливаемых на автотранспортных средствах категорий M</w:t>
      </w:r>
      <w:r w:rsidRPr="00773D25">
        <w:rPr>
          <w:vertAlign w:val="subscript"/>
        </w:rPr>
        <w:t>2</w:t>
      </w:r>
      <w:r w:rsidRPr="006F39AD">
        <w:t>, M</w:t>
      </w:r>
      <w:r w:rsidRPr="00773D25">
        <w:rPr>
          <w:vertAlign w:val="subscript"/>
        </w:rPr>
        <w:t>3</w:t>
      </w:r>
      <w:r w:rsidRPr="006F39AD">
        <w:t>, N</w:t>
      </w:r>
      <w:r w:rsidRPr="00773D25">
        <w:rPr>
          <w:vertAlign w:val="subscript"/>
        </w:rPr>
        <w:t>2</w:t>
      </w:r>
      <w:r w:rsidRPr="006F39AD">
        <w:t xml:space="preserve"> и N</w:t>
      </w:r>
      <w:r w:rsidRPr="00773D25">
        <w:rPr>
          <w:vertAlign w:val="subscript"/>
        </w:rPr>
        <w:t>3</w:t>
      </w:r>
      <w:r w:rsidR="00C61C37" w:rsidRPr="00C61C37">
        <w:rPr>
          <w:sz w:val="18"/>
          <w:szCs w:val="18"/>
          <w:vertAlign w:val="superscript"/>
        </w:rPr>
        <w:t>1</w:t>
      </w:r>
      <w:r w:rsidRPr="006F39AD">
        <w:t>, которые используются главным образом на автомагистралях.</w:t>
      </w:r>
    </w:p>
    <w:p w:rsidR="006F39AD" w:rsidRPr="006F39AD" w:rsidRDefault="006F39AD" w:rsidP="006F39AD">
      <w:pPr>
        <w:pStyle w:val="SingleTxtGR"/>
      </w:pPr>
      <w:r w:rsidRPr="006F39AD">
        <w:tab/>
        <w:t>Эти категории транспортных средств выиграют от оснащения системами предупреждения о выходе из полосы движения, особенно в условиях монотонного движения. Речь идет о системе помощи водителю, который отвлекся или находится в состоянии сонливости, путем предупреждения о непреднамеренном выходе транспортного средства за пределы полосы движения.</w:t>
      </w:r>
    </w:p>
    <w:p w:rsidR="006F39AD" w:rsidRPr="006F39AD" w:rsidRDefault="006F39AD" w:rsidP="006F39AD">
      <w:pPr>
        <w:pStyle w:val="SingleTxtGR"/>
      </w:pPr>
      <w:r w:rsidRPr="006F39AD">
        <w:tab/>
        <w:t>Хотя в целом транспортные средства этих категорий и выиграют от оснащения их СПВП, в случае некоторых подгрупп преимущества будут довольно сомнительными, поскольку они эксплуатируются главным образом в условиях, не связанных с движением по автомагистралям (например, автобусы, в которых пассажиры перевозятся стоя, т.е. кото</w:t>
      </w:r>
      <w:r w:rsidR="00A01BCB">
        <w:t>рые относятся к классам I, II и</w:t>
      </w:r>
      <w:r w:rsidR="00A01BCB">
        <w:rPr>
          <w:lang w:val="en-US"/>
        </w:rPr>
        <w:t> </w:t>
      </w:r>
      <w:r w:rsidRPr="006F39AD">
        <w:t>A, транспортные средства повышенной проходимости</w:t>
      </w:r>
      <w:r w:rsidRPr="00395C61">
        <w:rPr>
          <w:sz w:val="18"/>
          <w:szCs w:val="18"/>
          <w:vertAlign w:val="superscript"/>
        </w:rPr>
        <w:t>1</w:t>
      </w:r>
      <w:r w:rsidRPr="006F39AD">
        <w:t>, строительная техника, транспортные средства специального назначения и</w:t>
      </w:r>
      <w:r w:rsidR="004548DA">
        <w:rPr>
          <w:lang w:val="en-US"/>
        </w:rPr>
        <w:t> </w:t>
      </w:r>
      <w:r w:rsidRPr="006F39AD">
        <w:t>т.д.). Независимо от преимуществ, в случае других подгрупп установка СПВП будет сопряжена с техническими трудностями (например, в случае транспортных средств с ветровым стеклом, разделенным вертикальной перемычкой, с ассиметричными кабинами, с утолщенными ветровыми стеклами, с расположенным впереди кузовом, с орудиями фронтальной навески</w:t>
      </w:r>
      <w:r w:rsidR="004548DA">
        <w:t xml:space="preserve"> и</w:t>
      </w:r>
      <w:r w:rsidR="004548DA">
        <w:rPr>
          <w:lang w:val="en-US"/>
        </w:rPr>
        <w:t> </w:t>
      </w:r>
      <w:r w:rsidRPr="006F39AD">
        <w:t xml:space="preserve">т.д.). </w:t>
      </w:r>
    </w:p>
    <w:p w:rsidR="006F39AD" w:rsidRPr="006F39AD" w:rsidRDefault="006F39AD" w:rsidP="006F39AD">
      <w:pPr>
        <w:pStyle w:val="SingleTxtGR"/>
      </w:pPr>
      <w:r w:rsidRPr="006F39AD">
        <w:tab/>
        <w:t>Система автоматически выявляет непреднамеренное отклонение транспортного средства за пределы полосы движения и предупреждает от этом водителя.</w:t>
      </w:r>
    </w:p>
    <w:p w:rsidR="006F39AD" w:rsidRPr="006F39AD" w:rsidRDefault="006F39AD" w:rsidP="006F39AD">
      <w:pPr>
        <w:pStyle w:val="SingleTxtGR"/>
      </w:pPr>
      <w:r w:rsidRPr="006F39AD">
        <w:tab/>
        <w:t xml:space="preserve">Система подает сигнал для предупреждения невнимательного водителя о возникновении критической ситуации. </w:t>
      </w:r>
    </w:p>
    <w:p w:rsidR="006F39AD" w:rsidRPr="006F39AD" w:rsidRDefault="006F39AD" w:rsidP="006F39AD">
      <w:pPr>
        <w:pStyle w:val="SingleTxtGR"/>
      </w:pPr>
      <w:r w:rsidRPr="006F39AD">
        <w:tab/>
        <w:t xml:space="preserve">В настоящих Правилах невозможно предусмотреть все дорожные условия и особенности инфраструктуры, которые следует учитывать в процессе официального утверждения типа. Фактические условия и особенности в реальной ситуации не должны быть причиной частого срабатывания ложного сигнала, что может побудить водителя отключить систему. </w:t>
      </w:r>
    </w:p>
    <w:p w:rsidR="00773D25" w:rsidRPr="00B9525B" w:rsidRDefault="00705DDB" w:rsidP="00773D25">
      <w:pPr>
        <w:pStyle w:val="SingleTxtGR"/>
        <w:ind w:left="567"/>
        <w:rPr>
          <w:vertAlign w:val="subscript"/>
        </w:rPr>
      </w:pPr>
      <w:r w:rsidRPr="00B9525B">
        <w:rPr>
          <w:vertAlign w:val="subscript"/>
        </w:rPr>
        <w:t>––––––––––––––––––––––</w:t>
      </w:r>
    </w:p>
    <w:p w:rsidR="00773D25" w:rsidRPr="00B9525B" w:rsidRDefault="00773D25" w:rsidP="00773D25">
      <w:pPr>
        <w:pStyle w:val="SingleTxtGR"/>
        <w:tabs>
          <w:tab w:val="left" w:pos="851"/>
          <w:tab w:val="left" w:pos="1148"/>
        </w:tabs>
        <w:ind w:left="1162" w:hanging="595"/>
        <w:jc w:val="left"/>
        <w:rPr>
          <w:sz w:val="18"/>
          <w:szCs w:val="18"/>
        </w:rPr>
      </w:pPr>
      <w:r w:rsidRPr="00773D25">
        <w:rPr>
          <w:vertAlign w:val="superscript"/>
        </w:rPr>
        <w:tab/>
      </w:r>
      <w:r w:rsidR="00C61C37" w:rsidRPr="007878C7">
        <w:rPr>
          <w:sz w:val="18"/>
          <w:szCs w:val="18"/>
          <w:vertAlign w:val="superscript"/>
        </w:rPr>
        <w:t>1</w:t>
      </w:r>
      <w:r w:rsidRPr="00D17A60">
        <w:tab/>
      </w:r>
      <w:r w:rsidR="00C61C37" w:rsidRPr="00C61C37">
        <w:rPr>
          <w:sz w:val="18"/>
          <w:szCs w:val="18"/>
        </w:rPr>
        <w:t>В соответствии с определениями, содержащимися в Сводной резолюции о конструкции транспортных средств (СР.3), документ ECE/TRANS/WP.29/78/Rev.4, пункт 2</w:t>
      </w:r>
      <w:r w:rsidR="0059552F">
        <w:rPr>
          <w:sz w:val="18"/>
          <w:szCs w:val="18"/>
        </w:rPr>
        <w:t>,</w:t>
      </w:r>
      <w:r w:rsidR="00C61C37" w:rsidRPr="00C61C37">
        <w:rPr>
          <w:sz w:val="18"/>
          <w:szCs w:val="18"/>
        </w:rPr>
        <w:t xml:space="preserve"> </w:t>
      </w:r>
      <w:hyperlink r:id="rId9" w:history="1">
        <w:r w:rsidR="00C61C37" w:rsidRPr="00963826">
          <w:rPr>
            <w:sz w:val="18"/>
            <w:szCs w:val="18"/>
          </w:rPr>
          <w:t>www.unece.org/trans/main/wp29/wp29wgs/wp29gen/wp29resolutions.html</w:t>
        </w:r>
      </w:hyperlink>
      <w:r w:rsidR="00C61C37" w:rsidRPr="00963826">
        <w:t>»</w:t>
      </w:r>
      <w:r w:rsidR="00B9525B" w:rsidRPr="00B9525B">
        <w:t>.</w:t>
      </w:r>
    </w:p>
    <w:p w:rsidR="006F39AD" w:rsidRPr="006F39AD" w:rsidRDefault="006F39AD" w:rsidP="004F7630">
      <w:pPr>
        <w:pStyle w:val="SingleTxtGR"/>
      </w:pPr>
      <w:r w:rsidRPr="00773D25">
        <w:rPr>
          <w:i/>
        </w:rPr>
        <w:t>Включить новый пункт 5.1.2</w:t>
      </w:r>
      <w:r w:rsidRPr="006F39AD">
        <w:t xml:space="preserve"> следующего содержания:</w:t>
      </w:r>
    </w:p>
    <w:p w:rsidR="006F39AD" w:rsidRPr="006F39AD" w:rsidRDefault="006F39AD" w:rsidP="00395C61">
      <w:pPr>
        <w:pStyle w:val="SingleTxtGR"/>
        <w:ind w:left="2268" w:hanging="1134"/>
      </w:pPr>
      <w:r w:rsidRPr="006F39AD">
        <w:t>«5.1.2</w:t>
      </w:r>
      <w:r w:rsidR="00395C61" w:rsidRPr="007878C7">
        <w:tab/>
      </w:r>
      <w:r w:rsidRPr="006F39AD">
        <w:tab/>
        <w:t>Магнитные и электрические поля не должны снижать эффективности СПВП. Это требование считается выполненным, если соблюдаются технические требования и переходные положе</w:t>
      </w:r>
      <w:r w:rsidR="0059552F">
        <w:t>ния Правил </w:t>
      </w:r>
      <w:r w:rsidRPr="006F39AD">
        <w:t>№ 10 посредством применения:</w:t>
      </w:r>
    </w:p>
    <w:p w:rsidR="006F39AD" w:rsidRPr="006F39AD" w:rsidRDefault="006F39AD" w:rsidP="00395C61">
      <w:pPr>
        <w:pStyle w:val="SingleTxtGR"/>
        <w:tabs>
          <w:tab w:val="clear" w:pos="2268"/>
        </w:tabs>
        <w:ind w:left="2835" w:hanging="567"/>
      </w:pPr>
      <w:r w:rsidRPr="006F39AD">
        <w:lastRenderedPageBreak/>
        <w:t>а)</w:t>
      </w:r>
      <w:r w:rsidRPr="006F39AD">
        <w:tab/>
        <w:t>поправок серии 03 для транспортных средств без соединительной системы для зарядки перезаряжаемой системы хранения энергии (тяговых батарей);</w:t>
      </w:r>
    </w:p>
    <w:p w:rsidR="00760D3A" w:rsidRPr="00963826" w:rsidRDefault="006F39AD" w:rsidP="00395C61">
      <w:pPr>
        <w:pStyle w:val="SingleTxtGR"/>
        <w:tabs>
          <w:tab w:val="clear" w:pos="2268"/>
        </w:tabs>
        <w:ind w:left="2835" w:hanging="567"/>
        <w:rPr>
          <w:bCs/>
        </w:rPr>
      </w:pPr>
      <w:r w:rsidRPr="006F39AD">
        <w:t>b)</w:t>
      </w:r>
      <w:r w:rsidRPr="006F39AD">
        <w:tab/>
        <w:t>поправок серии 04 для транспортных средств с соединительной системой для зарядки перезаряжаемой системы хранения энергии</w:t>
      </w:r>
      <w:r w:rsidR="00963826">
        <w:t xml:space="preserve"> (тяговых батарей)»</w:t>
      </w:r>
      <w:r w:rsidR="00B9525B" w:rsidRPr="00963826">
        <w:t>.</w:t>
      </w:r>
    </w:p>
    <w:p w:rsidR="006F39AD" w:rsidRPr="00395C61" w:rsidRDefault="00395C61" w:rsidP="00395C6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39AD" w:rsidRPr="00395C61" w:rsidSect="000D001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1E" w:rsidRDefault="0008521E" w:rsidP="00B471C5">
      <w:r>
        <w:separator/>
      </w:r>
    </w:p>
  </w:endnote>
  <w:endnote w:type="continuationSeparator" w:id="0">
    <w:p w:rsidR="0008521E" w:rsidRDefault="0008521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58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397BFD">
      <w:rPr>
        <w:lang w:val="en-US"/>
      </w:rPr>
      <w:t>6</w:t>
    </w:r>
    <w:r>
      <w:rPr>
        <w:lang w:val="en-US"/>
      </w:rPr>
      <w:t>-</w:t>
    </w:r>
    <w:r w:rsidR="00397BFD">
      <w:rPr>
        <w:lang w:val="en-US"/>
      </w:rPr>
      <w:t>1789</w:t>
    </w:r>
    <w:r w:rsidR="00395C61"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</w:t>
    </w:r>
    <w:r w:rsidR="00395C61">
      <w:rPr>
        <w:lang w:val="en-US"/>
      </w:rPr>
      <w:t>6</w:t>
    </w:r>
    <w:r>
      <w:rPr>
        <w:lang w:val="en-US"/>
      </w:rPr>
      <w:t>-</w:t>
    </w:r>
    <w:r w:rsidR="00395C61">
      <w:rPr>
        <w:lang w:val="en-US"/>
      </w:rPr>
      <w:t>17892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58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95C61">
            <w:rPr>
              <w:lang w:val="en-US"/>
            </w:rPr>
            <w:t>17892</w:t>
          </w:r>
          <w:r w:rsidRPr="001C3ABC">
            <w:rPr>
              <w:lang w:val="en-US"/>
            </w:rPr>
            <w:t xml:space="preserve"> (R)</w:t>
          </w:r>
          <w:r w:rsidR="002E117C">
            <w:rPr>
              <w:lang w:val="en-US"/>
            </w:rPr>
            <w:t xml:space="preserve">  021116  021116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395C6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5" name="Рисунок 5" descr="http://undocs.org/m2/QRCode.ashx?DS=E/ECE/324/Rev.2/Add.129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29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395C61" w:rsidRDefault="00395C6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95C6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261586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261586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6158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261586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6158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1E" w:rsidRPr="009141DC" w:rsidRDefault="0008521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8521E" w:rsidRPr="00D1261C" w:rsidRDefault="0008521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01BCB" w:rsidRPr="00A01BCB" w:rsidRDefault="00A01BCB" w:rsidP="00A01BCB">
      <w:pPr>
        <w:pStyle w:val="FootnoteText"/>
        <w:rPr>
          <w:lang w:val="ru-RU"/>
        </w:rPr>
      </w:pPr>
      <w:r>
        <w:tab/>
      </w:r>
      <w:r w:rsidRPr="00A72B45">
        <w:rPr>
          <w:rStyle w:val="FootnoteReference"/>
          <w:sz w:val="20"/>
          <w:vertAlign w:val="baseline"/>
          <w:lang w:val="ru-RU"/>
        </w:rPr>
        <w:t>*</w:t>
      </w:r>
      <w:r w:rsidRPr="00A01BCB">
        <w:rPr>
          <w:lang w:val="ru-RU"/>
        </w:rPr>
        <w:t xml:space="preserve"> </w:t>
      </w:r>
      <w:r w:rsidRPr="00A01BCB">
        <w:rPr>
          <w:lang w:val="ru-RU"/>
        </w:rPr>
        <w:tab/>
      </w:r>
      <w:r w:rsidRPr="00A16D18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</w:t>
      </w:r>
      <w:r>
        <w:rPr>
          <w:lang w:val="en-US"/>
        </w:rPr>
        <w:t> </w:t>
      </w:r>
      <w:r w:rsidRPr="00A16D18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FD" w:rsidRDefault="00B85FAE">
    <w:pPr>
      <w:pStyle w:val="Header"/>
    </w:pPr>
    <w:r w:rsidRPr="00B85FAE">
      <w:t>E/ECE/324/Rev.2/Add.129/Amend.1</w:t>
    </w:r>
    <w:r>
      <w:br/>
    </w:r>
    <w:r w:rsidRPr="00B85FAE">
      <w:t>E/ECE/TRANS/505/Rev.2/Add.129/Amend.1</w:t>
    </w:r>
  </w:p>
  <w:p w:rsidR="00532D8E" w:rsidRPr="00532D8E" w:rsidRDefault="00532D8E" w:rsidP="00532D8E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Default="000D0013" w:rsidP="00395C61">
    <w:pPr>
      <w:pStyle w:val="Header"/>
      <w:jc w:val="right"/>
    </w:pPr>
    <w:r>
      <w:rPr>
        <w:lang w:val="en-US"/>
      </w:rPr>
      <w:tab/>
    </w:r>
    <w:r w:rsidR="00395C61" w:rsidRPr="00B85FAE">
      <w:t>E/ECE/324/Rev.2/Add.129/Amend.1</w:t>
    </w:r>
    <w:r w:rsidR="00395C61">
      <w:br/>
    </w:r>
    <w:r w:rsidR="00395C61" w:rsidRPr="00B85FAE">
      <w:t>E/ECE/TRANS/505/Rev.2/Add.129/Amend.1</w:t>
    </w:r>
  </w:p>
  <w:p w:rsidR="00860F38" w:rsidRPr="00860F38" w:rsidRDefault="00860F38" w:rsidP="00860F38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1E"/>
    <w:rsid w:val="00020710"/>
    <w:rsid w:val="0003694F"/>
    <w:rsid w:val="000450D1"/>
    <w:rsid w:val="0008521E"/>
    <w:rsid w:val="000B03F8"/>
    <w:rsid w:val="000D0013"/>
    <w:rsid w:val="000F2A4F"/>
    <w:rsid w:val="00152418"/>
    <w:rsid w:val="001A5188"/>
    <w:rsid w:val="00203F84"/>
    <w:rsid w:val="00261586"/>
    <w:rsid w:val="00275188"/>
    <w:rsid w:val="0028687D"/>
    <w:rsid w:val="002B091C"/>
    <w:rsid w:val="002B3D40"/>
    <w:rsid w:val="002D0CCB"/>
    <w:rsid w:val="002E117C"/>
    <w:rsid w:val="00345C79"/>
    <w:rsid w:val="00366A39"/>
    <w:rsid w:val="0038462D"/>
    <w:rsid w:val="00395C61"/>
    <w:rsid w:val="00397BFD"/>
    <w:rsid w:val="003B5F95"/>
    <w:rsid w:val="004548DA"/>
    <w:rsid w:val="0048005C"/>
    <w:rsid w:val="004E242B"/>
    <w:rsid w:val="004F7630"/>
    <w:rsid w:val="00527B15"/>
    <w:rsid w:val="00532D8E"/>
    <w:rsid w:val="00544379"/>
    <w:rsid w:val="00566944"/>
    <w:rsid w:val="0059552F"/>
    <w:rsid w:val="005D56BF"/>
    <w:rsid w:val="00665D8D"/>
    <w:rsid w:val="006A7A3B"/>
    <w:rsid w:val="006B207C"/>
    <w:rsid w:val="006B6B57"/>
    <w:rsid w:val="006F39AD"/>
    <w:rsid w:val="00705394"/>
    <w:rsid w:val="00705DDB"/>
    <w:rsid w:val="00743F62"/>
    <w:rsid w:val="00760D3A"/>
    <w:rsid w:val="00773BA8"/>
    <w:rsid w:val="00773D25"/>
    <w:rsid w:val="007878C7"/>
    <w:rsid w:val="007A1F42"/>
    <w:rsid w:val="007D76DD"/>
    <w:rsid w:val="007F36F5"/>
    <w:rsid w:val="008439DE"/>
    <w:rsid w:val="00860F38"/>
    <w:rsid w:val="00870BCD"/>
    <w:rsid w:val="008717E8"/>
    <w:rsid w:val="008B06C5"/>
    <w:rsid w:val="008D01AE"/>
    <w:rsid w:val="008D0B78"/>
    <w:rsid w:val="008E0423"/>
    <w:rsid w:val="009141DC"/>
    <w:rsid w:val="009174A1"/>
    <w:rsid w:val="00963826"/>
    <w:rsid w:val="0098674D"/>
    <w:rsid w:val="00997ACA"/>
    <w:rsid w:val="00A01BCB"/>
    <w:rsid w:val="00A03FB7"/>
    <w:rsid w:val="00A72B45"/>
    <w:rsid w:val="00A75A11"/>
    <w:rsid w:val="00AD7EAD"/>
    <w:rsid w:val="00B35A32"/>
    <w:rsid w:val="00B432C6"/>
    <w:rsid w:val="00B471C5"/>
    <w:rsid w:val="00B6474A"/>
    <w:rsid w:val="00B7537C"/>
    <w:rsid w:val="00B85FAE"/>
    <w:rsid w:val="00B9525B"/>
    <w:rsid w:val="00BE1742"/>
    <w:rsid w:val="00C60363"/>
    <w:rsid w:val="00C61C37"/>
    <w:rsid w:val="00D1261C"/>
    <w:rsid w:val="00D17A60"/>
    <w:rsid w:val="00D430A1"/>
    <w:rsid w:val="00D75DCE"/>
    <w:rsid w:val="00D86A82"/>
    <w:rsid w:val="00DD35AC"/>
    <w:rsid w:val="00DD479F"/>
    <w:rsid w:val="00DE2894"/>
    <w:rsid w:val="00E014B0"/>
    <w:rsid w:val="00E15E48"/>
    <w:rsid w:val="00E866B3"/>
    <w:rsid w:val="00EB0723"/>
    <w:rsid w:val="00EE6F37"/>
    <w:rsid w:val="00F1599F"/>
    <w:rsid w:val="00F31EF2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5C6C596-216A-4AB9-9B5C-AD14BA53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basedOn w:val="DefaultParagraphFont"/>
    <w:link w:val="SingleTxtGR"/>
    <w:rsid w:val="00B7537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B7537C"/>
  </w:style>
  <w:style w:type="paragraph" w:customStyle="1" w:styleId="SingleTxtG">
    <w:name w:val="_ Single Txt_G"/>
    <w:basedOn w:val="Normal"/>
    <w:link w:val="SingleTxtGChar"/>
    <w:rsid w:val="00B7537C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B7537C"/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Hyperlink">
    <w:name w:val="Hyperlink"/>
    <w:basedOn w:val="DefaultParagraphFont"/>
    <w:uiPriority w:val="99"/>
    <w:unhideWhenUsed/>
    <w:rsid w:val="006F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conf-share1\LS\RUS\COMMON\MSWDocs\_2Semifinal\www.unece.org\trans\main\wp29\wp29wgs\wp29gen\wp29resolution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E7DF-EF0A-4D45-9D88-79110558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cp:lastPrinted>2016-11-02T14:41:00Z</cp:lastPrinted>
  <dcterms:created xsi:type="dcterms:W3CDTF">2017-01-05T17:32:00Z</dcterms:created>
  <dcterms:modified xsi:type="dcterms:W3CDTF">2017-01-05T17:32:00Z</dcterms:modified>
</cp:coreProperties>
</file>