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71A9E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A29" w:rsidRPr="00240A29" w:rsidRDefault="00240A29" w:rsidP="00240A29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240A29">
              <w:rPr>
                <w:sz w:val="40"/>
                <w:lang w:val="en-US"/>
              </w:rPr>
              <w:t>E</w:t>
            </w:r>
            <w:r w:rsidRPr="00240A29">
              <w:rPr>
                <w:lang w:val="en-US"/>
              </w:rPr>
              <w:t>/ECE/324/Rev.2/Add.127/Amend.6−</w:t>
            </w:r>
            <w:r w:rsidRPr="00240A29">
              <w:rPr>
                <w:sz w:val="40"/>
                <w:lang w:val="en-US"/>
              </w:rPr>
              <w:t>E</w:t>
            </w:r>
            <w:r w:rsidRPr="00240A29">
              <w:rPr>
                <w:lang w:val="en-US"/>
              </w:rPr>
              <w:t>/ECE/TRANS/505/Rev.2/Add.127/Amend.6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240A29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240A29" w:rsidP="00A27C92">
            <w:pPr>
              <w:spacing w:before="480" w:line="240" w:lineRule="exact"/>
            </w:pPr>
            <w:r>
              <w:t>26 juillet 2017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="00240A29" w:rsidRPr="00240A2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240A29">
        <w:t>2</w:t>
      </w:r>
      <w:r w:rsidRPr="006549FF">
        <w:t>, comprenant les amen</w:t>
      </w:r>
      <w:r>
        <w:t>dements entrés en vigueur le 16</w:t>
      </w:r>
      <w:r w:rsidR="00240A29">
        <w:t> 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240A29">
        <w:t>127</w:t>
      </w:r>
      <w:r w:rsidR="00566914">
        <w:t xml:space="preserve"> −</w:t>
      </w:r>
      <w:r w:rsidR="00421A10" w:rsidRPr="006549FF">
        <w:t xml:space="preserve">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240A29">
        <w:t>128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240A29">
        <w:t>Amendement 6</w:t>
      </w:r>
    </w:p>
    <w:p w:rsidR="00421A10" w:rsidRPr="004A7E44" w:rsidRDefault="00240A29" w:rsidP="0029791D">
      <w:pPr>
        <w:pStyle w:val="SingleTxtG"/>
        <w:spacing w:after="0"/>
      </w:pPr>
      <w:r w:rsidRPr="00092DA2">
        <w:rPr>
          <w:spacing w:val="-2"/>
          <w:lang w:val="fr-FR"/>
        </w:rPr>
        <w:t xml:space="preserve">Complément 6 à la version originale du Règlement </w:t>
      </w:r>
      <w:r w:rsidR="001F1ADC">
        <w:rPr>
          <w:spacing w:val="-2"/>
          <w:lang w:val="fr-FR"/>
        </w:rPr>
        <w:t>−</w:t>
      </w:r>
      <w:r w:rsidRPr="00092DA2">
        <w:rPr>
          <w:spacing w:val="-2"/>
          <w:lang w:val="fr-FR"/>
        </w:rPr>
        <w:t xml:space="preserve"> Date </w:t>
      </w:r>
      <w:r>
        <w:rPr>
          <w:spacing w:val="-2"/>
          <w:lang w:val="fr-FR"/>
        </w:rPr>
        <w:t>d’entrée en vigueur</w:t>
      </w:r>
      <w:r w:rsidR="001F1ADC">
        <w:rPr>
          <w:spacing w:val="-2"/>
          <w:lang w:val="fr-FR"/>
        </w:rPr>
        <w:t> </w:t>
      </w:r>
      <w:r w:rsidRPr="00092DA2">
        <w:rPr>
          <w:spacing w:val="-2"/>
          <w:lang w:val="fr-FR"/>
        </w:rPr>
        <w:t xml:space="preserve">: </w:t>
      </w:r>
      <w:r w:rsidRPr="00092DA2">
        <w:rPr>
          <w:lang w:val="fr-FR"/>
        </w:rPr>
        <w:t>22</w:t>
      </w:r>
      <w:r>
        <w:rPr>
          <w:lang w:val="fr-FR"/>
        </w:rPr>
        <w:t xml:space="preserve"> juin </w:t>
      </w:r>
      <w:r w:rsidRPr="00092DA2">
        <w:rPr>
          <w:lang w:val="fr-FR"/>
        </w:rPr>
        <w:t>2017</w:t>
      </w:r>
    </w:p>
    <w:p w:rsidR="00240A29" w:rsidRPr="00092DA2" w:rsidRDefault="0029791D" w:rsidP="00240A29">
      <w:pPr>
        <w:pStyle w:val="H1G"/>
        <w:spacing w:before="120" w:after="120" w:line="240" w:lineRule="exact"/>
        <w:rPr>
          <w:lang w:val="fr-FR"/>
        </w:rPr>
      </w:pPr>
      <w:r>
        <w:tab/>
      </w:r>
      <w:r>
        <w:tab/>
      </w:r>
      <w:r w:rsidR="00421A10" w:rsidRPr="007619D3">
        <w:t xml:space="preserve">Prescriptions uniformes </w:t>
      </w:r>
      <w:r w:rsidR="00240A29" w:rsidRPr="00092DA2">
        <w:rPr>
          <w:lang w:val="fr-FR"/>
        </w:rPr>
        <w:t xml:space="preserve">concernant l’homologation des sources lumineuses à diodes électroluminescentes (DEL) destinées </w:t>
      </w:r>
      <w:r w:rsidR="001F1ADC">
        <w:rPr>
          <w:lang w:val="fr-FR"/>
        </w:rPr>
        <w:br/>
      </w:r>
      <w:r w:rsidR="00240A29" w:rsidRPr="00092DA2">
        <w:rPr>
          <w:lang w:val="fr-FR"/>
        </w:rPr>
        <w:t xml:space="preserve">à être utilisées dans les feux homologués des véhicules </w:t>
      </w:r>
      <w:r w:rsidR="001F1ADC">
        <w:rPr>
          <w:lang w:val="fr-FR"/>
        </w:rPr>
        <w:br/>
      </w:r>
      <w:r w:rsidR="00240A29" w:rsidRPr="00092DA2">
        <w:rPr>
          <w:lang w:val="fr-FR"/>
        </w:rPr>
        <w:t>à moteur et de leurs remorques</w:t>
      </w:r>
    </w:p>
    <w:p w:rsidR="00421A10" w:rsidRDefault="00240A29" w:rsidP="00240A29">
      <w:pPr>
        <w:pStyle w:val="SingleTxtG"/>
      </w:pPr>
      <w:r w:rsidRPr="00240A29">
        <w:rPr>
          <w:spacing w:val="-2"/>
          <w:lang w:val="fr-FR"/>
        </w:rPr>
        <w:t xml:space="preserve">Le présent document est </w:t>
      </w:r>
      <w:r w:rsidRPr="00240A29">
        <w:rPr>
          <w:spacing w:val="-2"/>
        </w:rPr>
        <w:t>communiqué</w:t>
      </w:r>
      <w:r w:rsidRPr="00240A29">
        <w:rPr>
          <w:spacing w:val="-2"/>
          <w:lang w:val="fr-FR"/>
        </w:rPr>
        <w:t xml:space="preserve"> uniquement</w:t>
      </w:r>
      <w:r w:rsidRPr="00092DA2">
        <w:rPr>
          <w:lang w:val="fr-FR"/>
        </w:rPr>
        <w:t xml:space="preserve"> </w:t>
      </w:r>
      <w:r w:rsidRPr="00240A29">
        <w:rPr>
          <w:spacing w:val="-2"/>
          <w:lang w:val="fr-FR"/>
        </w:rPr>
        <w:t>à titre d’information. Le texte</w:t>
      </w:r>
      <w:r w:rsidRPr="00092DA2">
        <w:rPr>
          <w:lang w:val="fr-FR"/>
        </w:rPr>
        <w:t xml:space="preserve"> authentique, juridiquement contraignant, est celui du document</w:t>
      </w:r>
      <w:r>
        <w:rPr>
          <w:lang w:val="fr-FR"/>
        </w:rPr>
        <w:t xml:space="preserve"> </w:t>
      </w:r>
      <w:r w:rsidRPr="00092DA2">
        <w:rPr>
          <w:spacing w:val="-6"/>
          <w:lang w:val="fr-FR" w:eastAsia="en-GB"/>
        </w:rPr>
        <w:t>ECE/TRANS/WP.29/2016/86.</w:t>
      </w:r>
    </w:p>
    <w:p w:rsidR="00240A29" w:rsidRDefault="00442E31" w:rsidP="005F020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7021195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552.8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AZQkdT3wAAAAo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40A29" w:rsidRPr="00092DA2" w:rsidRDefault="00240A29" w:rsidP="00240A29">
      <w:pPr>
        <w:pStyle w:val="SingleTxtG"/>
        <w:rPr>
          <w:lang w:val="fr-FR"/>
        </w:rPr>
      </w:pPr>
      <w:r>
        <w:br w:type="page"/>
      </w:r>
      <w:r w:rsidRPr="00092DA2">
        <w:rPr>
          <w:i/>
          <w:lang w:val="fr-FR"/>
        </w:rPr>
        <w:lastRenderedPageBreak/>
        <w:t>Titre du Règlement</w:t>
      </w:r>
      <w:r w:rsidRPr="00092DA2">
        <w:rPr>
          <w:lang w:val="fr-FR"/>
        </w:rPr>
        <w:t xml:space="preserve">, </w:t>
      </w:r>
      <w:r>
        <w:rPr>
          <w:lang w:val="fr-FR"/>
        </w:rPr>
        <w:t>lire</w:t>
      </w:r>
      <w:r w:rsidR="001F1ADC">
        <w:rPr>
          <w:lang w:val="fr-FR"/>
        </w:rPr>
        <w:t> : (sans objet en français).</w:t>
      </w:r>
    </w:p>
    <w:p w:rsidR="00240A29" w:rsidRPr="00092DA2" w:rsidRDefault="00240A29" w:rsidP="00240A29">
      <w:pPr>
        <w:pStyle w:val="SingleTxtG"/>
        <w:rPr>
          <w:lang w:val="fr-FR"/>
        </w:rPr>
      </w:pPr>
      <w:r w:rsidRPr="00092DA2">
        <w:rPr>
          <w:i/>
          <w:lang w:val="fr-FR"/>
        </w:rPr>
        <w:t>Paragraphe 1</w:t>
      </w:r>
      <w:r w:rsidRPr="001F1ADC">
        <w:rPr>
          <w:lang w:val="fr-FR"/>
        </w:rPr>
        <w:t xml:space="preserve">, </w:t>
      </w:r>
      <w:r>
        <w:rPr>
          <w:lang w:val="fr-FR"/>
        </w:rPr>
        <w:t>lire</w:t>
      </w:r>
      <w:r w:rsidRPr="00092DA2">
        <w:rPr>
          <w:lang w:val="fr-FR"/>
        </w:rPr>
        <w:t> :</w:t>
      </w:r>
    </w:p>
    <w:p w:rsidR="00240A29" w:rsidRPr="00092DA2" w:rsidRDefault="00240A29" w:rsidP="00240A29">
      <w:pPr>
        <w:pStyle w:val="HChG"/>
        <w:rPr>
          <w:bCs/>
          <w:lang w:val="fr-FR"/>
        </w:rPr>
      </w:pPr>
      <w:r w:rsidRPr="00092DA2">
        <w:rPr>
          <w:bCs/>
          <w:lang w:val="fr-FR"/>
        </w:rPr>
        <w:tab/>
      </w:r>
      <w:r w:rsidRPr="00092DA2">
        <w:rPr>
          <w:bCs/>
          <w:lang w:val="fr-FR"/>
        </w:rPr>
        <w:tab/>
      </w:r>
      <w:r w:rsidRPr="00092DA2">
        <w:rPr>
          <w:b w:val="0"/>
          <w:bCs/>
          <w:sz w:val="20"/>
          <w:lang w:val="fr-FR"/>
        </w:rPr>
        <w:t>« </w:t>
      </w:r>
      <w:r w:rsidRPr="00092DA2">
        <w:rPr>
          <w:bCs/>
          <w:lang w:val="fr-FR"/>
        </w:rPr>
        <w:t>1.</w:t>
      </w:r>
      <w:r w:rsidRPr="00092DA2">
        <w:rPr>
          <w:bCs/>
          <w:lang w:val="fr-FR"/>
        </w:rPr>
        <w:tab/>
      </w:r>
      <w:r w:rsidRPr="00092DA2">
        <w:rPr>
          <w:bCs/>
          <w:lang w:val="fr-FR"/>
        </w:rPr>
        <w:tab/>
      </w:r>
      <w:r w:rsidRPr="00092DA2">
        <w:rPr>
          <w:lang w:val="fr-FR"/>
        </w:rPr>
        <w:t xml:space="preserve">Domaine d’application </w:t>
      </w:r>
    </w:p>
    <w:p w:rsidR="00240A29" w:rsidRPr="00092DA2" w:rsidRDefault="00240A29" w:rsidP="00240A29">
      <w:pPr>
        <w:pStyle w:val="SingleTxtG"/>
        <w:ind w:left="2268"/>
        <w:rPr>
          <w:bCs/>
          <w:lang w:val="fr-FR"/>
        </w:rPr>
      </w:pPr>
      <w:r w:rsidRPr="00092DA2">
        <w:rPr>
          <w:lang w:val="fr-FR"/>
        </w:rPr>
        <w:t xml:space="preserve">Le présent Règlement s’applique aux sources lumineuses à DEL présentées à l’annexe 1, qui sont destinées à être utilisées dans les feux de signalisation homologués des véhicules à moteur et de leurs remorques. ». </w:t>
      </w:r>
    </w:p>
    <w:p w:rsidR="00240A29" w:rsidRPr="00092DA2" w:rsidRDefault="00240A29" w:rsidP="00240A29">
      <w:pPr>
        <w:pStyle w:val="SingleTxtG"/>
        <w:rPr>
          <w:bCs/>
          <w:lang w:val="fr-FR"/>
        </w:rPr>
      </w:pPr>
      <w:r w:rsidRPr="00092DA2">
        <w:rPr>
          <w:bCs/>
          <w:i/>
          <w:lang w:val="fr-FR"/>
        </w:rPr>
        <w:t>Paragraphe 3.1 et ses sous-paragraphes</w:t>
      </w:r>
      <w:r w:rsidRPr="001F1ADC">
        <w:rPr>
          <w:bCs/>
          <w:lang w:val="fr-FR"/>
        </w:rPr>
        <w:t>,</w:t>
      </w:r>
      <w:r w:rsidRPr="00092DA2">
        <w:rPr>
          <w:bCs/>
          <w:i/>
          <w:lang w:val="fr-FR"/>
        </w:rPr>
        <w:t xml:space="preserve"> </w:t>
      </w:r>
      <w:r>
        <w:rPr>
          <w:bCs/>
          <w:lang w:val="fr-FR"/>
        </w:rPr>
        <w:t>lire</w:t>
      </w:r>
      <w:r w:rsidRPr="00092DA2">
        <w:rPr>
          <w:bCs/>
          <w:lang w:val="fr-FR"/>
        </w:rPr>
        <w:t> :</w:t>
      </w:r>
    </w:p>
    <w:p w:rsidR="00240A29" w:rsidRPr="00CA6B08" w:rsidRDefault="00240A29" w:rsidP="00240A29">
      <w:pPr>
        <w:pStyle w:val="SingleTxtG"/>
        <w:ind w:left="2268" w:hanging="1134"/>
        <w:rPr>
          <w:bCs/>
          <w:szCs w:val="24"/>
          <w:lang w:val="x-none"/>
        </w:rPr>
      </w:pPr>
      <w:r w:rsidRPr="00092DA2">
        <w:rPr>
          <w:bCs/>
          <w:szCs w:val="24"/>
          <w:lang w:val="fr-FR"/>
        </w:rPr>
        <w:t>« </w:t>
      </w:r>
      <w:r>
        <w:rPr>
          <w:bCs/>
          <w:szCs w:val="24"/>
          <w:lang w:val="x-none"/>
        </w:rPr>
        <w:t>3.1</w:t>
      </w:r>
      <w:r w:rsidRPr="00092DA2">
        <w:rPr>
          <w:bCs/>
          <w:szCs w:val="24"/>
          <w:lang w:val="fr-FR"/>
        </w:rPr>
        <w:tab/>
      </w:r>
      <w:r w:rsidRPr="00092DA2">
        <w:rPr>
          <w:bCs/>
          <w:szCs w:val="24"/>
          <w:lang w:val="fr-FR"/>
        </w:rPr>
        <w:tab/>
      </w:r>
      <w:r w:rsidRPr="00CA6B08">
        <w:rPr>
          <w:bCs/>
          <w:szCs w:val="24"/>
          <w:lang w:val="x-none"/>
        </w:rPr>
        <w:t>D</w:t>
      </w:r>
      <w:r w:rsidRPr="00092DA2">
        <w:rPr>
          <w:bCs/>
          <w:szCs w:val="24"/>
          <w:lang w:val="fr-FR"/>
        </w:rPr>
        <w:t>é</w:t>
      </w:r>
      <w:r w:rsidRPr="00CA6B08">
        <w:rPr>
          <w:bCs/>
          <w:szCs w:val="24"/>
          <w:lang w:val="x-none"/>
        </w:rPr>
        <w:t>finitions</w:t>
      </w:r>
    </w:p>
    <w:p w:rsidR="00240A29" w:rsidRPr="00092DA2" w:rsidRDefault="00240A29" w:rsidP="00240A29">
      <w:pPr>
        <w:pStyle w:val="SingleTxtG"/>
        <w:ind w:left="2268"/>
        <w:rPr>
          <w:lang w:val="fr-FR"/>
        </w:rPr>
      </w:pPr>
      <w:r w:rsidRPr="00092DA2">
        <w:rPr>
          <w:lang w:val="fr-FR"/>
        </w:rPr>
        <w:t>Les définitions figurant dans la Réso</w:t>
      </w:r>
      <w:r>
        <w:rPr>
          <w:lang w:val="fr-FR"/>
        </w:rPr>
        <w:t xml:space="preserve">lution </w:t>
      </w:r>
      <w:r w:rsidRPr="00092DA2">
        <w:rPr>
          <w:lang w:val="fr-FR"/>
        </w:rPr>
        <w:t>R.E.</w:t>
      </w:r>
      <w:r>
        <w:rPr>
          <w:lang w:val="fr-FR"/>
        </w:rPr>
        <w:t>5</w:t>
      </w:r>
      <w:r w:rsidRPr="00092DA2">
        <w:rPr>
          <w:rStyle w:val="FootnoteReference"/>
          <w:sz w:val="24"/>
          <w:szCs w:val="24"/>
          <w:lang w:val="fr-FR"/>
        </w:rPr>
        <w:t xml:space="preserve"> </w:t>
      </w:r>
      <w:r w:rsidRPr="00092DA2">
        <w:rPr>
          <w:lang w:val="fr-FR"/>
        </w:rPr>
        <w:t>ou ses révisions ultérieures en vigueur à la date de la demande d’homologation de type s’</w:t>
      </w:r>
      <w:r>
        <w:rPr>
          <w:lang w:val="fr-FR"/>
        </w:rPr>
        <w:t>appliquent. ».</w:t>
      </w:r>
    </w:p>
    <w:p w:rsidR="00240A29" w:rsidRPr="00092DA2" w:rsidRDefault="00240A29" w:rsidP="00240A29">
      <w:pPr>
        <w:pStyle w:val="SingleTxtG"/>
        <w:spacing w:before="120"/>
        <w:rPr>
          <w:lang w:val="fr-FR"/>
        </w:rPr>
      </w:pPr>
      <w:r w:rsidRPr="00092DA2">
        <w:rPr>
          <w:i/>
          <w:lang w:val="fr-FR"/>
        </w:rPr>
        <w:t>Paragraphe 3.2.7</w:t>
      </w:r>
      <w:r w:rsidRPr="001F1ADC">
        <w:rPr>
          <w:lang w:val="fr-FR"/>
        </w:rPr>
        <w:t xml:space="preserve">, </w:t>
      </w:r>
      <w:r>
        <w:rPr>
          <w:lang w:val="fr-FR"/>
        </w:rPr>
        <w:t>lire</w:t>
      </w:r>
      <w:r w:rsidRPr="00092DA2">
        <w:rPr>
          <w:lang w:val="fr-FR"/>
        </w:rPr>
        <w:t> :</w:t>
      </w:r>
    </w:p>
    <w:p w:rsidR="00240A29" w:rsidRPr="00092DA2" w:rsidRDefault="00240A29" w:rsidP="00240A29">
      <w:pPr>
        <w:pStyle w:val="SingleTxtG"/>
        <w:ind w:left="2268" w:hanging="1134"/>
        <w:rPr>
          <w:bCs/>
          <w:lang w:val="fr-FR"/>
        </w:rPr>
      </w:pPr>
      <w:r w:rsidRPr="00092DA2">
        <w:rPr>
          <w:lang w:val="fr-FR"/>
        </w:rPr>
        <w:t>« 3.2.7</w:t>
      </w:r>
      <w:r w:rsidRPr="00092DA2">
        <w:rPr>
          <w:lang w:val="fr-FR"/>
        </w:rPr>
        <w:tab/>
        <w:t xml:space="preserve">La ou les jonctions de semi-conducteur et éventuellement un ou plusieurs éléments de conversion de la fluorescence doivent être les seuls éléments de la source lumineuse à diode électroluminescente (DEL) qui génèrent et émettent de la lumière, soit directement soit par conversion de la fluorescence, lorsqu’elles sont mises sous tension. ». </w:t>
      </w:r>
    </w:p>
    <w:p w:rsidR="00240A29" w:rsidRPr="00092DA2" w:rsidRDefault="001F1ADC" w:rsidP="00240A29">
      <w:pPr>
        <w:pStyle w:val="SingleTxtG"/>
        <w:spacing w:before="120"/>
        <w:rPr>
          <w:bCs/>
          <w:lang w:val="fr-FR"/>
        </w:rPr>
      </w:pPr>
      <w:r>
        <w:rPr>
          <w:bCs/>
          <w:i/>
          <w:lang w:val="fr-FR"/>
        </w:rPr>
        <w:t>Paragraphes 3.4</w:t>
      </w:r>
      <w:r w:rsidR="00240A29" w:rsidRPr="00092DA2">
        <w:rPr>
          <w:bCs/>
          <w:i/>
          <w:lang w:val="fr-FR"/>
        </w:rPr>
        <w:t xml:space="preserve"> et 3.4</w:t>
      </w:r>
      <w:r w:rsidR="00240A29">
        <w:rPr>
          <w:bCs/>
          <w:i/>
          <w:lang w:val="fr-FR"/>
        </w:rPr>
        <w:t>.1</w:t>
      </w:r>
      <w:r w:rsidR="00240A29" w:rsidRPr="001F1ADC">
        <w:rPr>
          <w:bCs/>
          <w:lang w:val="fr-FR"/>
        </w:rPr>
        <w:t xml:space="preserve">, </w:t>
      </w:r>
      <w:r w:rsidR="00240A29">
        <w:rPr>
          <w:bCs/>
          <w:lang w:val="fr-FR"/>
        </w:rPr>
        <w:t>lire</w:t>
      </w:r>
      <w:r w:rsidR="00240A29" w:rsidRPr="00092DA2">
        <w:rPr>
          <w:bCs/>
          <w:lang w:val="fr-FR"/>
        </w:rPr>
        <w:t xml:space="preserve"> : </w:t>
      </w:r>
    </w:p>
    <w:p w:rsidR="00240A29" w:rsidRPr="00092DA2" w:rsidRDefault="00240A29" w:rsidP="00240A29">
      <w:pPr>
        <w:pStyle w:val="SingleTxtG"/>
        <w:ind w:left="2268" w:hanging="1134"/>
        <w:rPr>
          <w:bCs/>
          <w:lang w:val="fr-FR"/>
        </w:rPr>
      </w:pPr>
      <w:r w:rsidRPr="00092DA2">
        <w:rPr>
          <w:bCs/>
          <w:lang w:val="fr-FR"/>
        </w:rPr>
        <w:t>« 3.4</w:t>
      </w:r>
      <w:r w:rsidRPr="00092DA2">
        <w:rPr>
          <w:bCs/>
          <w:lang w:val="fr-FR"/>
        </w:rPr>
        <w:tab/>
      </w:r>
      <w:r w:rsidRPr="00092DA2">
        <w:rPr>
          <w:lang w:val="fr-FR"/>
        </w:rPr>
        <w:t xml:space="preserve">Position et dimensions de la zone d’émission de la lumière apparente </w:t>
      </w:r>
    </w:p>
    <w:p w:rsidR="00240A29" w:rsidRPr="00092DA2" w:rsidRDefault="00240A29" w:rsidP="00240A29">
      <w:pPr>
        <w:pStyle w:val="SingleTxtG"/>
        <w:ind w:left="2268" w:hanging="1134"/>
        <w:rPr>
          <w:bCs/>
          <w:lang w:val="fr-FR"/>
        </w:rPr>
      </w:pPr>
      <w:r w:rsidRPr="00092DA2">
        <w:rPr>
          <w:bCs/>
          <w:lang w:val="fr-FR"/>
        </w:rPr>
        <w:t>3.4.1</w:t>
      </w:r>
      <w:r w:rsidRPr="00092DA2">
        <w:rPr>
          <w:bCs/>
          <w:lang w:val="fr-FR"/>
        </w:rPr>
        <w:tab/>
      </w:r>
      <w:r w:rsidRPr="00092DA2">
        <w:rPr>
          <w:lang w:val="fr-FR"/>
        </w:rPr>
        <w:t>La position et les dimensions de la zone d’émission de la lumière apparente doivent satisfaire aux prescriptions indiquées sur la feuille de donné</w:t>
      </w:r>
      <w:r>
        <w:rPr>
          <w:lang w:val="fr-FR"/>
        </w:rPr>
        <w:t>es pertinente de l’annexe 1. ».</w:t>
      </w:r>
    </w:p>
    <w:p w:rsidR="00240A29" w:rsidRPr="00092DA2" w:rsidRDefault="00240A29" w:rsidP="00240A29">
      <w:pPr>
        <w:pStyle w:val="SingleTxtG"/>
        <w:keepNext/>
        <w:keepLines/>
        <w:spacing w:before="120"/>
        <w:rPr>
          <w:bCs/>
          <w:i/>
          <w:lang w:val="fr-FR"/>
        </w:rPr>
      </w:pPr>
      <w:r w:rsidRPr="00092DA2">
        <w:rPr>
          <w:bCs/>
          <w:i/>
          <w:lang w:val="fr-FR"/>
        </w:rPr>
        <w:t>Annexe 1</w:t>
      </w:r>
      <w:r w:rsidRPr="001F1ADC">
        <w:rPr>
          <w:bCs/>
          <w:lang w:val="fr-FR"/>
        </w:rPr>
        <w:t xml:space="preserve">, </w:t>
      </w:r>
      <w:r>
        <w:rPr>
          <w:bCs/>
          <w:lang w:val="fr-FR"/>
        </w:rPr>
        <w:t>lire</w:t>
      </w:r>
      <w:r w:rsidRPr="00092DA2">
        <w:rPr>
          <w:bCs/>
          <w:lang w:val="fr-FR"/>
        </w:rPr>
        <w:t> :</w:t>
      </w:r>
    </w:p>
    <w:p w:rsidR="00240A29" w:rsidRPr="00092DA2" w:rsidRDefault="00240A29" w:rsidP="006874C7">
      <w:pPr>
        <w:pStyle w:val="HChG"/>
        <w:tabs>
          <w:tab w:val="left" w:pos="6870"/>
        </w:tabs>
        <w:rPr>
          <w:lang w:val="fr-FR"/>
        </w:rPr>
      </w:pPr>
      <w:bookmarkStart w:id="1" w:name="_Toc386202964"/>
      <w:r w:rsidRPr="00092DA2">
        <w:rPr>
          <w:b w:val="0"/>
          <w:sz w:val="20"/>
          <w:lang w:val="fr-FR"/>
        </w:rPr>
        <w:t>« </w:t>
      </w:r>
      <w:r w:rsidRPr="00092DA2">
        <w:rPr>
          <w:lang w:val="fr-FR"/>
        </w:rPr>
        <w:t>Annexe 1</w:t>
      </w:r>
      <w:bookmarkEnd w:id="1"/>
    </w:p>
    <w:p w:rsidR="00240A29" w:rsidRPr="00092DA2" w:rsidRDefault="00240A29" w:rsidP="00240A29">
      <w:pPr>
        <w:pStyle w:val="HChG"/>
        <w:rPr>
          <w:bCs/>
          <w:i/>
          <w:lang w:val="fr-FR"/>
        </w:rPr>
      </w:pPr>
      <w:r w:rsidRPr="00092DA2">
        <w:rPr>
          <w:lang w:val="fr-FR"/>
        </w:rPr>
        <w:tab/>
      </w:r>
      <w:r w:rsidRPr="00092DA2">
        <w:rPr>
          <w:lang w:val="fr-FR"/>
        </w:rPr>
        <w:tab/>
        <w:t>Feuilles</w:t>
      </w:r>
      <w:r w:rsidRPr="00092DA2">
        <w:rPr>
          <w:b w:val="0"/>
          <w:sz w:val="20"/>
          <w:vertAlign w:val="superscript"/>
          <w:lang w:val="fr-FR"/>
        </w:rPr>
        <w:t>1</w:t>
      </w:r>
      <w:r w:rsidRPr="00092DA2">
        <w:rPr>
          <w:lang w:val="fr-FR"/>
        </w:rPr>
        <w:t xml:space="preserve"> pour les sources lumineuses à DEL </w:t>
      </w:r>
    </w:p>
    <w:p w:rsidR="00240A29" w:rsidRPr="00092DA2" w:rsidRDefault="00240A29" w:rsidP="00240A29">
      <w:pPr>
        <w:pStyle w:val="SingleTxtG"/>
        <w:ind w:firstLine="567"/>
        <w:rPr>
          <w:sz w:val="18"/>
          <w:szCs w:val="18"/>
          <w:lang w:val="fr-FR"/>
        </w:rPr>
      </w:pPr>
      <w:r w:rsidRPr="00092DA2">
        <w:rPr>
          <w:lang w:val="fr-FR"/>
        </w:rPr>
        <w:t>Les feuilles relatives à la catégorie de sources lumineuses à DEL et le groupe auquel appartient cette catégorie, ainsi que les restrictions d’utilisation correspondantes, s’appliquent conformément à la Résolution R.E.</w:t>
      </w:r>
      <w:r>
        <w:rPr>
          <w:lang w:val="fr-FR"/>
        </w:rPr>
        <w:t>5</w:t>
      </w:r>
      <w:r w:rsidRPr="00092DA2">
        <w:rPr>
          <w:lang w:val="fr-FR"/>
        </w:rPr>
        <w:t xml:space="preserve"> ou à ses révisions ultérieures applicables au moment de la demande d’homologation de type de la source lumineuse à DEL.</w:t>
      </w:r>
    </w:p>
    <w:p w:rsidR="00240A29" w:rsidRPr="00092DA2" w:rsidRDefault="00240A29" w:rsidP="00240A29">
      <w:pPr>
        <w:keepNext/>
        <w:keepLines/>
        <w:spacing w:after="120"/>
        <w:ind w:left="567" w:right="1134"/>
        <w:jc w:val="both"/>
        <w:rPr>
          <w:lang w:val="fr-FR"/>
        </w:rPr>
      </w:pPr>
      <w:r w:rsidRPr="00092DA2">
        <w:rPr>
          <w:lang w:val="fr-FR"/>
        </w:rPr>
        <w:t>______________</w:t>
      </w:r>
    </w:p>
    <w:p w:rsidR="00240A29" w:rsidRPr="009E253A" w:rsidRDefault="00240A29" w:rsidP="00240A29">
      <w:pPr>
        <w:pStyle w:val="FootnoteText"/>
        <w:rPr>
          <w:spacing w:val="-2"/>
          <w:lang w:val="fr-FR"/>
        </w:rPr>
      </w:pPr>
      <w:r w:rsidRPr="00092DA2">
        <w:rPr>
          <w:vertAlign w:val="superscript"/>
          <w:lang w:val="fr-FR"/>
        </w:rPr>
        <w:tab/>
        <w:t>1</w:t>
      </w:r>
      <w:r w:rsidRPr="00092DA2">
        <w:rPr>
          <w:vertAlign w:val="superscript"/>
          <w:lang w:val="fr-FR"/>
        </w:rPr>
        <w:tab/>
      </w:r>
      <w:r w:rsidRPr="00092DA2">
        <w:rPr>
          <w:lang w:val="fr-FR"/>
        </w:rPr>
        <w:t xml:space="preserve">À compter du </w:t>
      </w:r>
      <w:r>
        <w:rPr>
          <w:lang w:val="fr-FR"/>
        </w:rPr>
        <w:t>22</w:t>
      </w:r>
      <w:r w:rsidR="001C7C40">
        <w:rPr>
          <w:lang w:val="fr-FR"/>
        </w:rPr>
        <w:t> </w:t>
      </w:r>
      <w:r>
        <w:rPr>
          <w:lang w:val="fr-FR"/>
        </w:rPr>
        <w:t>juin 2017</w:t>
      </w:r>
      <w:r w:rsidRPr="00092DA2">
        <w:rPr>
          <w:lang w:val="fr-FR"/>
        </w:rPr>
        <w:t xml:space="preserve">, les feuilles relatives aux sources lumineuses à décharge, la liste par groupe des catégories de sources lumineuses et les restrictions d’utilisation et numéros de feuille </w:t>
      </w:r>
      <w:r w:rsidRPr="009E253A">
        <w:rPr>
          <w:spacing w:val="-2"/>
          <w:lang w:val="fr-FR"/>
        </w:rPr>
        <w:t>correspondants figurent dans la Résolution R.E.5 publiée sous la cote ECE/TRANS/WP.29/2016/111. ».</w:t>
      </w:r>
    </w:p>
    <w:p w:rsidR="00240A29" w:rsidRPr="00092DA2" w:rsidRDefault="00240A29" w:rsidP="00240A29">
      <w:pPr>
        <w:pStyle w:val="SingleTxtG"/>
        <w:spacing w:before="120"/>
        <w:rPr>
          <w:lang w:val="fr-FR"/>
        </w:rPr>
      </w:pPr>
      <w:r w:rsidRPr="00092DA2">
        <w:rPr>
          <w:i/>
          <w:lang w:val="fr-FR"/>
        </w:rPr>
        <w:t>Annexe 6</w:t>
      </w:r>
      <w:r w:rsidRPr="00092DA2">
        <w:rPr>
          <w:lang w:val="fr-FR"/>
        </w:rPr>
        <w:t xml:space="preserve">, </w:t>
      </w:r>
    </w:p>
    <w:p w:rsidR="00240A29" w:rsidRPr="00092DA2" w:rsidRDefault="00240A29" w:rsidP="00240A29">
      <w:pPr>
        <w:pStyle w:val="SingleTxtG"/>
        <w:rPr>
          <w:lang w:val="fr-FR"/>
        </w:rPr>
      </w:pPr>
      <w:r w:rsidRPr="00092DA2">
        <w:rPr>
          <w:i/>
          <w:lang w:val="fr-FR"/>
        </w:rPr>
        <w:t>Tableau 1</w:t>
      </w:r>
      <w:r w:rsidRPr="001C7C40">
        <w:rPr>
          <w:lang w:val="fr-FR"/>
        </w:rPr>
        <w:t>,</w:t>
      </w:r>
      <w:r w:rsidRPr="00092DA2">
        <w:rPr>
          <w:i/>
          <w:lang w:val="fr-FR"/>
        </w:rPr>
        <w:t xml:space="preserve"> </w:t>
      </w:r>
      <w:r>
        <w:rPr>
          <w:lang w:val="fr-FR"/>
        </w:rPr>
        <w:t>lire</w:t>
      </w:r>
      <w:r w:rsidRPr="00092DA2">
        <w:rPr>
          <w:lang w:val="fr-FR"/>
        </w:rPr>
        <w:t> :</w:t>
      </w:r>
    </w:p>
    <w:p w:rsidR="00240A29" w:rsidRPr="00787504" w:rsidRDefault="00240A29" w:rsidP="00240A29">
      <w:pPr>
        <w:pStyle w:val="SingleTxtG"/>
        <w:rPr>
          <w:snapToGrid w:val="0"/>
        </w:rPr>
      </w:pPr>
      <w:r w:rsidRPr="00787504">
        <w:rPr>
          <w:snapToGrid w:val="0"/>
        </w:rPr>
        <w:t>« …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2126"/>
        <w:gridCol w:w="1411"/>
        <w:gridCol w:w="1701"/>
      </w:tblGrid>
      <w:tr w:rsidR="00240A29" w:rsidRPr="001F1ADC" w:rsidTr="001F1ADC">
        <w:trPr>
          <w:cantSplit/>
          <w:tblHeader/>
        </w:trPr>
        <w:tc>
          <w:tcPr>
            <w:tcW w:w="2132" w:type="dxa"/>
            <w:shd w:val="clear" w:color="auto" w:fill="auto"/>
            <w:vAlign w:val="bottom"/>
          </w:tcPr>
          <w:p w:rsidR="00240A29" w:rsidRPr="001F1ADC" w:rsidRDefault="00240A29" w:rsidP="005245F8">
            <w:pPr>
              <w:keepNext/>
              <w:keepLines/>
              <w:spacing w:before="80" w:after="80" w:line="200" w:lineRule="exact"/>
              <w:ind w:left="113" w:right="113"/>
              <w:rPr>
                <w:i/>
                <w:snapToGrid w:val="0"/>
                <w:sz w:val="16"/>
                <w:szCs w:val="16"/>
              </w:rPr>
            </w:pPr>
            <w:r w:rsidRPr="001F1ADC">
              <w:rPr>
                <w:i/>
                <w:snapToGrid w:val="0"/>
                <w:sz w:val="16"/>
                <w:szCs w:val="16"/>
              </w:rPr>
              <w:lastRenderedPageBreak/>
              <w:t xml:space="preserve">Groupe de caractéristiques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40A29" w:rsidRPr="001F1ADC" w:rsidRDefault="00240A29" w:rsidP="005245F8">
            <w:pPr>
              <w:keepNext/>
              <w:keepLines/>
              <w:spacing w:before="80" w:after="80" w:line="200" w:lineRule="exact"/>
              <w:ind w:left="113" w:right="113"/>
              <w:rPr>
                <w:i/>
                <w:snapToGrid w:val="0"/>
                <w:sz w:val="16"/>
                <w:szCs w:val="16"/>
                <w:lang w:val="fr-FR"/>
              </w:rPr>
            </w:pPr>
            <w:r w:rsidRPr="001F1ADC">
              <w:rPr>
                <w:i/>
                <w:snapToGrid w:val="0"/>
                <w:sz w:val="16"/>
                <w:szCs w:val="16"/>
                <w:lang w:val="fr-FR"/>
              </w:rPr>
              <w:t>Groupement* des procès</w:t>
            </w:r>
            <w:r w:rsidRPr="001F1ADC">
              <w:rPr>
                <w:i/>
                <w:snapToGrid w:val="0"/>
                <w:sz w:val="16"/>
                <w:szCs w:val="16"/>
                <w:lang w:val="fr-FR"/>
              </w:rPr>
              <w:noBreakHyphen/>
              <w:t>verbaux d’essai</w:t>
            </w:r>
            <w:r w:rsidRPr="001F1ADC">
              <w:rPr>
                <w:i/>
                <w:snapToGrid w:val="0"/>
                <w:sz w:val="16"/>
                <w:szCs w:val="16"/>
                <w:lang w:val="fr-FR"/>
              </w:rPr>
              <w:br/>
              <w:t xml:space="preserve">selon les types de sources lumineuses à DEL 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40A29" w:rsidRPr="001F1ADC" w:rsidRDefault="00240A29" w:rsidP="005245F8">
            <w:pPr>
              <w:keepNext/>
              <w:keepLines/>
              <w:spacing w:before="80" w:after="80" w:line="200" w:lineRule="exact"/>
              <w:ind w:left="113" w:right="113"/>
              <w:rPr>
                <w:i/>
                <w:snapToGrid w:val="0"/>
                <w:sz w:val="16"/>
                <w:szCs w:val="16"/>
                <w:lang w:val="fr-FR"/>
              </w:rPr>
            </w:pPr>
            <w:r w:rsidRPr="001F1ADC">
              <w:rPr>
                <w:i/>
                <w:snapToGrid w:val="0"/>
                <w:sz w:val="16"/>
                <w:szCs w:val="16"/>
                <w:lang w:val="fr-FR"/>
              </w:rPr>
              <w:t>Échantillon</w:t>
            </w:r>
            <w:r w:rsidRPr="001F1ADC">
              <w:rPr>
                <w:i/>
                <w:snapToGrid w:val="0"/>
                <w:sz w:val="16"/>
                <w:szCs w:val="16"/>
                <w:lang w:val="fr-FR"/>
              </w:rPr>
              <w:br/>
              <w:t>annuel minimal</w:t>
            </w:r>
            <w:r w:rsidRPr="001F1ADC">
              <w:rPr>
                <w:i/>
                <w:snapToGrid w:val="0"/>
                <w:sz w:val="16"/>
                <w:szCs w:val="16"/>
                <w:lang w:val="fr-FR"/>
              </w:rPr>
              <w:br/>
              <w:t>par groupe*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40A29" w:rsidRPr="001F1ADC" w:rsidRDefault="00240A29" w:rsidP="005245F8">
            <w:pPr>
              <w:keepNext/>
              <w:keepLines/>
              <w:spacing w:before="80" w:after="80" w:line="200" w:lineRule="exact"/>
              <w:ind w:left="113" w:right="113"/>
              <w:rPr>
                <w:i/>
                <w:snapToGrid w:val="0"/>
                <w:sz w:val="16"/>
                <w:szCs w:val="16"/>
                <w:lang w:val="fr-FR"/>
              </w:rPr>
            </w:pPr>
            <w:r w:rsidRPr="001F1ADC">
              <w:rPr>
                <w:i/>
                <w:snapToGrid w:val="0"/>
                <w:sz w:val="16"/>
                <w:szCs w:val="16"/>
                <w:lang w:val="fr-FR"/>
              </w:rPr>
              <w:t>Niveau acceptable</w:t>
            </w:r>
            <w:r w:rsidRPr="001F1ADC">
              <w:rPr>
                <w:i/>
                <w:snapToGrid w:val="0"/>
                <w:sz w:val="16"/>
                <w:szCs w:val="16"/>
                <w:lang w:val="fr-FR"/>
              </w:rPr>
              <w:br/>
              <w:t>de  non-conformité par groupe de caractéristiques (%)</w:t>
            </w:r>
          </w:p>
        </w:tc>
      </w:tr>
      <w:tr w:rsidR="00240A29" w:rsidRPr="001F1ADC" w:rsidTr="001F1ADC">
        <w:trPr>
          <w:cantSplit/>
        </w:trPr>
        <w:tc>
          <w:tcPr>
            <w:tcW w:w="2132" w:type="dxa"/>
            <w:shd w:val="clear" w:color="auto" w:fill="auto"/>
          </w:tcPr>
          <w:p w:rsidR="00240A29" w:rsidRPr="001F1ADC" w:rsidRDefault="00240A29" w:rsidP="00240A29">
            <w:pPr>
              <w:keepNext/>
              <w:keepLines/>
              <w:spacing w:before="40" w:after="120"/>
              <w:ind w:left="113" w:right="113"/>
              <w:rPr>
                <w:snapToGrid w:val="0"/>
                <w:sz w:val="18"/>
                <w:szCs w:val="18"/>
              </w:rPr>
            </w:pPr>
            <w:r w:rsidRPr="001F1ADC">
              <w:rPr>
                <w:snapToGrid w:val="0"/>
                <w:sz w:val="18"/>
                <w:szCs w:val="18"/>
              </w:rPr>
              <w:t>Marquage, lisibilité</w:t>
            </w:r>
            <w:r w:rsidRPr="001F1ADC">
              <w:rPr>
                <w:snapToGrid w:val="0"/>
                <w:sz w:val="18"/>
                <w:szCs w:val="18"/>
              </w:rPr>
              <w:br/>
              <w:t>et durabilité</w:t>
            </w:r>
          </w:p>
        </w:tc>
        <w:tc>
          <w:tcPr>
            <w:tcW w:w="2126" w:type="dxa"/>
            <w:shd w:val="clear" w:color="auto" w:fill="auto"/>
          </w:tcPr>
          <w:p w:rsidR="00240A29" w:rsidRPr="001F1ADC" w:rsidRDefault="00240A29" w:rsidP="00240A29">
            <w:pPr>
              <w:keepNext/>
              <w:keepLines/>
              <w:spacing w:before="40" w:after="120"/>
              <w:ind w:left="113" w:right="113"/>
              <w:rPr>
                <w:snapToGrid w:val="0"/>
                <w:sz w:val="18"/>
                <w:szCs w:val="18"/>
                <w:lang w:val="fr-FR"/>
              </w:rPr>
            </w:pPr>
            <w:r w:rsidRPr="001F1ADC">
              <w:rPr>
                <w:snapToGrid w:val="0"/>
                <w:sz w:val="18"/>
                <w:szCs w:val="18"/>
                <w:lang w:val="fr-FR"/>
              </w:rPr>
              <w:t>Tous types possédant les mêmes dimensions extérieures</w:t>
            </w:r>
          </w:p>
        </w:tc>
        <w:tc>
          <w:tcPr>
            <w:tcW w:w="1411" w:type="dxa"/>
            <w:shd w:val="clear" w:color="auto" w:fill="auto"/>
          </w:tcPr>
          <w:p w:rsidR="00240A29" w:rsidRPr="001F1ADC" w:rsidRDefault="00240A29" w:rsidP="00240A29">
            <w:pPr>
              <w:keepNext/>
              <w:keepLines/>
              <w:spacing w:before="40" w:after="120"/>
              <w:ind w:left="113" w:right="113"/>
              <w:rPr>
                <w:snapToGrid w:val="0"/>
                <w:sz w:val="18"/>
                <w:szCs w:val="18"/>
              </w:rPr>
            </w:pPr>
            <w:r w:rsidRPr="001F1ADC">
              <w:rPr>
                <w:snapToGrid w:val="0"/>
                <w:sz w:val="18"/>
                <w:szCs w:val="18"/>
              </w:rPr>
              <w:t>315</w:t>
            </w:r>
          </w:p>
        </w:tc>
        <w:tc>
          <w:tcPr>
            <w:tcW w:w="1701" w:type="dxa"/>
            <w:shd w:val="clear" w:color="auto" w:fill="auto"/>
          </w:tcPr>
          <w:p w:rsidR="00240A29" w:rsidRPr="001F1ADC" w:rsidRDefault="00240A29" w:rsidP="00240A29">
            <w:pPr>
              <w:keepNext/>
              <w:keepLines/>
              <w:spacing w:before="40" w:after="120"/>
              <w:ind w:left="113" w:right="113"/>
              <w:rPr>
                <w:snapToGrid w:val="0"/>
                <w:sz w:val="18"/>
                <w:szCs w:val="18"/>
              </w:rPr>
            </w:pPr>
            <w:r w:rsidRPr="001F1ADC">
              <w:rPr>
                <w:snapToGrid w:val="0"/>
                <w:sz w:val="18"/>
                <w:szCs w:val="18"/>
              </w:rPr>
              <w:t>1</w:t>
            </w:r>
          </w:p>
        </w:tc>
      </w:tr>
      <w:tr w:rsidR="00240A29" w:rsidRPr="001F1ADC" w:rsidTr="001F1ADC">
        <w:trPr>
          <w:cantSplit/>
        </w:trPr>
        <w:tc>
          <w:tcPr>
            <w:tcW w:w="2132" w:type="dxa"/>
            <w:shd w:val="clear" w:color="auto" w:fill="auto"/>
          </w:tcPr>
          <w:p w:rsidR="00240A29" w:rsidRPr="001F1ADC" w:rsidRDefault="00240A29" w:rsidP="00240A29">
            <w:pPr>
              <w:keepNext/>
              <w:keepLines/>
              <w:spacing w:before="40" w:after="120"/>
              <w:ind w:left="113" w:right="113"/>
              <w:rPr>
                <w:snapToGrid w:val="0"/>
                <w:sz w:val="18"/>
                <w:szCs w:val="18"/>
                <w:lang w:val="fr-FR"/>
              </w:rPr>
            </w:pPr>
            <w:r w:rsidRPr="001F1ADC">
              <w:rPr>
                <w:snapToGrid w:val="0"/>
                <w:sz w:val="18"/>
                <w:szCs w:val="18"/>
                <w:lang w:val="fr-FR"/>
              </w:rPr>
              <w:t xml:space="preserve">Dimensions extérieures de la source lumineuse </w:t>
            </w:r>
            <w:r w:rsidR="001C7C40">
              <w:rPr>
                <w:snapToGrid w:val="0"/>
                <w:sz w:val="18"/>
                <w:szCs w:val="18"/>
                <w:lang w:val="fr-FR"/>
              </w:rPr>
              <w:br/>
            </w:r>
            <w:r w:rsidRPr="001F1ADC">
              <w:rPr>
                <w:snapToGrid w:val="0"/>
                <w:sz w:val="18"/>
                <w:szCs w:val="18"/>
                <w:lang w:val="fr-FR"/>
              </w:rPr>
              <w:t xml:space="preserve">à DEL (compte non tenu du culot/de la base) </w:t>
            </w:r>
          </w:p>
        </w:tc>
        <w:tc>
          <w:tcPr>
            <w:tcW w:w="2126" w:type="dxa"/>
            <w:shd w:val="clear" w:color="auto" w:fill="auto"/>
          </w:tcPr>
          <w:p w:rsidR="00240A29" w:rsidRPr="001F1ADC" w:rsidRDefault="00240A29" w:rsidP="00240A29">
            <w:pPr>
              <w:keepNext/>
              <w:keepLines/>
              <w:spacing w:before="40" w:after="120"/>
              <w:ind w:left="113" w:right="113"/>
              <w:rPr>
                <w:snapToGrid w:val="0"/>
                <w:sz w:val="18"/>
                <w:szCs w:val="18"/>
                <w:lang w:val="fr-FR"/>
              </w:rPr>
            </w:pPr>
            <w:r w:rsidRPr="001F1ADC">
              <w:rPr>
                <w:snapToGrid w:val="0"/>
                <w:sz w:val="18"/>
                <w:szCs w:val="18"/>
                <w:lang w:val="fr-FR"/>
              </w:rPr>
              <w:t xml:space="preserve">Tous types de la même catégorie </w:t>
            </w:r>
          </w:p>
        </w:tc>
        <w:tc>
          <w:tcPr>
            <w:tcW w:w="1411" w:type="dxa"/>
            <w:shd w:val="clear" w:color="auto" w:fill="auto"/>
          </w:tcPr>
          <w:p w:rsidR="00240A29" w:rsidRPr="001F1ADC" w:rsidRDefault="00240A29" w:rsidP="00240A29">
            <w:pPr>
              <w:keepNext/>
              <w:keepLines/>
              <w:spacing w:before="40" w:after="120"/>
              <w:ind w:left="113" w:right="113"/>
              <w:rPr>
                <w:snapToGrid w:val="0"/>
                <w:sz w:val="18"/>
                <w:szCs w:val="18"/>
              </w:rPr>
            </w:pPr>
            <w:r w:rsidRPr="001F1ADC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40A29" w:rsidRPr="001F1ADC" w:rsidRDefault="00240A29" w:rsidP="00240A29">
            <w:pPr>
              <w:keepNext/>
              <w:keepLines/>
              <w:spacing w:before="40" w:after="120"/>
              <w:ind w:left="113" w:right="113"/>
              <w:rPr>
                <w:snapToGrid w:val="0"/>
                <w:sz w:val="18"/>
                <w:szCs w:val="18"/>
              </w:rPr>
            </w:pPr>
            <w:r w:rsidRPr="001F1ADC">
              <w:rPr>
                <w:snapToGrid w:val="0"/>
                <w:sz w:val="18"/>
                <w:szCs w:val="18"/>
              </w:rPr>
              <w:t>1</w:t>
            </w:r>
          </w:p>
        </w:tc>
      </w:tr>
      <w:tr w:rsidR="00240A29" w:rsidRPr="001F1ADC" w:rsidTr="001F1ADC">
        <w:trPr>
          <w:cantSplit/>
        </w:trPr>
        <w:tc>
          <w:tcPr>
            <w:tcW w:w="2132" w:type="dxa"/>
            <w:shd w:val="clear" w:color="auto" w:fill="auto"/>
          </w:tcPr>
          <w:p w:rsidR="00240A29" w:rsidRPr="001F1ADC" w:rsidRDefault="00240A29" w:rsidP="00240A29">
            <w:pPr>
              <w:keepNext/>
              <w:keepLines/>
              <w:spacing w:before="40" w:after="120"/>
              <w:ind w:left="113" w:right="113"/>
              <w:rPr>
                <w:snapToGrid w:val="0"/>
                <w:sz w:val="18"/>
                <w:szCs w:val="18"/>
                <w:lang w:val="fr-FR"/>
              </w:rPr>
            </w:pPr>
            <w:r w:rsidRPr="001F1ADC">
              <w:rPr>
                <w:snapToGrid w:val="0"/>
                <w:sz w:val="18"/>
                <w:szCs w:val="18"/>
                <w:lang w:val="fr-FR"/>
              </w:rPr>
              <w:t xml:space="preserve">Dimensions des culots </w:t>
            </w:r>
            <w:r w:rsidR="001C7C40">
              <w:rPr>
                <w:snapToGrid w:val="0"/>
                <w:sz w:val="18"/>
                <w:szCs w:val="18"/>
                <w:lang w:val="fr-FR"/>
              </w:rPr>
              <w:br/>
            </w:r>
            <w:r w:rsidRPr="001F1ADC">
              <w:rPr>
                <w:snapToGrid w:val="0"/>
                <w:sz w:val="18"/>
                <w:szCs w:val="18"/>
                <w:lang w:val="fr-FR"/>
              </w:rPr>
              <w:t>et des bases</w:t>
            </w:r>
          </w:p>
        </w:tc>
        <w:tc>
          <w:tcPr>
            <w:tcW w:w="2126" w:type="dxa"/>
            <w:shd w:val="clear" w:color="auto" w:fill="auto"/>
          </w:tcPr>
          <w:p w:rsidR="00240A29" w:rsidRPr="001F1ADC" w:rsidRDefault="00240A29" w:rsidP="00240A29">
            <w:pPr>
              <w:keepNext/>
              <w:keepLines/>
              <w:spacing w:before="40" w:after="120"/>
              <w:ind w:left="113" w:right="113"/>
              <w:rPr>
                <w:snapToGrid w:val="0"/>
                <w:sz w:val="18"/>
                <w:szCs w:val="18"/>
                <w:lang w:val="fr-FR"/>
              </w:rPr>
            </w:pPr>
            <w:r w:rsidRPr="001F1ADC">
              <w:rPr>
                <w:snapToGrid w:val="0"/>
                <w:sz w:val="18"/>
                <w:szCs w:val="18"/>
                <w:lang w:val="fr-FR"/>
              </w:rPr>
              <w:t xml:space="preserve">Tous types de la même catégorie </w:t>
            </w:r>
          </w:p>
        </w:tc>
        <w:tc>
          <w:tcPr>
            <w:tcW w:w="1411" w:type="dxa"/>
            <w:shd w:val="clear" w:color="auto" w:fill="auto"/>
          </w:tcPr>
          <w:p w:rsidR="00240A29" w:rsidRPr="001F1ADC" w:rsidRDefault="00240A29" w:rsidP="00240A29">
            <w:pPr>
              <w:keepNext/>
              <w:keepLines/>
              <w:spacing w:before="40" w:after="120"/>
              <w:ind w:left="113" w:right="113"/>
              <w:rPr>
                <w:snapToGrid w:val="0"/>
                <w:sz w:val="18"/>
                <w:szCs w:val="18"/>
              </w:rPr>
            </w:pPr>
            <w:r w:rsidRPr="001F1ADC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40A29" w:rsidRPr="001F1ADC" w:rsidRDefault="00240A29" w:rsidP="00240A29">
            <w:pPr>
              <w:keepNext/>
              <w:keepLines/>
              <w:spacing w:before="40" w:after="120"/>
              <w:ind w:left="113" w:right="113"/>
              <w:rPr>
                <w:snapToGrid w:val="0"/>
                <w:sz w:val="18"/>
                <w:szCs w:val="18"/>
              </w:rPr>
            </w:pPr>
            <w:r w:rsidRPr="001F1ADC">
              <w:rPr>
                <w:snapToGrid w:val="0"/>
                <w:sz w:val="18"/>
                <w:szCs w:val="18"/>
              </w:rPr>
              <w:t>6,5</w:t>
            </w:r>
          </w:p>
        </w:tc>
      </w:tr>
      <w:tr w:rsidR="00240A29" w:rsidRPr="001F1ADC" w:rsidTr="001F1ADC">
        <w:trPr>
          <w:cantSplit/>
        </w:trPr>
        <w:tc>
          <w:tcPr>
            <w:tcW w:w="2132" w:type="dxa"/>
            <w:shd w:val="clear" w:color="auto" w:fill="auto"/>
          </w:tcPr>
          <w:p w:rsidR="00240A29" w:rsidRPr="001F1ADC" w:rsidRDefault="00240A29" w:rsidP="00240A29">
            <w:pPr>
              <w:keepNext/>
              <w:keepLines/>
              <w:spacing w:before="40" w:after="120"/>
              <w:ind w:left="113" w:right="113"/>
              <w:rPr>
                <w:snapToGrid w:val="0"/>
                <w:sz w:val="18"/>
                <w:szCs w:val="18"/>
                <w:lang w:val="fr-FR"/>
              </w:rPr>
            </w:pPr>
            <w:r w:rsidRPr="001F1ADC">
              <w:rPr>
                <w:snapToGrid w:val="0"/>
                <w:sz w:val="18"/>
                <w:szCs w:val="18"/>
                <w:lang w:val="fr-FR"/>
              </w:rPr>
              <w:t>Dimensions relatives</w:t>
            </w:r>
            <w:r w:rsidRPr="001F1ADC">
              <w:rPr>
                <w:snapToGrid w:val="0"/>
                <w:sz w:val="18"/>
                <w:szCs w:val="18"/>
                <w:lang w:val="fr-FR"/>
              </w:rPr>
              <w:br/>
              <w:t>à la surface de sortie</w:t>
            </w:r>
            <w:r w:rsidRPr="001F1ADC">
              <w:rPr>
                <w:snapToGrid w:val="0"/>
                <w:sz w:val="18"/>
                <w:szCs w:val="18"/>
                <w:lang w:val="fr-FR"/>
              </w:rPr>
              <w:br/>
              <w:t>de la lumière et des éléments intérieurs**</w:t>
            </w:r>
          </w:p>
        </w:tc>
        <w:tc>
          <w:tcPr>
            <w:tcW w:w="2126" w:type="dxa"/>
            <w:shd w:val="clear" w:color="auto" w:fill="auto"/>
          </w:tcPr>
          <w:p w:rsidR="00240A29" w:rsidRPr="001F1ADC" w:rsidRDefault="00240A29" w:rsidP="00240A29">
            <w:pPr>
              <w:keepNext/>
              <w:keepLines/>
              <w:spacing w:before="40" w:after="120"/>
              <w:ind w:left="113" w:right="113"/>
              <w:rPr>
                <w:snapToGrid w:val="0"/>
                <w:sz w:val="18"/>
                <w:szCs w:val="18"/>
                <w:lang w:val="fr-FR"/>
              </w:rPr>
            </w:pPr>
            <w:r w:rsidRPr="001F1ADC">
              <w:rPr>
                <w:snapToGrid w:val="0"/>
                <w:sz w:val="18"/>
                <w:szCs w:val="18"/>
                <w:lang w:val="fr-FR"/>
              </w:rPr>
              <w:t>Toutes sources lumineuses à DEL</w:t>
            </w:r>
            <w:r w:rsidRPr="001F1ADC">
              <w:rPr>
                <w:snapToGrid w:val="0"/>
                <w:sz w:val="18"/>
                <w:szCs w:val="18"/>
                <w:lang w:val="fr-FR"/>
              </w:rPr>
              <w:br/>
              <w:t>du même type</w:t>
            </w:r>
          </w:p>
        </w:tc>
        <w:tc>
          <w:tcPr>
            <w:tcW w:w="1411" w:type="dxa"/>
            <w:shd w:val="clear" w:color="auto" w:fill="auto"/>
          </w:tcPr>
          <w:p w:rsidR="00240A29" w:rsidRPr="001F1ADC" w:rsidRDefault="00240A29" w:rsidP="00240A29">
            <w:pPr>
              <w:keepNext/>
              <w:keepLines/>
              <w:spacing w:before="40" w:after="120"/>
              <w:ind w:left="113" w:right="113"/>
              <w:rPr>
                <w:snapToGrid w:val="0"/>
                <w:sz w:val="18"/>
                <w:szCs w:val="18"/>
              </w:rPr>
            </w:pPr>
            <w:r w:rsidRPr="001F1ADC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40A29" w:rsidRPr="001F1ADC" w:rsidRDefault="00240A29" w:rsidP="00240A29">
            <w:pPr>
              <w:keepNext/>
              <w:keepLines/>
              <w:spacing w:before="40" w:after="120"/>
              <w:ind w:left="113" w:right="113"/>
              <w:rPr>
                <w:snapToGrid w:val="0"/>
                <w:sz w:val="18"/>
                <w:szCs w:val="18"/>
              </w:rPr>
            </w:pPr>
            <w:r w:rsidRPr="001F1ADC">
              <w:rPr>
                <w:snapToGrid w:val="0"/>
                <w:sz w:val="18"/>
                <w:szCs w:val="18"/>
              </w:rPr>
              <w:t>6,5</w:t>
            </w:r>
          </w:p>
        </w:tc>
      </w:tr>
      <w:tr w:rsidR="00240A29" w:rsidRPr="001F1ADC" w:rsidTr="001F1ADC">
        <w:trPr>
          <w:cantSplit/>
        </w:trPr>
        <w:tc>
          <w:tcPr>
            <w:tcW w:w="2132" w:type="dxa"/>
            <w:shd w:val="clear" w:color="auto" w:fill="auto"/>
          </w:tcPr>
          <w:p w:rsidR="00240A29" w:rsidRPr="001F1ADC" w:rsidRDefault="00240A29" w:rsidP="00240A29">
            <w:pPr>
              <w:keepNext/>
              <w:keepLines/>
              <w:spacing w:before="40" w:after="120"/>
              <w:ind w:left="113" w:right="113"/>
              <w:rPr>
                <w:snapToGrid w:val="0"/>
                <w:sz w:val="18"/>
                <w:szCs w:val="18"/>
                <w:lang w:val="fr-FR"/>
              </w:rPr>
            </w:pPr>
            <w:r w:rsidRPr="001F1ADC">
              <w:rPr>
                <w:snapToGrid w:val="0"/>
                <w:sz w:val="18"/>
                <w:szCs w:val="18"/>
                <w:lang w:val="fr-FR"/>
              </w:rPr>
              <w:t>Lectures initiales, puissances, couleur</w:t>
            </w:r>
            <w:r w:rsidRPr="001F1ADC">
              <w:rPr>
                <w:snapToGrid w:val="0"/>
                <w:sz w:val="18"/>
                <w:szCs w:val="18"/>
                <w:lang w:val="fr-FR"/>
              </w:rPr>
              <w:br/>
              <w:t>et flux lumineux**</w:t>
            </w:r>
          </w:p>
        </w:tc>
        <w:tc>
          <w:tcPr>
            <w:tcW w:w="2126" w:type="dxa"/>
            <w:shd w:val="clear" w:color="auto" w:fill="auto"/>
          </w:tcPr>
          <w:p w:rsidR="00240A29" w:rsidRPr="001F1ADC" w:rsidRDefault="00240A29" w:rsidP="00240A29">
            <w:pPr>
              <w:keepNext/>
              <w:keepLines/>
              <w:spacing w:before="40" w:after="120"/>
              <w:ind w:left="113" w:right="113"/>
              <w:rPr>
                <w:snapToGrid w:val="0"/>
                <w:sz w:val="18"/>
                <w:szCs w:val="18"/>
                <w:lang w:val="fr-FR"/>
              </w:rPr>
            </w:pPr>
            <w:r w:rsidRPr="001F1ADC">
              <w:rPr>
                <w:snapToGrid w:val="0"/>
                <w:sz w:val="18"/>
                <w:szCs w:val="18"/>
                <w:lang w:val="fr-FR"/>
              </w:rPr>
              <w:t>Toutes sources lumineuses à DEL</w:t>
            </w:r>
            <w:r w:rsidRPr="001F1ADC">
              <w:rPr>
                <w:snapToGrid w:val="0"/>
                <w:sz w:val="18"/>
                <w:szCs w:val="18"/>
                <w:lang w:val="fr-FR"/>
              </w:rPr>
              <w:br/>
              <w:t>du même type</w:t>
            </w:r>
          </w:p>
        </w:tc>
        <w:tc>
          <w:tcPr>
            <w:tcW w:w="1411" w:type="dxa"/>
            <w:shd w:val="clear" w:color="auto" w:fill="auto"/>
          </w:tcPr>
          <w:p w:rsidR="00240A29" w:rsidRPr="001F1ADC" w:rsidRDefault="00240A29" w:rsidP="00240A29">
            <w:pPr>
              <w:keepNext/>
              <w:keepLines/>
              <w:spacing w:before="40" w:after="120"/>
              <w:ind w:left="113" w:right="113"/>
              <w:rPr>
                <w:snapToGrid w:val="0"/>
                <w:sz w:val="18"/>
                <w:szCs w:val="18"/>
              </w:rPr>
            </w:pPr>
            <w:r w:rsidRPr="001F1ADC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40A29" w:rsidRPr="001F1ADC" w:rsidRDefault="00240A29" w:rsidP="00240A29">
            <w:pPr>
              <w:keepNext/>
              <w:keepLines/>
              <w:spacing w:before="40" w:after="120"/>
              <w:ind w:left="113" w:right="113"/>
              <w:rPr>
                <w:snapToGrid w:val="0"/>
                <w:sz w:val="18"/>
                <w:szCs w:val="18"/>
              </w:rPr>
            </w:pPr>
            <w:r w:rsidRPr="001F1ADC">
              <w:rPr>
                <w:snapToGrid w:val="0"/>
                <w:sz w:val="18"/>
                <w:szCs w:val="18"/>
              </w:rPr>
              <w:t>1</w:t>
            </w:r>
          </w:p>
        </w:tc>
      </w:tr>
      <w:tr w:rsidR="00240A29" w:rsidRPr="001F1ADC" w:rsidTr="001F1ADC">
        <w:trPr>
          <w:cantSplit/>
        </w:trPr>
        <w:tc>
          <w:tcPr>
            <w:tcW w:w="2132" w:type="dxa"/>
            <w:shd w:val="clear" w:color="auto" w:fill="auto"/>
          </w:tcPr>
          <w:p w:rsidR="00240A29" w:rsidRPr="001F1ADC" w:rsidRDefault="00240A29" w:rsidP="00240A29">
            <w:pPr>
              <w:keepNext/>
              <w:keepLines/>
              <w:spacing w:before="40" w:after="120"/>
              <w:ind w:left="113" w:right="113"/>
              <w:rPr>
                <w:sz w:val="18"/>
                <w:szCs w:val="18"/>
                <w:lang w:val="fr-FR"/>
              </w:rPr>
            </w:pPr>
            <w:r w:rsidRPr="001F1ADC">
              <w:rPr>
                <w:sz w:val="18"/>
                <w:szCs w:val="18"/>
                <w:lang w:val="fr-FR"/>
              </w:rPr>
              <w:t xml:space="preserve">Répartition normalisée de l’intensité lumineuse ou du flux lumineux cumulé </w:t>
            </w:r>
          </w:p>
        </w:tc>
        <w:tc>
          <w:tcPr>
            <w:tcW w:w="2126" w:type="dxa"/>
            <w:shd w:val="clear" w:color="auto" w:fill="auto"/>
          </w:tcPr>
          <w:p w:rsidR="00240A29" w:rsidRPr="001F1ADC" w:rsidRDefault="00240A29" w:rsidP="00240A29">
            <w:pPr>
              <w:keepNext/>
              <w:keepLines/>
              <w:spacing w:before="40" w:after="120"/>
              <w:ind w:left="113" w:right="113"/>
              <w:rPr>
                <w:sz w:val="18"/>
                <w:szCs w:val="18"/>
                <w:lang w:val="fr-FR"/>
              </w:rPr>
            </w:pPr>
            <w:r w:rsidRPr="001F1ADC">
              <w:rPr>
                <w:snapToGrid w:val="0"/>
                <w:sz w:val="18"/>
                <w:szCs w:val="18"/>
                <w:lang w:val="fr-FR"/>
              </w:rPr>
              <w:t>Toutes sources lumineuses à DEL</w:t>
            </w:r>
            <w:r w:rsidRPr="001F1ADC">
              <w:rPr>
                <w:snapToGrid w:val="0"/>
                <w:sz w:val="18"/>
                <w:szCs w:val="18"/>
                <w:lang w:val="fr-FR"/>
              </w:rPr>
              <w:br/>
              <w:t>du même type</w:t>
            </w:r>
          </w:p>
        </w:tc>
        <w:tc>
          <w:tcPr>
            <w:tcW w:w="1411" w:type="dxa"/>
            <w:shd w:val="clear" w:color="auto" w:fill="auto"/>
          </w:tcPr>
          <w:p w:rsidR="00240A29" w:rsidRPr="001F1ADC" w:rsidRDefault="00240A29" w:rsidP="00240A29">
            <w:pPr>
              <w:keepNext/>
              <w:keepLines/>
              <w:spacing w:before="40" w:after="120"/>
              <w:ind w:left="113" w:right="113"/>
              <w:rPr>
                <w:snapToGrid w:val="0"/>
                <w:sz w:val="18"/>
                <w:szCs w:val="18"/>
              </w:rPr>
            </w:pPr>
            <w:r w:rsidRPr="001F1ADC">
              <w:rPr>
                <w:snapToGrid w:val="0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240A29" w:rsidRPr="001F1ADC" w:rsidRDefault="00240A29" w:rsidP="00240A29">
            <w:pPr>
              <w:keepNext/>
              <w:keepLines/>
              <w:spacing w:before="40" w:after="120"/>
              <w:ind w:left="113" w:right="113"/>
              <w:rPr>
                <w:snapToGrid w:val="0"/>
                <w:sz w:val="18"/>
                <w:szCs w:val="18"/>
              </w:rPr>
            </w:pPr>
            <w:r w:rsidRPr="001F1ADC">
              <w:rPr>
                <w:snapToGrid w:val="0"/>
                <w:sz w:val="18"/>
                <w:szCs w:val="18"/>
              </w:rPr>
              <w:t>6,5</w:t>
            </w:r>
          </w:p>
        </w:tc>
      </w:tr>
    </w:tbl>
    <w:p w:rsidR="00240A29" w:rsidRPr="00525E6C" w:rsidRDefault="00240A29" w:rsidP="00240A29">
      <w:pPr>
        <w:pStyle w:val="SingleTxtG"/>
        <w:spacing w:before="120"/>
        <w:jc w:val="right"/>
        <w:rPr>
          <w:snapToGrid w:val="0"/>
        </w:rPr>
      </w:pPr>
      <w:r>
        <w:rPr>
          <w:snapToGrid w:val="0"/>
        </w:rPr>
        <w:t> ».</w:t>
      </w:r>
    </w:p>
    <w:p w:rsidR="00240A29" w:rsidRPr="00092DA2" w:rsidRDefault="00240A29" w:rsidP="00240A29">
      <w:pPr>
        <w:pStyle w:val="SingleTxtG"/>
        <w:keepNext/>
        <w:keepLines/>
        <w:spacing w:line="200" w:lineRule="atLeast"/>
        <w:rPr>
          <w:snapToGrid w:val="0"/>
          <w:lang w:val="fr-FR"/>
        </w:rPr>
      </w:pPr>
      <w:r w:rsidRPr="00092DA2">
        <w:rPr>
          <w:i/>
          <w:snapToGrid w:val="0"/>
          <w:lang w:val="fr-FR"/>
        </w:rPr>
        <w:t>Tableau 3</w:t>
      </w:r>
      <w:r w:rsidRPr="00D71A9E">
        <w:rPr>
          <w:i/>
          <w:snapToGrid w:val="0"/>
          <w:lang w:val="fr-FR"/>
        </w:rPr>
        <w:t>,</w:t>
      </w:r>
      <w:r w:rsidRPr="00092DA2">
        <w:rPr>
          <w:snapToGrid w:val="0"/>
          <w:lang w:val="fr-FR"/>
        </w:rPr>
        <w:t xml:space="preserve"> </w:t>
      </w:r>
      <w:r w:rsidRPr="00092DA2">
        <w:rPr>
          <w:i/>
          <w:snapToGrid w:val="0"/>
          <w:lang w:val="fr-FR"/>
        </w:rPr>
        <w:t>ligne d’en tête</w:t>
      </w:r>
      <w:r w:rsidRPr="00092DA2">
        <w:rPr>
          <w:snapToGrid w:val="0"/>
          <w:lang w:val="fr-FR"/>
        </w:rPr>
        <w:t xml:space="preserve">, </w:t>
      </w:r>
      <w:r>
        <w:rPr>
          <w:lang w:val="fr-FR"/>
        </w:rPr>
        <w:t>lire</w:t>
      </w:r>
      <w:r w:rsidRPr="00092DA2">
        <w:rPr>
          <w:snapToGrid w:val="0"/>
          <w:lang w:val="fr-FR"/>
        </w:rPr>
        <w:t> :</w:t>
      </w:r>
    </w:p>
    <w:p w:rsidR="00240A29" w:rsidRPr="00525E6C" w:rsidRDefault="00240A29" w:rsidP="00240A29">
      <w:pPr>
        <w:pStyle w:val="SingleTxtG"/>
        <w:keepNext/>
        <w:keepLines/>
        <w:spacing w:line="200" w:lineRule="atLeast"/>
        <w:rPr>
          <w:snapToGrid w:val="0"/>
          <w:lang w:val="en-US"/>
        </w:rPr>
      </w:pPr>
      <w:r>
        <w:rPr>
          <w:snapToGrid w:val="0"/>
          <w:lang w:val="en-US"/>
        </w:rPr>
        <w:t>« 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896"/>
        <w:gridCol w:w="1589"/>
        <w:gridCol w:w="905"/>
        <w:gridCol w:w="1572"/>
        <w:gridCol w:w="922"/>
      </w:tblGrid>
      <w:tr w:rsidR="00240A29" w:rsidRPr="00597752" w:rsidTr="001F1ADC">
        <w:trPr>
          <w:cantSplit/>
          <w:trHeight w:val="456"/>
        </w:trPr>
        <w:tc>
          <w:tcPr>
            <w:tcW w:w="1598" w:type="dxa"/>
            <w:tcMar>
              <w:left w:w="0" w:type="dxa"/>
              <w:right w:w="0" w:type="dxa"/>
            </w:tcMar>
            <w:vAlign w:val="bottom"/>
          </w:tcPr>
          <w:p w:rsidR="00240A29" w:rsidRPr="00092DA2" w:rsidRDefault="00240A29" w:rsidP="001F1ADC">
            <w:pPr>
              <w:keepNext/>
              <w:keepLines/>
              <w:suppressAutoHyphens w:val="0"/>
              <w:spacing w:before="80" w:after="80" w:line="200" w:lineRule="atLeast"/>
              <w:ind w:left="113" w:right="113"/>
              <w:rPr>
                <w:bCs/>
                <w:i/>
                <w:snapToGrid w:val="0"/>
                <w:sz w:val="16"/>
                <w:szCs w:val="16"/>
                <w:lang w:val="fr-FR"/>
              </w:rPr>
            </w:pPr>
            <w:r w:rsidRPr="00092DA2">
              <w:rPr>
                <w:bCs/>
                <w:i/>
                <w:snapToGrid w:val="0"/>
                <w:sz w:val="16"/>
                <w:szCs w:val="16"/>
                <w:lang w:val="fr-FR"/>
              </w:rPr>
              <w:t>Nombre</w:t>
            </w:r>
            <w:r w:rsidR="001F1ADC">
              <w:rPr>
                <w:bCs/>
                <w:i/>
                <w:snapToGrid w:val="0"/>
                <w:sz w:val="16"/>
                <w:szCs w:val="16"/>
                <w:lang w:val="fr-FR"/>
              </w:rPr>
              <w:t xml:space="preserve"> </w:t>
            </w:r>
            <w:r w:rsidRPr="00092DA2">
              <w:rPr>
                <w:bCs/>
                <w:i/>
                <w:snapToGrid w:val="0"/>
                <w:sz w:val="16"/>
                <w:szCs w:val="16"/>
                <w:lang w:val="fr-FR"/>
              </w:rPr>
              <w:t xml:space="preserve">des sources lumineuses à DEL </w:t>
            </w:r>
            <w:r w:rsidR="001F1ADC">
              <w:rPr>
                <w:bCs/>
                <w:i/>
                <w:snapToGrid w:val="0"/>
                <w:sz w:val="16"/>
                <w:szCs w:val="16"/>
                <w:lang w:val="fr-FR"/>
              </w:rPr>
              <w:t>figurant sur les procès-verbaux</w:t>
            </w:r>
          </w:p>
        </w:tc>
        <w:tc>
          <w:tcPr>
            <w:tcW w:w="896" w:type="dxa"/>
            <w:tcMar>
              <w:left w:w="0" w:type="dxa"/>
              <w:right w:w="0" w:type="dxa"/>
            </w:tcMar>
            <w:vAlign w:val="bottom"/>
          </w:tcPr>
          <w:p w:rsidR="00240A29" w:rsidRPr="00597752" w:rsidRDefault="00240A29" w:rsidP="001F1ADC">
            <w:pPr>
              <w:keepNext/>
              <w:keepLines/>
              <w:suppressAutoHyphens w:val="0"/>
              <w:spacing w:before="80" w:after="80" w:line="200" w:lineRule="atLeast"/>
              <w:ind w:left="113" w:right="113"/>
              <w:rPr>
                <w:bCs/>
                <w:i/>
                <w:snapToGrid w:val="0"/>
                <w:sz w:val="16"/>
                <w:szCs w:val="16"/>
              </w:rPr>
            </w:pPr>
            <w:r>
              <w:rPr>
                <w:bCs/>
                <w:i/>
                <w:snapToGrid w:val="0"/>
                <w:sz w:val="16"/>
                <w:szCs w:val="16"/>
              </w:rPr>
              <w:t xml:space="preserve">Tolérance </w:t>
            </w:r>
          </w:p>
        </w:tc>
        <w:tc>
          <w:tcPr>
            <w:tcW w:w="1589" w:type="dxa"/>
            <w:tcMar>
              <w:left w:w="0" w:type="dxa"/>
              <w:right w:w="0" w:type="dxa"/>
            </w:tcMar>
            <w:vAlign w:val="bottom"/>
          </w:tcPr>
          <w:p w:rsidR="00240A29" w:rsidRPr="00092DA2" w:rsidRDefault="00240A29" w:rsidP="001F1ADC">
            <w:pPr>
              <w:keepNext/>
              <w:keepLines/>
              <w:suppressAutoHyphens w:val="0"/>
              <w:spacing w:before="80" w:after="80" w:line="200" w:lineRule="atLeast"/>
              <w:ind w:left="113" w:right="113"/>
              <w:rPr>
                <w:bCs/>
                <w:i/>
                <w:snapToGrid w:val="0"/>
                <w:sz w:val="16"/>
                <w:szCs w:val="16"/>
                <w:lang w:val="fr-FR"/>
              </w:rPr>
            </w:pPr>
            <w:r w:rsidRPr="00092DA2">
              <w:rPr>
                <w:bCs/>
                <w:i/>
                <w:snapToGrid w:val="0"/>
                <w:sz w:val="16"/>
                <w:szCs w:val="16"/>
                <w:lang w:val="fr-FR"/>
              </w:rPr>
              <w:t>Nombre</w:t>
            </w:r>
            <w:r w:rsidR="001F1ADC">
              <w:rPr>
                <w:bCs/>
                <w:i/>
                <w:snapToGrid w:val="0"/>
                <w:sz w:val="16"/>
                <w:szCs w:val="16"/>
                <w:lang w:val="fr-FR"/>
              </w:rPr>
              <w:t xml:space="preserve"> </w:t>
            </w:r>
            <w:r w:rsidRPr="00092DA2">
              <w:rPr>
                <w:bCs/>
                <w:i/>
                <w:snapToGrid w:val="0"/>
                <w:sz w:val="16"/>
                <w:szCs w:val="16"/>
                <w:lang w:val="fr-FR"/>
              </w:rPr>
              <w:t xml:space="preserve">des sources lumineuses à DEL </w:t>
            </w:r>
            <w:r w:rsidR="001F1ADC">
              <w:rPr>
                <w:bCs/>
                <w:i/>
                <w:snapToGrid w:val="0"/>
                <w:sz w:val="16"/>
                <w:szCs w:val="16"/>
                <w:lang w:val="fr-FR"/>
              </w:rPr>
              <w:t>figurant sur les procès-verbaux</w:t>
            </w:r>
          </w:p>
        </w:tc>
        <w:tc>
          <w:tcPr>
            <w:tcW w:w="905" w:type="dxa"/>
            <w:tcMar>
              <w:left w:w="0" w:type="dxa"/>
              <w:right w:w="0" w:type="dxa"/>
            </w:tcMar>
            <w:vAlign w:val="bottom"/>
          </w:tcPr>
          <w:p w:rsidR="00240A29" w:rsidRPr="00597752" w:rsidRDefault="00240A29" w:rsidP="001F1ADC">
            <w:pPr>
              <w:keepNext/>
              <w:keepLines/>
              <w:suppressAutoHyphens w:val="0"/>
              <w:spacing w:before="80" w:after="80" w:line="200" w:lineRule="atLeast"/>
              <w:ind w:left="113" w:right="113"/>
              <w:rPr>
                <w:bCs/>
                <w:i/>
                <w:snapToGrid w:val="0"/>
                <w:sz w:val="16"/>
                <w:szCs w:val="16"/>
              </w:rPr>
            </w:pPr>
            <w:r>
              <w:rPr>
                <w:bCs/>
                <w:i/>
                <w:snapToGrid w:val="0"/>
                <w:sz w:val="16"/>
                <w:szCs w:val="16"/>
              </w:rPr>
              <w:t xml:space="preserve">Tolérance </w:t>
            </w:r>
          </w:p>
        </w:tc>
        <w:tc>
          <w:tcPr>
            <w:tcW w:w="1572" w:type="dxa"/>
            <w:tcMar>
              <w:left w:w="0" w:type="dxa"/>
              <w:right w:w="0" w:type="dxa"/>
            </w:tcMar>
            <w:vAlign w:val="bottom"/>
          </w:tcPr>
          <w:p w:rsidR="00240A29" w:rsidRPr="00092DA2" w:rsidRDefault="00240A29" w:rsidP="001F1ADC">
            <w:pPr>
              <w:keepNext/>
              <w:keepLines/>
              <w:suppressAutoHyphens w:val="0"/>
              <w:spacing w:before="80" w:after="80" w:line="200" w:lineRule="atLeast"/>
              <w:ind w:left="113" w:right="113"/>
              <w:rPr>
                <w:bCs/>
                <w:i/>
                <w:snapToGrid w:val="0"/>
                <w:sz w:val="16"/>
                <w:szCs w:val="16"/>
                <w:lang w:val="fr-FR"/>
              </w:rPr>
            </w:pPr>
            <w:r w:rsidRPr="00092DA2">
              <w:rPr>
                <w:bCs/>
                <w:i/>
                <w:snapToGrid w:val="0"/>
                <w:sz w:val="16"/>
                <w:szCs w:val="16"/>
                <w:lang w:val="fr-FR"/>
              </w:rPr>
              <w:t>Nombre</w:t>
            </w:r>
            <w:r w:rsidR="001F1ADC">
              <w:rPr>
                <w:bCs/>
                <w:i/>
                <w:snapToGrid w:val="0"/>
                <w:sz w:val="16"/>
                <w:szCs w:val="16"/>
                <w:lang w:val="fr-FR"/>
              </w:rPr>
              <w:t xml:space="preserve"> </w:t>
            </w:r>
            <w:r w:rsidRPr="00092DA2">
              <w:rPr>
                <w:bCs/>
                <w:i/>
                <w:snapToGrid w:val="0"/>
                <w:sz w:val="16"/>
                <w:szCs w:val="16"/>
                <w:lang w:val="fr-FR"/>
              </w:rPr>
              <w:t xml:space="preserve">des sources lumineuses à DEL </w:t>
            </w:r>
            <w:r w:rsidR="001F1ADC">
              <w:rPr>
                <w:bCs/>
                <w:i/>
                <w:snapToGrid w:val="0"/>
                <w:sz w:val="16"/>
                <w:szCs w:val="16"/>
                <w:lang w:val="fr-FR"/>
              </w:rPr>
              <w:t>figurant sur les procès-verbaux</w:t>
            </w:r>
          </w:p>
        </w:tc>
        <w:tc>
          <w:tcPr>
            <w:tcW w:w="922" w:type="dxa"/>
            <w:tcMar>
              <w:left w:w="0" w:type="dxa"/>
              <w:right w:w="0" w:type="dxa"/>
            </w:tcMar>
            <w:vAlign w:val="bottom"/>
          </w:tcPr>
          <w:p w:rsidR="00240A29" w:rsidRPr="00597752" w:rsidRDefault="00240A29" w:rsidP="001F1ADC">
            <w:pPr>
              <w:keepNext/>
              <w:keepLines/>
              <w:suppressAutoHyphens w:val="0"/>
              <w:spacing w:before="80" w:after="80" w:line="200" w:lineRule="atLeast"/>
              <w:ind w:left="113" w:right="113"/>
              <w:rPr>
                <w:bCs/>
                <w:i/>
                <w:snapToGrid w:val="0"/>
                <w:sz w:val="16"/>
                <w:szCs w:val="16"/>
              </w:rPr>
            </w:pPr>
            <w:r>
              <w:rPr>
                <w:bCs/>
                <w:i/>
                <w:snapToGrid w:val="0"/>
                <w:sz w:val="16"/>
                <w:szCs w:val="16"/>
              </w:rPr>
              <w:t xml:space="preserve">Tolérance </w:t>
            </w:r>
          </w:p>
        </w:tc>
      </w:tr>
    </w:tbl>
    <w:p w:rsidR="005F0207" w:rsidRDefault="00240A29" w:rsidP="00240A29">
      <w:pPr>
        <w:ind w:right="1134"/>
        <w:jc w:val="right"/>
      </w:pPr>
      <w:r>
        <w:t> ».</w:t>
      </w:r>
    </w:p>
    <w:p w:rsidR="00240A29" w:rsidRPr="00240A29" w:rsidRDefault="00240A29" w:rsidP="00240A2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40A29" w:rsidRPr="00240A29" w:rsidSect="00240A2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1F" w:rsidRDefault="0089281F"/>
  </w:endnote>
  <w:endnote w:type="continuationSeparator" w:id="0">
    <w:p w:rsidR="0089281F" w:rsidRDefault="0089281F">
      <w:pPr>
        <w:pStyle w:val="Footer"/>
      </w:pPr>
    </w:p>
  </w:endnote>
  <w:endnote w:type="continuationNotice" w:id="1">
    <w:p w:rsidR="0089281F" w:rsidRPr="00C451B9" w:rsidRDefault="0089281F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29" w:rsidRPr="00240A29" w:rsidRDefault="00240A29" w:rsidP="00240A29">
    <w:pPr>
      <w:pStyle w:val="Footer"/>
      <w:tabs>
        <w:tab w:val="right" w:pos="9638"/>
      </w:tabs>
    </w:pPr>
    <w:r w:rsidRPr="00240A29">
      <w:rPr>
        <w:b/>
        <w:sz w:val="18"/>
      </w:rPr>
      <w:fldChar w:fldCharType="begin"/>
    </w:r>
    <w:r w:rsidRPr="00240A29">
      <w:rPr>
        <w:b/>
        <w:sz w:val="18"/>
      </w:rPr>
      <w:instrText xml:space="preserve"> PAGE  \* MERGEFORMAT </w:instrText>
    </w:r>
    <w:r w:rsidRPr="00240A29">
      <w:rPr>
        <w:b/>
        <w:sz w:val="18"/>
      </w:rPr>
      <w:fldChar w:fldCharType="separate"/>
    </w:r>
    <w:r w:rsidR="004009DF">
      <w:rPr>
        <w:b/>
        <w:noProof/>
        <w:sz w:val="18"/>
      </w:rPr>
      <w:t>2</w:t>
    </w:r>
    <w:r w:rsidRPr="00240A29">
      <w:rPr>
        <w:b/>
        <w:sz w:val="18"/>
      </w:rPr>
      <w:fldChar w:fldCharType="end"/>
    </w:r>
    <w:r>
      <w:rPr>
        <w:b/>
        <w:sz w:val="18"/>
      </w:rPr>
      <w:tab/>
    </w:r>
    <w:r>
      <w:t>GE.17-11512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29" w:rsidRPr="00240A29" w:rsidRDefault="00240A29" w:rsidP="00240A29">
    <w:pPr>
      <w:pStyle w:val="Footer"/>
      <w:tabs>
        <w:tab w:val="right" w:pos="9638"/>
      </w:tabs>
      <w:rPr>
        <w:b/>
        <w:sz w:val="18"/>
      </w:rPr>
    </w:pPr>
    <w:r>
      <w:t>GE.17-11512</w:t>
    </w:r>
    <w:r>
      <w:tab/>
    </w:r>
    <w:r w:rsidRPr="00240A29">
      <w:rPr>
        <w:b/>
        <w:sz w:val="18"/>
      </w:rPr>
      <w:fldChar w:fldCharType="begin"/>
    </w:r>
    <w:r w:rsidRPr="00240A29">
      <w:rPr>
        <w:b/>
        <w:sz w:val="18"/>
      </w:rPr>
      <w:instrText xml:space="preserve"> PAGE  \* MERGEFORMAT </w:instrText>
    </w:r>
    <w:r w:rsidRPr="00240A29">
      <w:rPr>
        <w:b/>
        <w:sz w:val="18"/>
      </w:rPr>
      <w:fldChar w:fldCharType="separate"/>
    </w:r>
    <w:r w:rsidR="004009DF">
      <w:rPr>
        <w:b/>
        <w:noProof/>
        <w:sz w:val="18"/>
      </w:rPr>
      <w:t>3</w:t>
    </w:r>
    <w:r w:rsidRPr="00240A2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2C" w:rsidRPr="00240A29" w:rsidRDefault="00240A29" w:rsidP="00240A29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17-11512  (F)</w:t>
    </w:r>
    <w:r w:rsidR="001F1ADC">
      <w:rPr>
        <w:sz w:val="20"/>
      </w:rPr>
      <w:t xml:space="preserve">    131217    131217</w:t>
    </w:r>
    <w:r>
      <w:rPr>
        <w:sz w:val="20"/>
      </w:rPr>
      <w:br/>
    </w:r>
    <w:r w:rsidRPr="00240A29">
      <w:rPr>
        <w:rFonts w:ascii="C39T30Lfz" w:hAnsi="C39T30Lfz"/>
        <w:sz w:val="56"/>
      </w:rPr>
      <w:t></w:t>
    </w:r>
    <w:r w:rsidRPr="00240A29">
      <w:rPr>
        <w:rFonts w:ascii="C39T30Lfz" w:hAnsi="C39T30Lfz"/>
        <w:sz w:val="56"/>
      </w:rPr>
      <w:t></w:t>
    </w:r>
    <w:r w:rsidRPr="00240A29">
      <w:rPr>
        <w:rFonts w:ascii="C39T30Lfz" w:hAnsi="C39T30Lfz"/>
        <w:sz w:val="56"/>
      </w:rPr>
      <w:t></w:t>
    </w:r>
    <w:r w:rsidRPr="00240A29">
      <w:rPr>
        <w:rFonts w:ascii="C39T30Lfz" w:hAnsi="C39T30Lfz"/>
        <w:sz w:val="56"/>
      </w:rPr>
      <w:t></w:t>
    </w:r>
    <w:r w:rsidRPr="00240A29">
      <w:rPr>
        <w:rFonts w:ascii="C39T30Lfz" w:hAnsi="C39T30Lfz"/>
        <w:sz w:val="56"/>
      </w:rPr>
      <w:t></w:t>
    </w:r>
    <w:r w:rsidRPr="00240A29">
      <w:rPr>
        <w:rFonts w:ascii="C39T30Lfz" w:hAnsi="C39T30Lfz"/>
        <w:sz w:val="56"/>
      </w:rPr>
      <w:t></w:t>
    </w:r>
    <w:r w:rsidRPr="00240A29">
      <w:rPr>
        <w:rFonts w:ascii="C39T30Lfz" w:hAnsi="C39T30Lfz"/>
        <w:sz w:val="56"/>
      </w:rPr>
      <w:t></w:t>
    </w:r>
    <w:r w:rsidRPr="00240A29">
      <w:rPr>
        <w:rFonts w:ascii="C39T30Lfz" w:hAnsi="C39T30Lfz"/>
        <w:sz w:val="56"/>
      </w:rPr>
      <w:t></w:t>
    </w:r>
    <w:r w:rsidRPr="00240A29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27/Amend.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7/Amend.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1F" w:rsidRPr="00D27D5E" w:rsidRDefault="0089281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9281F" w:rsidRPr="00D171D4" w:rsidRDefault="0089281F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89281F" w:rsidRPr="00C451B9" w:rsidRDefault="0089281F" w:rsidP="00C451B9">
      <w:pPr>
        <w:spacing w:line="240" w:lineRule="auto"/>
        <w:rPr>
          <w:sz w:val="2"/>
          <w:szCs w:val="2"/>
        </w:rPr>
      </w:pPr>
    </w:p>
  </w:footnote>
  <w:footnote w:id="2">
    <w:p w:rsidR="00240A29" w:rsidRPr="00240A29" w:rsidRDefault="00240A29">
      <w:pPr>
        <w:pStyle w:val="FootnoteText"/>
      </w:pPr>
      <w:r>
        <w:rPr>
          <w:rStyle w:val="FootnoteReference"/>
        </w:rPr>
        <w:tab/>
      </w:r>
      <w:r w:rsidRPr="00240A2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817A7">
        <w:t>Ancien titre de l</w:t>
      </w:r>
      <w:r>
        <w:t>’</w:t>
      </w:r>
      <w:r w:rsidRPr="007817A7">
        <w:t>Accor</w:t>
      </w:r>
      <w:r>
        <w:t>d</w:t>
      </w:r>
      <w:r w:rsidR="001F1ADC">
        <w:t> </w:t>
      </w:r>
      <w:r>
        <w:t>: Accord concernant l’a</w:t>
      </w:r>
      <w:r w:rsidRPr="007817A7">
        <w:t>doption de conditions uniformes d</w:t>
      </w:r>
      <w:r>
        <w:t>’</w:t>
      </w:r>
      <w:r w:rsidRPr="007817A7">
        <w:t>homologation et la</w:t>
      </w:r>
      <w:r>
        <w:t> </w:t>
      </w:r>
      <w:r w:rsidRPr="007817A7">
        <w:t>reconnaissance réciproque de l</w:t>
      </w:r>
      <w:r>
        <w:t>’</w:t>
      </w:r>
      <w:r w:rsidRPr="007817A7">
        <w:t>homologation des équipements et pièces de véhicules à m</w:t>
      </w:r>
      <w:r>
        <w:t>oteur, en date, à Genève, du 20</w:t>
      </w:r>
      <w:r w:rsidR="001F1ADC">
        <w:t> </w:t>
      </w:r>
      <w:r w:rsidRPr="007817A7">
        <w:t>mars 1958.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29" w:rsidRPr="00240A29" w:rsidRDefault="00240A29">
    <w:pPr>
      <w:pStyle w:val="Header"/>
      <w:rPr>
        <w:lang w:val="en-US"/>
      </w:rPr>
    </w:pPr>
    <w:r>
      <w:fldChar w:fldCharType="begin"/>
    </w:r>
    <w:r w:rsidRPr="00240A29">
      <w:rPr>
        <w:lang w:val="en-US"/>
      </w:rPr>
      <w:instrText xml:space="preserve"> TITLE  \* MERGEFORMAT </w:instrText>
    </w:r>
    <w:r>
      <w:fldChar w:fldCharType="separate"/>
    </w:r>
    <w:r w:rsidR="004009DF">
      <w:rPr>
        <w:lang w:val="en-US"/>
      </w:rPr>
      <w:t>E/ECE/324/Rev.2/Add.127/Amend.6</w:t>
    </w:r>
    <w:r>
      <w:fldChar w:fldCharType="end"/>
    </w:r>
    <w:r w:rsidRPr="00240A29">
      <w:rPr>
        <w:lang w:val="en-US"/>
      </w:rPr>
      <w:br/>
    </w:r>
    <w:r>
      <w:fldChar w:fldCharType="begin"/>
    </w:r>
    <w:r w:rsidRPr="00240A29">
      <w:rPr>
        <w:lang w:val="en-US"/>
      </w:rPr>
      <w:instrText xml:space="preserve"> KEYWORDS  \* MERGEFORMAT </w:instrText>
    </w:r>
    <w:r>
      <w:fldChar w:fldCharType="separate"/>
    </w:r>
    <w:r w:rsidR="004009DF">
      <w:rPr>
        <w:lang w:val="en-US"/>
      </w:rPr>
      <w:t>E/ECE/TRANS/505/Rev.2/Add.127/Amend.6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29" w:rsidRPr="00240A29" w:rsidRDefault="00240A29" w:rsidP="00240A29">
    <w:pPr>
      <w:pStyle w:val="Header"/>
      <w:jc w:val="right"/>
      <w:rPr>
        <w:lang w:val="en-US"/>
      </w:rPr>
    </w:pPr>
    <w:r>
      <w:fldChar w:fldCharType="begin"/>
    </w:r>
    <w:r w:rsidRPr="00240A29">
      <w:rPr>
        <w:lang w:val="en-US"/>
      </w:rPr>
      <w:instrText xml:space="preserve"> TITLE  \* MERGEFORMAT </w:instrText>
    </w:r>
    <w:r>
      <w:fldChar w:fldCharType="separate"/>
    </w:r>
    <w:r w:rsidR="004009DF">
      <w:rPr>
        <w:lang w:val="en-US"/>
      </w:rPr>
      <w:t>E/ECE/324/Rev.2/Add.127/Amend.6</w:t>
    </w:r>
    <w:r>
      <w:fldChar w:fldCharType="end"/>
    </w:r>
    <w:r w:rsidRPr="00240A29">
      <w:rPr>
        <w:lang w:val="en-US"/>
      </w:rPr>
      <w:br/>
    </w:r>
    <w:r>
      <w:fldChar w:fldCharType="begin"/>
    </w:r>
    <w:r w:rsidRPr="00240A29">
      <w:rPr>
        <w:lang w:val="en-US"/>
      </w:rPr>
      <w:instrText xml:space="preserve"> KEYWORDS  \* MERGEFORMAT </w:instrText>
    </w:r>
    <w:r>
      <w:fldChar w:fldCharType="separate"/>
    </w:r>
    <w:r w:rsidR="004009DF">
      <w:rPr>
        <w:lang w:val="en-US"/>
      </w:rPr>
      <w:t>E/ECE/TRANS/505/Rev.2/Add.127/Amend.6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1F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C7C40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1ADC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0222"/>
    <w:rsid w:val="00240A29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09DF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20EA"/>
    <w:rsid w:val="00476265"/>
    <w:rsid w:val="0048687D"/>
    <w:rsid w:val="00490F56"/>
    <w:rsid w:val="00491F39"/>
    <w:rsid w:val="004A109D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245F8"/>
    <w:rsid w:val="00533150"/>
    <w:rsid w:val="005425FD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66914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874C7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281F"/>
    <w:rsid w:val="00895DE5"/>
    <w:rsid w:val="008A0FA8"/>
    <w:rsid w:val="008A1053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53A"/>
    <w:rsid w:val="009E2876"/>
    <w:rsid w:val="009E2F0B"/>
    <w:rsid w:val="009E3374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1EF9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B4040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5C1F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1A9E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2E6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AFB1C1E8-0486-46C2-8F7F-2BC08A13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numPr>
        <w:numId w:val="7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numPr>
        <w:ilvl w:val="1"/>
        <w:numId w:val="7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numPr>
        <w:ilvl w:val="2"/>
        <w:numId w:val="7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numPr>
        <w:ilvl w:val="3"/>
        <w:numId w:val="7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numPr>
        <w:ilvl w:val="4"/>
        <w:numId w:val="7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numPr>
        <w:ilvl w:val="5"/>
        <w:numId w:val="7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numPr>
        <w:ilvl w:val="6"/>
        <w:numId w:val="7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numPr>
        <w:ilvl w:val="7"/>
        <w:numId w:val="7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numPr>
        <w:ilvl w:val="8"/>
        <w:numId w:val="7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PP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,PP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240A29"/>
    <w:rPr>
      <w:rFonts w:eastAsiaTheme="minorHAnsi"/>
      <w:b/>
      <w:sz w:val="24"/>
      <w:lang w:val="fr-CH"/>
    </w:rPr>
  </w:style>
  <w:style w:type="numbering" w:styleId="ArticleSection">
    <w:name w:val="Outline List 3"/>
    <w:basedOn w:val="NoList"/>
    <w:rsid w:val="00240A29"/>
    <w:pPr>
      <w:numPr>
        <w:numId w:val="7"/>
      </w:numPr>
    </w:pPr>
  </w:style>
  <w:style w:type="character" w:customStyle="1" w:styleId="HChGChar">
    <w:name w:val="_ H _Ch_G Char"/>
    <w:link w:val="HChG"/>
    <w:rsid w:val="00240A29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E/ECE/324/Rev.2/Add.127/Amend.6</vt:lpstr>
      <vt:lpstr>E/ECE/324/Rev.2/Add.127/Amend.6</vt:lpstr>
    </vt:vector>
  </TitlesOfParts>
  <Company>CSD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E/ECE/324/Rev.2/Add.127/Amend.6</dc:title>
  <dc:creator>Fabienne CRELIER</dc:creator>
  <cp:keywords>E/ECE/TRANS/505/Rev.2/Add.127/Amend.6</cp:keywords>
  <cp:lastModifiedBy>Marie-Claude Collet</cp:lastModifiedBy>
  <cp:revision>3</cp:revision>
  <cp:lastPrinted>2017-12-14T11:55:00Z</cp:lastPrinted>
  <dcterms:created xsi:type="dcterms:W3CDTF">2017-12-14T11:55:00Z</dcterms:created>
  <dcterms:modified xsi:type="dcterms:W3CDTF">2017-12-14T11:55:00Z</dcterms:modified>
</cp:coreProperties>
</file>