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93"/>
        <w:gridCol w:w="5716"/>
        <w:gridCol w:w="2930"/>
      </w:tblGrid>
      <w:tr w:rsidR="0008521E" w:rsidRPr="00C229E6" w:rsidTr="0008521E">
        <w:trPr>
          <w:trHeight w:val="851"/>
        </w:trPr>
        <w:tc>
          <w:tcPr>
            <w:tcW w:w="993" w:type="dxa"/>
            <w:tcBorders>
              <w:top w:val="nil"/>
              <w:left w:val="nil"/>
              <w:bottom w:val="single" w:sz="4" w:space="0" w:color="auto"/>
              <w:right w:val="nil"/>
            </w:tcBorders>
          </w:tcPr>
          <w:p w:rsidR="0008521E" w:rsidRDefault="0008521E" w:rsidP="00B6411C">
            <w:pPr>
              <w:spacing w:after="80" w:line="340" w:lineRule="exact"/>
            </w:pPr>
            <w:bookmarkStart w:id="0" w:name="_GoBack"/>
            <w:bookmarkEnd w:id="0"/>
          </w:p>
        </w:tc>
        <w:tc>
          <w:tcPr>
            <w:tcW w:w="8646" w:type="dxa"/>
            <w:gridSpan w:val="2"/>
            <w:tcBorders>
              <w:top w:val="nil"/>
              <w:left w:val="nil"/>
              <w:bottom w:val="single" w:sz="4" w:space="0" w:color="auto"/>
              <w:right w:val="nil"/>
            </w:tcBorders>
            <w:vAlign w:val="bottom"/>
          </w:tcPr>
          <w:p w:rsidR="0008521E" w:rsidRPr="0008521E" w:rsidRDefault="0008521E" w:rsidP="00B6411C">
            <w:pPr>
              <w:spacing w:after="80" w:line="340" w:lineRule="exact"/>
              <w:jc w:val="right"/>
              <w:rPr>
                <w:lang w:val="en-US"/>
              </w:rPr>
            </w:pPr>
            <w:r>
              <w:fldChar w:fldCharType="begin"/>
            </w:r>
            <w:r w:rsidRPr="0008521E">
              <w:rPr>
                <w:lang w:val="en-US"/>
              </w:rPr>
              <w:instrText xml:space="preserve"> FILLIN  "</w:instrText>
            </w:r>
            <w:r>
              <w:instrText>Введите</w:instrText>
            </w:r>
            <w:r w:rsidRPr="0008521E">
              <w:rPr>
                <w:lang w:val="en-US"/>
              </w:rPr>
              <w:instrText xml:space="preserve"> </w:instrText>
            </w:r>
            <w:r>
              <w:instrText>символ</w:instrText>
            </w:r>
            <w:r w:rsidRPr="0008521E">
              <w:rPr>
                <w:lang w:val="en-US"/>
              </w:rPr>
              <w:instrText xml:space="preserve"> </w:instrText>
            </w:r>
            <w:r>
              <w:instrText>документа</w:instrText>
            </w:r>
            <w:r w:rsidRPr="0008521E">
              <w:rPr>
                <w:lang w:val="en-US"/>
              </w:rPr>
              <w:instrText xml:space="preserve">"  \* MERGEFORMAT </w:instrText>
            </w:r>
            <w:r>
              <w:fldChar w:fldCharType="separate"/>
            </w:r>
            <w:r w:rsidRPr="0008521E">
              <w:rPr>
                <w:sz w:val="40"/>
                <w:szCs w:val="40"/>
                <w:lang w:val="en-US"/>
              </w:rPr>
              <w:t>E</w:t>
            </w:r>
            <w:r w:rsidRPr="0008521E">
              <w:rPr>
                <w:lang w:val="en-US"/>
              </w:rPr>
              <w:t>/ECE/324/Rev.2/Add.124/Rev.2/Amend.1–</w:t>
            </w:r>
            <w:r w:rsidRPr="0008521E">
              <w:rPr>
                <w:sz w:val="40"/>
                <w:szCs w:val="40"/>
                <w:lang w:val="en-US"/>
              </w:rPr>
              <w:t>E</w:t>
            </w:r>
            <w:r w:rsidRPr="0008521E">
              <w:rPr>
                <w:lang w:val="en-US"/>
              </w:rPr>
              <w:t>/ECE/TRANS/505/Rev.2/Add.124/Rev.2/Amend.1</w:t>
            </w:r>
            <w:r>
              <w:fldChar w:fldCharType="end"/>
            </w:r>
          </w:p>
        </w:tc>
      </w:tr>
      <w:tr w:rsidR="000D0013" w:rsidTr="003B5F95">
        <w:trPr>
          <w:trHeight w:hRule="exact" w:val="2422"/>
        </w:trPr>
        <w:tc>
          <w:tcPr>
            <w:tcW w:w="993" w:type="dxa"/>
            <w:tcBorders>
              <w:top w:val="single" w:sz="4" w:space="0" w:color="auto"/>
              <w:left w:val="nil"/>
              <w:bottom w:val="single" w:sz="12" w:space="0" w:color="auto"/>
              <w:right w:val="nil"/>
            </w:tcBorders>
          </w:tcPr>
          <w:p w:rsidR="000D0013" w:rsidRPr="0008521E" w:rsidRDefault="000D0013" w:rsidP="00B6411C">
            <w:pPr>
              <w:rPr>
                <w:lang w:val="en-US"/>
              </w:rPr>
            </w:pPr>
          </w:p>
        </w:tc>
        <w:tc>
          <w:tcPr>
            <w:tcW w:w="5716" w:type="dxa"/>
            <w:tcBorders>
              <w:top w:val="single" w:sz="4" w:space="0" w:color="auto"/>
              <w:left w:val="nil"/>
              <w:bottom w:val="single" w:sz="12" w:space="0" w:color="auto"/>
              <w:right w:val="nil"/>
            </w:tcBorders>
          </w:tcPr>
          <w:p w:rsidR="000D0013" w:rsidRPr="0008521E" w:rsidRDefault="000D0013" w:rsidP="00B6411C">
            <w:pPr>
              <w:rPr>
                <w:lang w:val="en-US"/>
              </w:rPr>
            </w:pPr>
          </w:p>
        </w:tc>
        <w:tc>
          <w:tcPr>
            <w:tcW w:w="2930" w:type="dxa"/>
            <w:tcBorders>
              <w:top w:val="single" w:sz="4" w:space="0" w:color="auto"/>
              <w:left w:val="nil"/>
              <w:bottom w:val="single" w:sz="12" w:space="0" w:color="auto"/>
              <w:right w:val="nil"/>
            </w:tcBorders>
          </w:tcPr>
          <w:p w:rsidR="000D0013" w:rsidRPr="00B172D2" w:rsidRDefault="000D0013" w:rsidP="00B6411C">
            <w:pPr>
              <w:spacing w:before="240"/>
              <w:rPr>
                <w:lang w:val="en-US"/>
              </w:rPr>
            </w:pPr>
          </w:p>
          <w:p w:rsidR="00C60363" w:rsidRDefault="00C60363" w:rsidP="00B6411C">
            <w:pPr>
              <w:rPr>
                <w:lang w:val="en-US"/>
              </w:rPr>
            </w:pPr>
          </w:p>
          <w:p w:rsidR="000D0013" w:rsidRPr="00B172D2" w:rsidRDefault="00D17A60" w:rsidP="00C60363">
            <w:r>
              <w:rPr>
                <w:lang w:val="en-US"/>
              </w:rPr>
              <w:t>28 October 2016</w:t>
            </w:r>
            <w:r w:rsidR="000D0013" w:rsidRPr="00B172D2">
              <w:rPr>
                <w:lang w:val="en-US"/>
              </w:rPr>
              <w:fldChar w:fldCharType="begin"/>
            </w:r>
            <w:r w:rsidR="000D0013" w:rsidRPr="00B172D2">
              <w:rPr>
                <w:lang w:val="en-US"/>
              </w:rPr>
              <w:instrText xml:space="preserve"> FILLIN  "Введите дату документа" \* MERGEFORMAT </w:instrText>
            </w:r>
            <w:r w:rsidR="000D0013" w:rsidRPr="00B172D2">
              <w:rPr>
                <w:lang w:val="en-US"/>
              </w:rPr>
              <w:fldChar w:fldCharType="end"/>
            </w:r>
          </w:p>
        </w:tc>
      </w:tr>
    </w:tbl>
    <w:p w:rsidR="00D17A60" w:rsidRPr="00D17A60" w:rsidRDefault="00D17A60" w:rsidP="003B5F95">
      <w:pPr>
        <w:pStyle w:val="HChGR"/>
        <w:spacing w:after="120"/>
      </w:pPr>
      <w:r w:rsidRPr="00D17A60">
        <w:rPr>
          <w:lang w:val="en-US"/>
        </w:rPr>
        <w:tab/>
      </w:r>
      <w:r w:rsidRPr="00D17A60">
        <w:rPr>
          <w:lang w:val="en-US"/>
        </w:rPr>
        <w:tab/>
      </w:r>
      <w:r w:rsidRPr="00D17A60">
        <w:t>Соглашение</w:t>
      </w:r>
    </w:p>
    <w:p w:rsidR="00D17A60" w:rsidRPr="00D17A60" w:rsidRDefault="00D17A60" w:rsidP="003B5F95">
      <w:pPr>
        <w:pStyle w:val="H1GR"/>
        <w:spacing w:before="240"/>
      </w:pPr>
      <w:r w:rsidRPr="00D17A60">
        <w:tab/>
      </w:r>
      <w:r w:rsidRPr="00D17A60">
        <w:tab/>
        <w:t>О принятии единообраз</w:t>
      </w:r>
      <w:r w:rsidR="00D430A1">
        <w:t>ных технических предписаний для</w:t>
      </w:r>
      <w:r w:rsidR="00D430A1">
        <w:rPr>
          <w:lang w:val="en-US"/>
        </w:rPr>
        <w:t> </w:t>
      </w:r>
      <w:r w:rsidRPr="00D17A60">
        <w:t>колесных транспортных ср</w:t>
      </w:r>
      <w:r w:rsidR="003B5F95">
        <w:t xml:space="preserve">едств, предметов </w:t>
      </w:r>
      <w:r w:rsidR="008439DE" w:rsidRPr="008439DE">
        <w:br/>
      </w:r>
      <w:r w:rsidR="003B5F95">
        <w:t>оборудования и</w:t>
      </w:r>
      <w:r w:rsidR="003B5F95">
        <w:rPr>
          <w:lang w:val="en-US"/>
        </w:rPr>
        <w:t> </w:t>
      </w:r>
      <w:r w:rsidRPr="00D17A60">
        <w:t xml:space="preserve">частей, которые могут быть установлены и/или использованы на колесных транспортных средствах, </w:t>
      </w:r>
      <w:r w:rsidR="003B5F95" w:rsidRPr="003B5F95">
        <w:br/>
      </w:r>
      <w:r w:rsidRPr="00D17A60">
        <w:t>и об условиях взаимного признания официальных утверждений, выдаваемых на основе этих предписаний</w:t>
      </w:r>
      <w:r w:rsidR="003B5F95" w:rsidRPr="003B5F95">
        <w:rPr>
          <w:rStyle w:val="FootnoteReference"/>
          <w:b w:val="0"/>
          <w:sz w:val="20"/>
          <w:vertAlign w:val="baseline"/>
          <w:lang w:eastAsia="en-US"/>
        </w:rPr>
        <w:footnoteReference w:customMarkFollows="1" w:id="1"/>
        <w:t xml:space="preserve">* </w:t>
      </w:r>
    </w:p>
    <w:p w:rsidR="00D17A60" w:rsidRPr="00D17A60" w:rsidRDefault="00D17A60" w:rsidP="00D17A60">
      <w:pPr>
        <w:pStyle w:val="SingleTxtGR"/>
      </w:pPr>
      <w:r w:rsidRPr="00D17A60">
        <w:t>(Пересмотр 2, включающий поправки, вступившие в силу 16 октября 1995 года)</w:t>
      </w:r>
    </w:p>
    <w:p w:rsidR="00D17A60" w:rsidRPr="00D17A60" w:rsidRDefault="00D17A60" w:rsidP="003B5F95">
      <w:pPr>
        <w:pStyle w:val="SingleTxtGR"/>
        <w:spacing w:after="0"/>
        <w:jc w:val="center"/>
      </w:pPr>
      <w:r w:rsidRPr="00D17A60">
        <w:t>__________</w:t>
      </w:r>
    </w:p>
    <w:p w:rsidR="00D17A60" w:rsidRPr="00D17A60" w:rsidRDefault="00D17A60" w:rsidP="003B5F95">
      <w:pPr>
        <w:pStyle w:val="HChGR"/>
        <w:spacing w:before="240" w:line="270" w:lineRule="exact"/>
      </w:pPr>
      <w:r w:rsidRPr="00D17A60">
        <w:tab/>
      </w:r>
      <w:r w:rsidRPr="00D17A60">
        <w:tab/>
        <w:t>Добавление 124 − Правила №</w:t>
      </w:r>
      <w:r>
        <w:t xml:space="preserve"> </w:t>
      </w:r>
      <w:r w:rsidRPr="00D17A60">
        <w:t>125</w:t>
      </w:r>
    </w:p>
    <w:p w:rsidR="00D17A60" w:rsidRPr="00D17A60" w:rsidRDefault="00D17A60" w:rsidP="003B5F95">
      <w:pPr>
        <w:pStyle w:val="H1GR"/>
        <w:spacing w:before="240"/>
      </w:pPr>
      <w:r w:rsidRPr="00D17A60">
        <w:tab/>
      </w:r>
      <w:r w:rsidRPr="00D17A60">
        <w:tab/>
        <w:t>Пересмотр 2 − Поправка 1</w:t>
      </w:r>
    </w:p>
    <w:p w:rsidR="00D17A60" w:rsidRPr="00D17A60" w:rsidRDefault="00D17A60" w:rsidP="008B06C5">
      <w:pPr>
        <w:pStyle w:val="SingleTxtGR"/>
      </w:pPr>
      <w:r w:rsidRPr="00D17A60">
        <w:t>Дополнение 1 к поправкам серии 01 − Дата вступления в силу: 8 октября 2016</w:t>
      </w:r>
      <w:r w:rsidR="003B5F95">
        <w:rPr>
          <w:lang w:val="en-US"/>
        </w:rPr>
        <w:t> </w:t>
      </w:r>
      <w:r w:rsidRPr="00D17A60">
        <w:t>года</w:t>
      </w:r>
    </w:p>
    <w:p w:rsidR="00D17A60" w:rsidRPr="00D17A60" w:rsidRDefault="00D17A60" w:rsidP="007F36F5">
      <w:pPr>
        <w:pStyle w:val="H1GR"/>
        <w:spacing w:before="240"/>
      </w:pPr>
      <w:r w:rsidRPr="00D17A60">
        <w:tab/>
      </w:r>
      <w:r w:rsidRPr="00D17A60">
        <w:tab/>
        <w:t>Единообразные предп</w:t>
      </w:r>
      <w:r w:rsidR="003B5F95">
        <w:t>исания, касающиеся официального</w:t>
      </w:r>
      <w:r w:rsidR="007F36F5" w:rsidRPr="007F36F5">
        <w:t xml:space="preserve"> </w:t>
      </w:r>
      <w:r w:rsidRPr="00D17A60">
        <w:t>утверждения автотранспорт</w:t>
      </w:r>
      <w:r w:rsidR="003B5F95">
        <w:t>ных средств в</w:t>
      </w:r>
      <w:r w:rsidR="003B5F95">
        <w:rPr>
          <w:lang w:val="en-US"/>
        </w:rPr>
        <w:t> </w:t>
      </w:r>
      <w:r w:rsidRPr="00D17A60">
        <w:t>отношении поля обзора водителя спереди</w:t>
      </w:r>
    </w:p>
    <w:p w:rsidR="00D17A60" w:rsidRPr="00D17A60" w:rsidRDefault="00D17A60" w:rsidP="003B5F95">
      <w:pPr>
        <w:pStyle w:val="SingleTxtGR"/>
        <w:spacing w:after="0"/>
      </w:pPr>
      <w:r w:rsidRPr="00D17A60">
        <w:t>Настоящий документ опубликован исключительно в информационных целях. Аутентичным и юридически обязательным текстом является документ:</w:t>
      </w:r>
      <w:r w:rsidR="008B06C5" w:rsidRPr="008B06C5">
        <w:t xml:space="preserve"> </w:t>
      </w:r>
      <w:r w:rsidRPr="00D17A60">
        <w:rPr>
          <w:lang w:val="fr-CH"/>
        </w:rPr>
        <w:t>ECE</w:t>
      </w:r>
      <w:r w:rsidRPr="00D17A60">
        <w:t>/</w:t>
      </w:r>
      <w:r w:rsidRPr="00D17A60">
        <w:rPr>
          <w:lang w:val="fr-CH"/>
        </w:rPr>
        <w:t>TRANS</w:t>
      </w:r>
      <w:r w:rsidRPr="00D17A60">
        <w:t>/</w:t>
      </w:r>
      <w:r w:rsidRPr="00D17A60">
        <w:rPr>
          <w:lang w:val="fr-CH"/>
        </w:rPr>
        <w:t>WP</w:t>
      </w:r>
      <w:r w:rsidRPr="00D17A60">
        <w:t xml:space="preserve">.29/2016/15. </w:t>
      </w:r>
    </w:p>
    <w:p w:rsidR="00D17A60" w:rsidRPr="00D17A60" w:rsidRDefault="008B06C5" w:rsidP="003B5F95">
      <w:pPr>
        <w:pStyle w:val="SingleTxtGR"/>
        <w:spacing w:after="0"/>
        <w:jc w:val="center"/>
        <w:rPr>
          <w:u w:val="single"/>
        </w:rPr>
      </w:pPr>
      <w:r w:rsidRPr="00D17A60">
        <w:t>__________</w:t>
      </w:r>
    </w:p>
    <w:p w:rsidR="00D17A60" w:rsidRPr="00D17A60" w:rsidRDefault="00D17A60" w:rsidP="007F36F5">
      <w:pPr>
        <w:pStyle w:val="SingleTxtGR"/>
        <w:spacing w:before="120"/>
        <w:jc w:val="center"/>
      </w:pPr>
      <w:bookmarkStart w:id="1" w:name="_MON_1000209745"/>
      <w:bookmarkEnd w:id="1"/>
      <w:r w:rsidRPr="00D17A60">
        <w:rPr>
          <w:noProof/>
          <w:lang w:val="en-GB" w:eastAsia="en-GB"/>
        </w:rPr>
        <w:drawing>
          <wp:inline distT="0" distB="0" distL="0" distR="0" wp14:anchorId="24695B36" wp14:editId="78DCF656">
            <wp:extent cx="616585" cy="5740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574040"/>
                    </a:xfrm>
                    <a:prstGeom prst="rect">
                      <a:avLst/>
                    </a:prstGeom>
                    <a:noFill/>
                    <a:ln>
                      <a:noFill/>
                    </a:ln>
                  </pic:spPr>
                </pic:pic>
              </a:graphicData>
            </a:graphic>
          </wp:inline>
        </w:drawing>
      </w:r>
    </w:p>
    <w:p w:rsidR="008439DE" w:rsidRDefault="00D17A60" w:rsidP="008439DE">
      <w:pPr>
        <w:pStyle w:val="SingleTxtGR"/>
        <w:spacing w:after="0"/>
        <w:jc w:val="center"/>
        <w:rPr>
          <w:b/>
          <w:lang w:val="en-US"/>
        </w:rPr>
      </w:pPr>
      <w:r w:rsidRPr="008B06C5">
        <w:rPr>
          <w:b/>
        </w:rPr>
        <w:t>ОРГАНИЗАЦИЯ ОБЪЕДИНЕННЫХ НАЦИЙ</w:t>
      </w:r>
    </w:p>
    <w:p w:rsidR="00D17A60" w:rsidRPr="001C3A18" w:rsidRDefault="00D17A60" w:rsidP="008439DE">
      <w:pPr>
        <w:pStyle w:val="SingleTxtGR"/>
        <w:jc w:val="left"/>
      </w:pPr>
      <w:r w:rsidRPr="00D17A60">
        <w:br w:type="page"/>
      </w:r>
      <w:r w:rsidRPr="003B5F95">
        <w:rPr>
          <w:i/>
        </w:rPr>
        <w:lastRenderedPageBreak/>
        <w:t xml:space="preserve">Пункт 5.1.3 </w:t>
      </w:r>
      <w:r w:rsidRPr="001C3A18">
        <w:t>изменить следующим образом:</w:t>
      </w:r>
    </w:p>
    <w:p w:rsidR="00D17A60" w:rsidRPr="00D17A60" w:rsidRDefault="00D17A60" w:rsidP="003B5F95">
      <w:pPr>
        <w:pStyle w:val="SingleTxtGR"/>
        <w:ind w:left="2268" w:hanging="1134"/>
      </w:pPr>
      <w:r w:rsidRPr="00D17A60">
        <w:t>«5.1.3</w:t>
      </w:r>
      <w:r w:rsidRPr="00D17A60">
        <w:tab/>
      </w:r>
      <w:r w:rsidR="003B5F95" w:rsidRPr="003B5F95">
        <w:tab/>
      </w:r>
      <w:r w:rsidRPr="00D17A60">
        <w:t>За исключением предусмотренного в пунктах 5.1.3.3 или 5.1.3.4 ниже, помимо помех, создаваемых передними стойками кузова, разделительными стойками неподвижных или подвижных форточек или секций боковых окон, внешними радиоантеннами, устройствами непрямого обзора, охватывающими обязательное поле непрямого обзора, и стеклоочистителями…</w:t>
      </w:r>
    </w:p>
    <w:p w:rsidR="00D17A60" w:rsidRPr="00D17A60" w:rsidRDefault="00D17A60" w:rsidP="00D17A60">
      <w:pPr>
        <w:pStyle w:val="SingleTxtGR"/>
      </w:pPr>
      <w:r w:rsidRPr="00D17A60">
        <w:tab/>
      </w:r>
      <w:r w:rsidRPr="00D17A60">
        <w:tab/>
        <w:t>...»</w:t>
      </w:r>
    </w:p>
    <w:p w:rsidR="00D17A60" w:rsidRPr="00D17A60" w:rsidRDefault="00D17A60" w:rsidP="00D17A60">
      <w:pPr>
        <w:pStyle w:val="SingleTxtGR"/>
      </w:pPr>
      <w:r w:rsidRPr="00D17A60">
        <w:rPr>
          <w:i/>
        </w:rPr>
        <w:t>Включить новые пункты 5.1.3.1 и 5.1.3.2</w:t>
      </w:r>
      <w:r w:rsidRPr="00D17A60">
        <w:t xml:space="preserve"> следующего содержания (вместе с новой сноской </w:t>
      </w:r>
      <w:r w:rsidRPr="00D17A60">
        <w:rPr>
          <w:vertAlign w:val="superscript"/>
        </w:rPr>
        <w:t>6</w:t>
      </w:r>
      <w:r w:rsidRPr="00D17A60">
        <w:t>):</w:t>
      </w:r>
    </w:p>
    <w:p w:rsidR="00D17A60" w:rsidRPr="00D17A60" w:rsidRDefault="00D17A60" w:rsidP="003B5F95">
      <w:pPr>
        <w:pStyle w:val="SingleTxtGR"/>
        <w:ind w:left="2268" w:hanging="1134"/>
      </w:pPr>
      <w:r w:rsidRPr="00D17A60">
        <w:t>«5.1.3.1</w:t>
      </w:r>
      <w:r w:rsidRPr="00D17A60">
        <w:tab/>
        <w:t>В случае устройств видеокамеры/видеомонитора исключения, указанные в пункте 5.1.3, применяются к видеокамерам, в том числе к их держателям и кожухам, которые установлены с внешней стороны транспортного средства. На систему видеокамеры/видео</w:t>
      </w:r>
      <w:r w:rsidR="001A5188" w:rsidRPr="001A5188">
        <w:t>-</w:t>
      </w:r>
      <w:r w:rsidRPr="00D17A60">
        <w:t>монитора, заменяющей зеркало заднего вида класса I, распространяется то же исключение.</w:t>
      </w:r>
    </w:p>
    <w:p w:rsidR="00D17A60" w:rsidRPr="00D17A60" w:rsidRDefault="00D17A60" w:rsidP="003B5F95">
      <w:pPr>
        <w:pStyle w:val="SingleTxtGR"/>
        <w:ind w:left="2268" w:hanging="1134"/>
      </w:pPr>
      <w:r w:rsidRPr="00D17A60">
        <w:t>5.1.3.2</w:t>
      </w:r>
      <w:r w:rsidRPr="00D17A60">
        <w:tab/>
        <w:t>В случае транспортных средств, которые оснащены стандартным оборудованием и официально утверждены с зеркалами заднего вида, которые могут быть в факультативном порядке заменены устройствами видеокамеры/видеомонитора, исключения, указанные в пункте 5.1.3, применяются также к мониторам при условии, что</w:t>
      </w:r>
      <w:r w:rsidRPr="00D17A60">
        <w:rPr>
          <w:vertAlign w:val="superscript"/>
        </w:rPr>
        <w:t>6</w:t>
      </w:r>
      <w:r w:rsidRPr="00D17A60">
        <w:t>:</w:t>
      </w:r>
    </w:p>
    <w:p w:rsidR="00D17A60" w:rsidRPr="00D17A60" w:rsidRDefault="00D17A60" w:rsidP="00D86A82">
      <w:pPr>
        <w:pStyle w:val="SingleTxtGR"/>
        <w:tabs>
          <w:tab w:val="clear" w:pos="2268"/>
          <w:tab w:val="clear" w:pos="2835"/>
          <w:tab w:val="left" w:pos="2842"/>
        </w:tabs>
        <w:ind w:left="2835" w:hanging="567"/>
      </w:pPr>
      <w:r w:rsidRPr="00D17A60">
        <w:t>а)</w:t>
      </w:r>
      <w:r w:rsidRPr="00D17A60">
        <w:tab/>
        <w:t>создаваемые ими помехи в поле обзора водителя спереди не превышают уровня помех, создаваемых соответствующим зеркалом заднего вида, в том числе его кожухом и держателем;</w:t>
      </w:r>
    </w:p>
    <w:p w:rsidR="00D17A60" w:rsidRPr="00D17A60" w:rsidRDefault="00D17A60" w:rsidP="00D86A82">
      <w:pPr>
        <w:pStyle w:val="SingleTxtGR"/>
        <w:ind w:left="2835" w:hanging="567"/>
      </w:pPr>
      <w:r w:rsidRPr="00D17A60">
        <w:rPr>
          <w:lang w:val="en-US"/>
        </w:rPr>
        <w:t>b</w:t>
      </w:r>
      <w:r w:rsidRPr="00D17A60">
        <w:t>)</w:t>
      </w:r>
      <w:r w:rsidRPr="00D17A60">
        <w:tab/>
        <w:t>монитор установлен как можно ближе к положению зеркала заднего вида, которое он заменяет.</w:t>
      </w:r>
    </w:p>
    <w:p w:rsidR="00D17A60" w:rsidRPr="00D17A60" w:rsidRDefault="00D17A60" w:rsidP="00D86A82">
      <w:pPr>
        <w:pStyle w:val="SingleTxtGR"/>
        <w:ind w:left="567"/>
        <w:rPr>
          <w:vertAlign w:val="superscript"/>
        </w:rPr>
      </w:pPr>
      <w:r w:rsidRPr="00D17A60">
        <w:rPr>
          <w:vertAlign w:val="superscript"/>
        </w:rPr>
        <w:t>______________</w:t>
      </w:r>
    </w:p>
    <w:p w:rsidR="00D17A60" w:rsidRPr="008439DE" w:rsidRDefault="00D86A82" w:rsidP="008439DE">
      <w:pPr>
        <w:pStyle w:val="SingleTxtGR"/>
        <w:tabs>
          <w:tab w:val="left" w:pos="851"/>
          <w:tab w:val="left" w:pos="1148"/>
        </w:tabs>
        <w:ind w:left="1162" w:hanging="595"/>
        <w:jc w:val="left"/>
        <w:rPr>
          <w:sz w:val="18"/>
          <w:szCs w:val="18"/>
        </w:rPr>
      </w:pPr>
      <w:r>
        <w:rPr>
          <w:vertAlign w:val="superscript"/>
          <w:lang w:val="en-US"/>
        </w:rPr>
        <w:tab/>
      </w:r>
      <w:r w:rsidR="00D17A60" w:rsidRPr="008439DE">
        <w:rPr>
          <w:sz w:val="18"/>
          <w:szCs w:val="18"/>
          <w:vertAlign w:val="superscript"/>
        </w:rPr>
        <w:t>6</w:t>
      </w:r>
      <w:r w:rsidR="00D17A60" w:rsidRPr="00D17A60">
        <w:tab/>
      </w:r>
      <w:r w:rsidR="00D17A60" w:rsidRPr="008439DE">
        <w:rPr>
          <w:sz w:val="18"/>
          <w:szCs w:val="18"/>
        </w:rPr>
        <w:t xml:space="preserve">См. пункт 46 доклада </w:t>
      </w:r>
      <w:r w:rsidR="00D17A60" w:rsidRPr="008439DE">
        <w:rPr>
          <w:sz w:val="18"/>
          <w:szCs w:val="18"/>
          <w:lang w:val="es-ES"/>
        </w:rPr>
        <w:t>ECE</w:t>
      </w:r>
      <w:r w:rsidR="00D17A60" w:rsidRPr="008439DE">
        <w:rPr>
          <w:sz w:val="18"/>
          <w:szCs w:val="18"/>
        </w:rPr>
        <w:t>/</w:t>
      </w:r>
      <w:r w:rsidR="00D17A60" w:rsidRPr="008439DE">
        <w:rPr>
          <w:sz w:val="18"/>
          <w:szCs w:val="18"/>
          <w:lang w:val="es-ES"/>
        </w:rPr>
        <w:t>TRANS</w:t>
      </w:r>
      <w:r w:rsidR="00D17A60" w:rsidRPr="008439DE">
        <w:rPr>
          <w:sz w:val="18"/>
          <w:szCs w:val="18"/>
        </w:rPr>
        <w:t>/</w:t>
      </w:r>
      <w:r w:rsidR="00D17A60" w:rsidRPr="008439DE">
        <w:rPr>
          <w:sz w:val="18"/>
          <w:szCs w:val="18"/>
          <w:lang w:val="es-ES"/>
        </w:rPr>
        <w:t>WP</w:t>
      </w:r>
      <w:r w:rsidR="00D17A60" w:rsidRPr="008439DE">
        <w:rPr>
          <w:sz w:val="18"/>
          <w:szCs w:val="18"/>
        </w:rPr>
        <w:t>.29/</w:t>
      </w:r>
      <w:r w:rsidR="00D17A60" w:rsidRPr="008439DE">
        <w:rPr>
          <w:sz w:val="18"/>
          <w:szCs w:val="18"/>
          <w:lang w:val="es-ES"/>
        </w:rPr>
        <w:t>GRSG</w:t>
      </w:r>
      <w:r w:rsidR="00D17A60" w:rsidRPr="008439DE">
        <w:rPr>
          <w:sz w:val="18"/>
          <w:szCs w:val="18"/>
        </w:rPr>
        <w:t xml:space="preserve">/88, касающийся периода </w:t>
      </w:r>
      <w:r w:rsidR="00397BFD" w:rsidRPr="008439DE">
        <w:rPr>
          <w:sz w:val="18"/>
          <w:szCs w:val="18"/>
        </w:rPr>
        <w:br/>
      </w:r>
      <w:r w:rsidR="00D17A60" w:rsidRPr="008439DE">
        <w:rPr>
          <w:sz w:val="18"/>
          <w:szCs w:val="18"/>
        </w:rPr>
        <w:t>применения этого пункта.</w:t>
      </w:r>
      <w:r w:rsidR="00D17A60" w:rsidRPr="001A5188">
        <w:t>»</w:t>
      </w:r>
    </w:p>
    <w:p w:rsidR="00D17A60" w:rsidRDefault="00D17A60" w:rsidP="00D17A60">
      <w:pPr>
        <w:pStyle w:val="SingleTxtGR"/>
        <w:rPr>
          <w:lang w:val="en-US"/>
        </w:rPr>
      </w:pPr>
      <w:r w:rsidRPr="00D17A60">
        <w:rPr>
          <w:i/>
        </w:rPr>
        <w:t>Пункты</w:t>
      </w:r>
      <w:r w:rsidRPr="00D17A60">
        <w:rPr>
          <w:lang w:val="en-US"/>
        </w:rPr>
        <w:t xml:space="preserve"> </w:t>
      </w:r>
      <w:r w:rsidRPr="00D17A60">
        <w:rPr>
          <w:i/>
          <w:lang w:val="en-US"/>
        </w:rPr>
        <w:t>5.1.3.1–5.1.3.2.2 (</w:t>
      </w:r>
      <w:r w:rsidRPr="00D17A60">
        <w:rPr>
          <w:i/>
        </w:rPr>
        <w:t>прежние</w:t>
      </w:r>
      <w:r w:rsidRPr="00D17A60">
        <w:rPr>
          <w:i/>
          <w:lang w:val="en-US"/>
        </w:rPr>
        <w:t>),</w:t>
      </w:r>
      <w:r w:rsidRPr="00D17A60">
        <w:rPr>
          <w:lang w:val="en-GB"/>
        </w:rPr>
        <w:t xml:space="preserve"> </w:t>
      </w:r>
      <w:r w:rsidRPr="00D17A60">
        <w:t>изменить нумерацию</w:t>
      </w:r>
      <w:r w:rsidRPr="00D17A60">
        <w:rPr>
          <w:lang w:val="en-US"/>
        </w:rPr>
        <w:t xml:space="preserve"> 5.1.3.3</w:t>
      </w:r>
      <w:r w:rsidRPr="00D17A60">
        <w:t>–</w:t>
      </w:r>
      <w:r w:rsidRPr="00D17A60">
        <w:rPr>
          <w:lang w:val="en-US"/>
        </w:rPr>
        <w:t>5.1.3.4.2.</w:t>
      </w:r>
    </w:p>
    <w:p w:rsidR="00760D3A" w:rsidRPr="00D86A82" w:rsidRDefault="00D86A82" w:rsidP="00D86A82">
      <w:pPr>
        <w:spacing w:before="240"/>
        <w:jc w:val="center"/>
        <w:rPr>
          <w:u w:val="single"/>
        </w:rPr>
      </w:pPr>
      <w:r>
        <w:rPr>
          <w:u w:val="single"/>
        </w:rPr>
        <w:tab/>
      </w:r>
      <w:r>
        <w:rPr>
          <w:u w:val="single"/>
        </w:rPr>
        <w:tab/>
      </w:r>
      <w:r>
        <w:rPr>
          <w:u w:val="single"/>
        </w:rPr>
        <w:tab/>
      </w:r>
    </w:p>
    <w:sectPr w:rsidR="00760D3A" w:rsidRPr="00D86A82" w:rsidSect="000D0013">
      <w:headerReference w:type="even" r:id="rId9"/>
      <w:headerReference w:type="default" r:id="rId10"/>
      <w:footerReference w:type="even" r:id="rId11"/>
      <w:footerReference w:type="default" r:id="rId12"/>
      <w:footerReference w:type="first" r:id="rId13"/>
      <w:pgSz w:w="11907" w:h="16840" w:code="9"/>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21E" w:rsidRDefault="0008521E" w:rsidP="00B471C5">
      <w:r>
        <w:separator/>
      </w:r>
    </w:p>
  </w:endnote>
  <w:endnote w:type="continuationSeparator" w:id="0">
    <w:p w:rsidR="0008521E" w:rsidRDefault="0008521E" w:rsidP="00B47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7B" w:rsidRPr="009A6F4A" w:rsidRDefault="000D0013" w:rsidP="00DB4DEC">
    <w:pPr>
      <w:pStyle w:val="Footer"/>
      <w:rPr>
        <w:lang w:val="en-US"/>
      </w:rPr>
    </w:pPr>
    <w:r>
      <w:rPr>
        <w:rStyle w:val="PageNumber"/>
      </w:rPr>
      <w:fldChar w:fldCharType="begin"/>
    </w:r>
    <w:r>
      <w:rPr>
        <w:rStyle w:val="PageNumber"/>
      </w:rPr>
      <w:instrText xml:space="preserve"> PAGE </w:instrText>
    </w:r>
    <w:r>
      <w:rPr>
        <w:rStyle w:val="PageNumber"/>
      </w:rPr>
      <w:fldChar w:fldCharType="separate"/>
    </w:r>
    <w:r w:rsidR="00C229E6">
      <w:rPr>
        <w:rStyle w:val="PageNumber"/>
        <w:noProof/>
      </w:rPr>
      <w:t>2</w:t>
    </w:r>
    <w:r>
      <w:rPr>
        <w:rStyle w:val="PageNumber"/>
      </w:rPr>
      <w:fldChar w:fldCharType="end"/>
    </w:r>
    <w:r>
      <w:rPr>
        <w:lang w:val="en-US"/>
      </w:rPr>
      <w:tab/>
      <w:t>GE.1</w:t>
    </w:r>
    <w:r w:rsidR="00397BFD">
      <w:rPr>
        <w:lang w:val="en-US"/>
      </w:rPr>
      <w:t>6</w:t>
    </w:r>
    <w:r>
      <w:rPr>
        <w:lang w:val="en-US"/>
      </w:rPr>
      <w:t>-</w:t>
    </w:r>
    <w:r w:rsidR="00397BFD">
      <w:rPr>
        <w:lang w:val="en-US"/>
      </w:rPr>
      <w:t>17890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7B" w:rsidRPr="009A6F4A" w:rsidRDefault="000D0013" w:rsidP="00DB4DEC">
    <w:pPr>
      <w:pStyle w:val="Footer"/>
      <w:rPr>
        <w:lang w:val="en-US"/>
      </w:rPr>
    </w:pPr>
    <w:r>
      <w:rPr>
        <w:lang w:val="en-US"/>
      </w:rPr>
      <w:t>GE.15-</w:t>
    </w:r>
    <w:r>
      <w:rPr>
        <w:lang w:val="en-US"/>
      </w:rPr>
      <w:tab/>
    </w:r>
    <w:r>
      <w:rPr>
        <w:rStyle w:val="PageNumber"/>
      </w:rPr>
      <w:fldChar w:fldCharType="begin"/>
    </w:r>
    <w:r>
      <w:rPr>
        <w:rStyle w:val="PageNumber"/>
      </w:rPr>
      <w:instrText xml:space="preserve"> PAGE </w:instrText>
    </w:r>
    <w:r>
      <w:rPr>
        <w:rStyle w:val="PageNumber"/>
      </w:rPr>
      <w:fldChar w:fldCharType="separate"/>
    </w:r>
    <w:r w:rsidR="008439DE">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1E0" w:firstRow="1" w:lastRow="1" w:firstColumn="1" w:lastColumn="1" w:noHBand="0" w:noVBand="0"/>
    </w:tblPr>
    <w:tblGrid>
      <w:gridCol w:w="3648"/>
      <w:gridCol w:w="5056"/>
      <w:gridCol w:w="972"/>
    </w:tblGrid>
    <w:tr w:rsidR="00870BCD" w:rsidRPr="00797A78" w:rsidTr="007B199D">
      <w:trPr>
        <w:trHeight w:val="431"/>
      </w:trPr>
      <w:tc>
        <w:tcPr>
          <w:tcW w:w="3648" w:type="dxa"/>
          <w:tcMar>
            <w:left w:w="57" w:type="dxa"/>
            <w:right w:w="57" w:type="dxa"/>
          </w:tcMar>
          <w:vAlign w:val="bottom"/>
        </w:tcPr>
        <w:p w:rsidR="00870BCD" w:rsidRPr="001C3ABC" w:rsidRDefault="00870BCD" w:rsidP="007B199D">
          <w:pPr>
            <w:spacing w:after="40"/>
            <w:rPr>
              <w:rFonts w:ascii="C39T30Lfz" w:hAnsi="C39T30Lfz"/>
              <w:spacing w:val="0"/>
              <w:w w:val="100"/>
              <w:kern w:val="0"/>
              <w:lang w:val="en-US" w:eastAsia="ru-RU"/>
            </w:rPr>
          </w:pPr>
          <w:r w:rsidRPr="001C3ABC">
            <w:rPr>
              <w:lang w:val="en-US"/>
            </w:rPr>
            <w:t>GE.16-</w:t>
          </w:r>
          <w:r w:rsidR="002E117C">
            <w:rPr>
              <w:lang w:val="en-US"/>
            </w:rPr>
            <w:t>17890</w:t>
          </w:r>
          <w:r w:rsidRPr="001C3ABC">
            <w:rPr>
              <w:lang w:val="en-US"/>
            </w:rPr>
            <w:t xml:space="preserve"> (R)</w:t>
          </w:r>
          <w:r w:rsidR="002E117C">
            <w:rPr>
              <w:lang w:val="en-US"/>
            </w:rPr>
            <w:t xml:space="preserve">  021116  021116</w:t>
          </w:r>
        </w:p>
      </w:tc>
      <w:tc>
        <w:tcPr>
          <w:tcW w:w="5056" w:type="dxa"/>
          <w:vMerge w:val="restart"/>
          <w:tcMar>
            <w:left w:w="57" w:type="dxa"/>
            <w:right w:w="57" w:type="dxa"/>
          </w:tcMar>
          <w:vAlign w:val="bottom"/>
        </w:tcPr>
        <w:p w:rsidR="00870BCD" w:rsidRDefault="00870BCD" w:rsidP="007B199D">
          <w:pPr>
            <w:jc w:val="right"/>
          </w:pPr>
          <w:r>
            <w:rPr>
              <w:b/>
              <w:noProof/>
              <w:lang w:val="en-GB" w:eastAsia="en-GB"/>
            </w:rPr>
            <w:drawing>
              <wp:inline distT="0" distB="0" distL="0" distR="0" wp14:anchorId="7CF6FF69" wp14:editId="2AB16977">
                <wp:extent cx="2655481" cy="277586"/>
                <wp:effectExtent l="0" t="0" r="0" b="8255"/>
                <wp:docPr id="3" name="Рисунок 3"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704465" cy="28270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72" w:type="dxa"/>
          <w:vMerge w:val="restart"/>
          <w:tcMar>
            <w:left w:w="57" w:type="dxa"/>
            <w:right w:w="0" w:type="dxa"/>
          </w:tcMar>
          <w:vAlign w:val="bottom"/>
        </w:tcPr>
        <w:p w:rsidR="00870BCD" w:rsidRDefault="002E117C" w:rsidP="007B199D">
          <w:pPr>
            <w:jc w:val="right"/>
          </w:pPr>
          <w:r>
            <w:rPr>
              <w:noProof/>
              <w:lang w:val="en-GB" w:eastAsia="en-GB"/>
            </w:rPr>
            <w:drawing>
              <wp:inline distT="0" distB="0" distL="0" distR="0">
                <wp:extent cx="584200" cy="584200"/>
                <wp:effectExtent l="0" t="0" r="6350" b="6350"/>
                <wp:docPr id="4" name="Рисунок 4" descr="http://undocs.org/m2/QRCode.ashx?DS=E/ECE/324/Rev.2/Add.124/Rev.2/Amend.1&amp;Size=2 &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ECE/324/Rev.2/Add.124/Rev.2/Amend.1&amp;Size=2 &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r w:rsidR="00870BCD" w:rsidRPr="00797A78" w:rsidTr="007B199D">
      <w:trPr>
        <w:trHeight w:hRule="exact" w:val="564"/>
      </w:trPr>
      <w:tc>
        <w:tcPr>
          <w:tcW w:w="3648" w:type="dxa"/>
          <w:tcMar>
            <w:left w:w="57" w:type="dxa"/>
            <w:right w:w="57" w:type="dxa"/>
          </w:tcMar>
          <w:vAlign w:val="bottom"/>
        </w:tcPr>
        <w:p w:rsidR="00870BCD" w:rsidRPr="002E117C" w:rsidRDefault="002E117C" w:rsidP="007B199D">
          <w:pPr>
            <w:spacing w:after="40"/>
            <w:rPr>
              <w:rFonts w:ascii="C39T30Lfz" w:hAnsi="C39T30Lfz"/>
              <w:spacing w:val="0"/>
              <w:w w:val="100"/>
              <w:kern w:val="0"/>
              <w:sz w:val="56"/>
              <w:szCs w:val="56"/>
              <w:lang w:val="en-US" w:eastAsia="ru-RU"/>
            </w:rPr>
          </w:pPr>
          <w:r w:rsidRPr="002E117C">
            <w:rPr>
              <w:rFonts w:ascii="C39T30Lfz" w:hAnsi="C39T30Lfz"/>
              <w:spacing w:val="0"/>
              <w:w w:val="100"/>
              <w:kern w:val="0"/>
              <w:sz w:val="56"/>
              <w:szCs w:val="56"/>
              <w:lang w:val="en-US" w:eastAsia="ru-RU"/>
            </w:rPr>
            <w:t></w:t>
          </w:r>
          <w:r w:rsidRPr="002E117C">
            <w:rPr>
              <w:rFonts w:ascii="C39T30Lfz" w:hAnsi="C39T30Lfz"/>
              <w:spacing w:val="0"/>
              <w:w w:val="100"/>
              <w:kern w:val="0"/>
              <w:sz w:val="56"/>
              <w:szCs w:val="56"/>
              <w:lang w:val="en-US" w:eastAsia="ru-RU"/>
            </w:rPr>
            <w:t></w:t>
          </w:r>
          <w:r w:rsidRPr="002E117C">
            <w:rPr>
              <w:rFonts w:ascii="C39T30Lfz" w:hAnsi="C39T30Lfz"/>
              <w:spacing w:val="0"/>
              <w:w w:val="100"/>
              <w:kern w:val="0"/>
              <w:sz w:val="56"/>
              <w:szCs w:val="56"/>
              <w:lang w:val="en-US" w:eastAsia="ru-RU"/>
            </w:rPr>
            <w:t></w:t>
          </w:r>
          <w:r w:rsidRPr="002E117C">
            <w:rPr>
              <w:rFonts w:ascii="C39T30Lfz" w:hAnsi="C39T30Lfz"/>
              <w:spacing w:val="0"/>
              <w:w w:val="100"/>
              <w:kern w:val="0"/>
              <w:sz w:val="56"/>
              <w:szCs w:val="56"/>
              <w:lang w:val="en-US" w:eastAsia="ru-RU"/>
            </w:rPr>
            <w:t></w:t>
          </w:r>
          <w:r w:rsidRPr="002E117C">
            <w:rPr>
              <w:rFonts w:ascii="C39T30Lfz" w:hAnsi="C39T30Lfz"/>
              <w:spacing w:val="0"/>
              <w:w w:val="100"/>
              <w:kern w:val="0"/>
              <w:sz w:val="56"/>
              <w:szCs w:val="56"/>
              <w:lang w:val="en-US" w:eastAsia="ru-RU"/>
            </w:rPr>
            <w:t></w:t>
          </w:r>
          <w:r w:rsidRPr="002E117C">
            <w:rPr>
              <w:rFonts w:ascii="C39T30Lfz" w:hAnsi="C39T30Lfz"/>
              <w:spacing w:val="0"/>
              <w:w w:val="100"/>
              <w:kern w:val="0"/>
              <w:sz w:val="56"/>
              <w:szCs w:val="56"/>
              <w:lang w:val="en-US" w:eastAsia="ru-RU"/>
            </w:rPr>
            <w:t></w:t>
          </w:r>
          <w:r w:rsidRPr="002E117C">
            <w:rPr>
              <w:rFonts w:ascii="C39T30Lfz" w:hAnsi="C39T30Lfz"/>
              <w:spacing w:val="0"/>
              <w:w w:val="100"/>
              <w:kern w:val="0"/>
              <w:sz w:val="56"/>
              <w:szCs w:val="56"/>
              <w:lang w:val="en-US" w:eastAsia="ru-RU"/>
            </w:rPr>
            <w:t></w:t>
          </w:r>
          <w:r w:rsidRPr="002E117C">
            <w:rPr>
              <w:rFonts w:ascii="C39T30Lfz" w:hAnsi="C39T30Lfz"/>
              <w:spacing w:val="0"/>
              <w:w w:val="100"/>
              <w:kern w:val="0"/>
              <w:sz w:val="56"/>
              <w:szCs w:val="56"/>
              <w:lang w:val="en-US" w:eastAsia="ru-RU"/>
            </w:rPr>
            <w:t></w:t>
          </w:r>
          <w:r w:rsidRPr="002E117C">
            <w:rPr>
              <w:rFonts w:ascii="C39T30Lfz" w:hAnsi="C39T30Lfz"/>
              <w:spacing w:val="0"/>
              <w:w w:val="100"/>
              <w:kern w:val="0"/>
              <w:sz w:val="56"/>
              <w:szCs w:val="56"/>
              <w:lang w:val="en-US" w:eastAsia="ru-RU"/>
            </w:rPr>
            <w:t></w:t>
          </w:r>
        </w:p>
      </w:tc>
      <w:tc>
        <w:tcPr>
          <w:tcW w:w="5056" w:type="dxa"/>
          <w:vMerge/>
          <w:tcMar>
            <w:left w:w="57" w:type="dxa"/>
            <w:right w:w="57" w:type="dxa"/>
          </w:tcMar>
        </w:tcPr>
        <w:p w:rsidR="00870BCD" w:rsidRDefault="00870BCD" w:rsidP="007B199D"/>
      </w:tc>
      <w:tc>
        <w:tcPr>
          <w:tcW w:w="972" w:type="dxa"/>
          <w:vMerge/>
          <w:tcMar>
            <w:left w:w="57" w:type="dxa"/>
            <w:right w:w="57" w:type="dxa"/>
          </w:tcMar>
        </w:tcPr>
        <w:p w:rsidR="00870BCD" w:rsidRDefault="00870BCD" w:rsidP="007B199D"/>
      </w:tc>
    </w:tr>
  </w:tbl>
  <w:p w:rsidR="0057343B" w:rsidRDefault="00C229E6" w:rsidP="0057343B">
    <w:pPr>
      <w:spacing w:line="240" w:lineRule="auto"/>
      <w:rPr>
        <w:sz w:val="2"/>
        <w:szCs w:val="2"/>
        <w:lang w:val="en-US"/>
      </w:rPr>
    </w:pPr>
  </w:p>
  <w:p w:rsidR="0001587B" w:rsidRPr="00730BCB" w:rsidRDefault="000D0013" w:rsidP="00730BCB">
    <w:pPr>
      <w:pStyle w:val="Footer"/>
      <w:rPr>
        <w:sz w:val="2"/>
        <w:szCs w:val="2"/>
      </w:rPr>
    </w:pPr>
    <w:r>
      <w:rPr>
        <w:noProof/>
        <w:sz w:val="2"/>
        <w:szCs w:val="2"/>
        <w:lang w:eastAsia="en-GB"/>
      </w:rPr>
      <mc:AlternateContent>
        <mc:Choice Requires="wps">
          <w:drawing>
            <wp:anchor distT="0" distB="0" distL="114300" distR="114300" simplePos="0" relativeHeight="251659264" behindDoc="0" locked="0" layoutInCell="1" allowOverlap="1" wp14:anchorId="7327B98B" wp14:editId="5605F5FE">
              <wp:simplePos x="0" y="0"/>
              <wp:positionH relativeFrom="column">
                <wp:posOffset>8763000</wp:posOffset>
              </wp:positionH>
              <wp:positionV relativeFrom="paragraph">
                <wp:posOffset>-2453005</wp:posOffset>
              </wp:positionV>
              <wp:extent cx="457200" cy="2069465"/>
              <wp:effectExtent l="0" t="444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6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0BCB" w:rsidRDefault="00C229E6" w:rsidP="00730BCB">
                          <w:pPr>
                            <w:rPr>
                              <w:lang w:val="en-US"/>
                            </w:rPr>
                          </w:pPr>
                        </w:p>
                        <w:p w:rsidR="00730BCB" w:rsidRDefault="000D0013" w:rsidP="00730BCB">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C229E6">
                            <w:rPr>
                              <w:rStyle w:val="PageNumber"/>
                              <w:noProof/>
                            </w:rPr>
                            <w:t>1</w:t>
                          </w:r>
                          <w:r>
                            <w:rPr>
                              <w:rStyle w:val="PageNumber"/>
                            </w:rPr>
                            <w:fldChar w:fldCharType="end"/>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27B98B" id="_x0000_t202" coordsize="21600,21600" o:spt="202" path="m,l,21600r21600,l21600,xe">
              <v:stroke joinstyle="miter"/>
              <v:path gradientshapeok="t" o:connecttype="rect"/>
            </v:shapetype>
            <v:shape id="Text Box 1" o:spid="_x0000_s1026" type="#_x0000_t202" style="position:absolute;margin-left:690pt;margin-top:-193.15pt;width:36pt;height:1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" filled="f" stroked="f">
              <v:textbox style="layout-flow:vertical" inset="0,0,0,0">
                <w:txbxContent>
                  <w:p w:rsidR="00730BCB" w:rsidRDefault="00C229E6" w:rsidP="00730BCB">
                    <w:pPr>
                      <w:rPr>
                        <w:lang w:val="en-US"/>
                      </w:rPr>
                    </w:pPr>
                  </w:p>
                  <w:p w:rsidR="00730BCB" w:rsidRDefault="000D0013" w:rsidP="00730BCB">
                    <w:pPr>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C229E6">
                      <w:rPr>
                        <w:rStyle w:val="PageNumber"/>
                        <w:noProof/>
                      </w:rPr>
                      <w:t>1</w:t>
                    </w:r>
                    <w:r>
                      <w:rPr>
                        <w:rStyle w:val="PageNumb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21E" w:rsidRPr="009141DC" w:rsidRDefault="0008521E" w:rsidP="00D1261C">
      <w:pPr>
        <w:tabs>
          <w:tab w:val="left" w:pos="2268"/>
        </w:tabs>
        <w:spacing w:after="80"/>
        <w:ind w:left="680"/>
        <w:rPr>
          <w:u w:val="single"/>
          <w:lang w:val="en-US"/>
        </w:rPr>
      </w:pPr>
      <w:r>
        <w:rPr>
          <w:u w:val="single"/>
          <w:lang w:val="en-US"/>
        </w:rPr>
        <w:tab/>
      </w:r>
    </w:p>
  </w:footnote>
  <w:footnote w:type="continuationSeparator" w:id="0">
    <w:p w:rsidR="0008521E" w:rsidRPr="00D1261C" w:rsidRDefault="0008521E" w:rsidP="00D1261C">
      <w:pPr>
        <w:tabs>
          <w:tab w:val="left" w:pos="2268"/>
        </w:tabs>
        <w:spacing w:after="80"/>
        <w:rPr>
          <w:u w:val="single"/>
          <w:lang w:val="en-US"/>
        </w:rPr>
      </w:pPr>
      <w:r>
        <w:rPr>
          <w:u w:val="single"/>
          <w:lang w:val="en-US"/>
        </w:rPr>
        <w:tab/>
      </w:r>
    </w:p>
  </w:footnote>
  <w:footnote w:id="1">
    <w:p w:rsidR="003B5F95" w:rsidRPr="003B5F95" w:rsidRDefault="003B5F95">
      <w:pPr>
        <w:pStyle w:val="FootnoteText"/>
        <w:rPr>
          <w:lang w:val="ru-RU"/>
        </w:rPr>
      </w:pPr>
      <w:r>
        <w:tab/>
      </w:r>
      <w:r w:rsidRPr="003B5F95">
        <w:rPr>
          <w:rStyle w:val="FootnoteReference"/>
          <w:sz w:val="20"/>
          <w:vertAlign w:val="baseline"/>
          <w:lang w:val="ru-RU"/>
        </w:rPr>
        <w:t>*</w:t>
      </w:r>
      <w:r w:rsidRPr="003B5F95">
        <w:rPr>
          <w:lang w:val="ru-RU"/>
        </w:rPr>
        <w:t xml:space="preserve"> </w:t>
      </w:r>
      <w:r w:rsidRPr="003B5F95">
        <w:rPr>
          <w:lang w:val="ru-RU"/>
        </w:rPr>
        <w:tab/>
      </w:r>
      <w:r w:rsidRPr="00A16D18">
        <w:rPr>
          <w:lang w:val="ru-RU"/>
        </w:rPr>
        <w:t>Прежнее название Соглашения: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w:t>
      </w:r>
      <w:r w:rsidR="008439DE">
        <w:rPr>
          <w:lang w:val="ru-RU"/>
        </w:rPr>
        <w:t>анспортных средств, совершено в</w:t>
      </w:r>
      <w:r w:rsidR="008439DE">
        <w:rPr>
          <w:lang w:val="en-US"/>
        </w:rPr>
        <w:t> </w:t>
      </w:r>
      <w:r w:rsidRPr="00A16D18">
        <w:rPr>
          <w:lang w:val="ru-RU"/>
        </w:rPr>
        <w:t>Женеве 20 марта 1958 года.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FD" w:rsidRDefault="00397BFD">
    <w:pPr>
      <w:pStyle w:val="Header"/>
    </w:pPr>
    <w:r w:rsidRPr="00D623A7">
      <w:t>E/ECE/324</w:t>
    </w:r>
    <w:r w:rsidRPr="00841EB5">
      <w:t>/</w:t>
    </w:r>
    <w:r w:rsidRPr="00857490">
      <w:t>Rev.2/Add.124/Rev.2/Amend.1</w:t>
    </w:r>
    <w:r>
      <w:br/>
    </w:r>
    <w:r w:rsidRPr="00D623A7">
      <w:t>E/ECE/TRANS/505</w:t>
    </w:r>
    <w:r w:rsidRPr="00841EB5">
      <w:t>/</w:t>
    </w:r>
    <w:r w:rsidRPr="00857490">
      <w:t>Rev.2/Add.124/Rev.2/Amend.1</w:t>
    </w:r>
  </w:p>
  <w:p w:rsidR="00532D8E" w:rsidRPr="00532D8E" w:rsidRDefault="00532D8E" w:rsidP="00532D8E">
    <w:pPr>
      <w:rPr>
        <w:lang w:val="en-GB" w:eastAsia="ru-RU"/>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87B" w:rsidRPr="009A6F4A" w:rsidRDefault="000D0013">
    <w:pPr>
      <w:pStyle w:val="Header"/>
      <w:rPr>
        <w:lang w:val="en-US"/>
      </w:rPr>
    </w:pP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forms" w:enforcement="0"/>
  <w:defaultTabStop w:val="567"/>
  <w:autoHyphenation/>
  <w:hyphenationZone w:val="357"/>
  <w:doNotHyphenateCaps/>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21E"/>
    <w:rsid w:val="00020710"/>
    <w:rsid w:val="000450D1"/>
    <w:rsid w:val="0008521E"/>
    <w:rsid w:val="000D0013"/>
    <w:rsid w:val="000E484C"/>
    <w:rsid w:val="000F2A4F"/>
    <w:rsid w:val="00101D20"/>
    <w:rsid w:val="001A5188"/>
    <w:rsid w:val="001C3A18"/>
    <w:rsid w:val="00203F84"/>
    <w:rsid w:val="00275188"/>
    <w:rsid w:val="0028687D"/>
    <w:rsid w:val="002B091C"/>
    <w:rsid w:val="002B3D40"/>
    <w:rsid w:val="002D0CCB"/>
    <w:rsid w:val="002E117C"/>
    <w:rsid w:val="00345C79"/>
    <w:rsid w:val="00366A39"/>
    <w:rsid w:val="00397BFD"/>
    <w:rsid w:val="003B5F95"/>
    <w:rsid w:val="0048005C"/>
    <w:rsid w:val="004E242B"/>
    <w:rsid w:val="00532D8E"/>
    <w:rsid w:val="00544379"/>
    <w:rsid w:val="00566944"/>
    <w:rsid w:val="005D56BF"/>
    <w:rsid w:val="00665D8D"/>
    <w:rsid w:val="006A7A3B"/>
    <w:rsid w:val="006B6B57"/>
    <w:rsid w:val="00705394"/>
    <w:rsid w:val="00743F62"/>
    <w:rsid w:val="00760D3A"/>
    <w:rsid w:val="00773BA8"/>
    <w:rsid w:val="007A1F42"/>
    <w:rsid w:val="007D76DD"/>
    <w:rsid w:val="007F36F5"/>
    <w:rsid w:val="008439DE"/>
    <w:rsid w:val="00870BCD"/>
    <w:rsid w:val="008717E8"/>
    <w:rsid w:val="008B06C5"/>
    <w:rsid w:val="008D01AE"/>
    <w:rsid w:val="008E0423"/>
    <w:rsid w:val="009141DC"/>
    <w:rsid w:val="009174A1"/>
    <w:rsid w:val="0098674D"/>
    <w:rsid w:val="00997ACA"/>
    <w:rsid w:val="00A03FB7"/>
    <w:rsid w:val="00A75A11"/>
    <w:rsid w:val="00AD7EAD"/>
    <w:rsid w:val="00B35A32"/>
    <w:rsid w:val="00B432C6"/>
    <w:rsid w:val="00B471C5"/>
    <w:rsid w:val="00B6474A"/>
    <w:rsid w:val="00BE1742"/>
    <w:rsid w:val="00C229E6"/>
    <w:rsid w:val="00C60363"/>
    <w:rsid w:val="00D1261C"/>
    <w:rsid w:val="00D17A60"/>
    <w:rsid w:val="00D430A1"/>
    <w:rsid w:val="00D75DCE"/>
    <w:rsid w:val="00D86A82"/>
    <w:rsid w:val="00DD35AC"/>
    <w:rsid w:val="00DD479F"/>
    <w:rsid w:val="00E15E48"/>
    <w:rsid w:val="00EB0723"/>
    <w:rsid w:val="00EE6F37"/>
    <w:rsid w:val="00F1599F"/>
    <w:rsid w:val="00F31EF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49D8105-2D3F-47DE-A3E8-BAE8B8AD1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013"/>
    <w:pPr>
      <w:spacing w:line="240" w:lineRule="atLeast"/>
    </w:pPr>
    <w:rPr>
      <w:rFonts w:ascii="Times New Roman" w:eastAsia="Times New Roman" w:hAnsi="Times New Roman" w:cs="Times New Roman"/>
      <w:spacing w:val="4"/>
      <w:w w:val="103"/>
      <w:kern w:val="14"/>
      <w:sz w:val="20"/>
      <w:szCs w:val="20"/>
    </w:rPr>
  </w:style>
  <w:style w:type="paragraph" w:styleId="Heading1">
    <w:name w:val="heading 1"/>
    <w:aliases w:val="Table_GR"/>
    <w:basedOn w:val="Normal"/>
    <w:next w:val="Normal"/>
    <w:link w:val="Heading1Char"/>
    <w:qFormat/>
    <w:rsid w:val="00BE1742"/>
    <w:pPr>
      <w:keepNext/>
      <w:tabs>
        <w:tab w:val="left" w:pos="567"/>
      </w:tabs>
      <w:jc w:val="both"/>
      <w:outlineLvl w:val="0"/>
    </w:pPr>
    <w:rPr>
      <w:rFonts w:cs="Arial"/>
      <w:b/>
      <w:bCs/>
      <w:szCs w:val="32"/>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R">
    <w:name w:val="_ H __M_GR"/>
    <w:basedOn w:val="Normal"/>
    <w:next w:val="Normal"/>
    <w:qFormat/>
    <w:rsid w:val="00BE1742"/>
    <w:pPr>
      <w:keepNext/>
      <w:keepLines/>
      <w:tabs>
        <w:tab w:val="right" w:pos="851"/>
      </w:tabs>
      <w:suppressAutoHyphens/>
      <w:spacing w:before="240" w:after="240" w:line="360" w:lineRule="exact"/>
      <w:ind w:left="1134" w:right="1134" w:hanging="1134"/>
    </w:pPr>
    <w:rPr>
      <w:b/>
      <w:sz w:val="34"/>
      <w:lang w:eastAsia="ru-RU"/>
    </w:rPr>
  </w:style>
  <w:style w:type="paragraph" w:customStyle="1" w:styleId="HChGR">
    <w:name w:val="_ H _Ch_GR"/>
    <w:basedOn w:val="Normal"/>
    <w:next w:val="Normal"/>
    <w:qFormat/>
    <w:rsid w:val="00BE1742"/>
    <w:pPr>
      <w:keepNext/>
      <w:keepLines/>
      <w:tabs>
        <w:tab w:val="right" w:pos="851"/>
      </w:tabs>
      <w:suppressAutoHyphens/>
      <w:spacing w:before="360" w:after="240" w:line="300" w:lineRule="exact"/>
      <w:ind w:left="1134" w:right="1134" w:hanging="1134"/>
    </w:pPr>
    <w:rPr>
      <w:b/>
      <w:sz w:val="28"/>
      <w:lang w:eastAsia="ru-RU"/>
    </w:rPr>
  </w:style>
  <w:style w:type="paragraph" w:customStyle="1" w:styleId="H1GR">
    <w:name w:val="_ H_1_GR"/>
    <w:basedOn w:val="Normal"/>
    <w:next w:val="Normal"/>
    <w:qFormat/>
    <w:rsid w:val="00BE1742"/>
    <w:pPr>
      <w:keepNext/>
      <w:keepLines/>
      <w:tabs>
        <w:tab w:val="right" w:pos="851"/>
      </w:tabs>
      <w:suppressAutoHyphens/>
      <w:spacing w:before="360" w:after="240" w:line="270" w:lineRule="exact"/>
      <w:ind w:left="1134" w:right="1134" w:hanging="1134"/>
    </w:pPr>
    <w:rPr>
      <w:b/>
      <w:sz w:val="24"/>
      <w:lang w:eastAsia="ru-RU"/>
    </w:rPr>
  </w:style>
  <w:style w:type="paragraph" w:customStyle="1" w:styleId="H23GR">
    <w:name w:val="_ H_2/3_GR"/>
    <w:basedOn w:val="Normal"/>
    <w:next w:val="Normal"/>
    <w:qFormat/>
    <w:rsid w:val="00BE1742"/>
    <w:pPr>
      <w:keepNext/>
      <w:keepLines/>
      <w:tabs>
        <w:tab w:val="right" w:pos="851"/>
      </w:tabs>
      <w:suppressAutoHyphens/>
      <w:spacing w:before="240" w:after="120" w:line="240" w:lineRule="exact"/>
      <w:ind w:left="1134" w:right="1134" w:hanging="1134"/>
    </w:pPr>
    <w:rPr>
      <w:b/>
      <w:lang w:eastAsia="ru-RU"/>
    </w:rPr>
  </w:style>
  <w:style w:type="paragraph" w:customStyle="1" w:styleId="H4GR">
    <w:name w:val="_ H_4_GR"/>
    <w:basedOn w:val="Normal"/>
    <w:next w:val="Normal"/>
    <w:qFormat/>
    <w:rsid w:val="00BE1742"/>
    <w:pPr>
      <w:keepNext/>
      <w:keepLines/>
      <w:tabs>
        <w:tab w:val="right" w:pos="851"/>
      </w:tabs>
      <w:suppressAutoHyphens/>
      <w:spacing w:before="240" w:after="120" w:line="240" w:lineRule="exact"/>
      <w:ind w:left="1134" w:right="1134" w:hanging="1134"/>
      <w:outlineLvl w:val="3"/>
    </w:pPr>
    <w:rPr>
      <w:i/>
      <w:spacing w:val="3"/>
      <w:lang w:eastAsia="ru-RU"/>
    </w:rPr>
  </w:style>
  <w:style w:type="paragraph" w:customStyle="1" w:styleId="H56GR">
    <w:name w:val="_ H_5/6_GR"/>
    <w:basedOn w:val="Normal"/>
    <w:next w:val="Normal"/>
    <w:qFormat/>
    <w:rsid w:val="00BE1742"/>
    <w:pPr>
      <w:keepNext/>
      <w:keepLines/>
      <w:tabs>
        <w:tab w:val="right" w:pos="851"/>
      </w:tabs>
      <w:suppressAutoHyphens/>
      <w:spacing w:before="240" w:after="120" w:line="240" w:lineRule="exact"/>
      <w:ind w:left="1134" w:right="1134" w:hanging="1134"/>
    </w:pPr>
    <w:rPr>
      <w:lang w:eastAsia="ru-RU"/>
    </w:rPr>
  </w:style>
  <w:style w:type="paragraph" w:customStyle="1" w:styleId="SingleTxtGR">
    <w:name w:val="_ Single Txt_GR"/>
    <w:basedOn w:val="Normal"/>
    <w:qFormat/>
    <w:rsid w:val="005D56BF"/>
    <w:pPr>
      <w:tabs>
        <w:tab w:val="left" w:pos="1701"/>
        <w:tab w:val="left" w:pos="2268"/>
        <w:tab w:val="left" w:pos="2835"/>
        <w:tab w:val="left" w:pos="3402"/>
        <w:tab w:val="left" w:pos="3969"/>
      </w:tabs>
      <w:spacing w:after="120"/>
      <w:ind w:left="1134" w:right="1134"/>
      <w:jc w:val="both"/>
    </w:pPr>
  </w:style>
  <w:style w:type="paragraph" w:customStyle="1" w:styleId="SLGR">
    <w:name w:val="__S_L_GR"/>
    <w:basedOn w:val="Normal"/>
    <w:next w:val="Normal"/>
    <w:qFormat/>
    <w:rsid w:val="00BE1742"/>
    <w:pPr>
      <w:keepNext/>
      <w:keepLines/>
      <w:suppressAutoHyphens/>
      <w:spacing w:before="240" w:after="240" w:line="580" w:lineRule="exact"/>
      <w:ind w:left="1134" w:right="1134"/>
    </w:pPr>
    <w:rPr>
      <w:b/>
      <w:sz w:val="56"/>
      <w:lang w:eastAsia="ru-RU"/>
    </w:rPr>
  </w:style>
  <w:style w:type="paragraph" w:customStyle="1" w:styleId="SMGR">
    <w:name w:val="__S_M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SSGR">
    <w:name w:val="__S_S_GR"/>
    <w:basedOn w:val="Normal"/>
    <w:next w:val="Normal"/>
    <w:qFormat/>
    <w:rsid w:val="00BE1742"/>
    <w:pPr>
      <w:keepNext/>
      <w:keepLines/>
      <w:suppressAutoHyphens/>
      <w:spacing w:before="240" w:after="240" w:line="300" w:lineRule="exact"/>
      <w:ind w:left="1134" w:right="1134"/>
    </w:pPr>
    <w:rPr>
      <w:b/>
      <w:sz w:val="28"/>
      <w:lang w:eastAsia="ru-RU"/>
    </w:rPr>
  </w:style>
  <w:style w:type="paragraph" w:customStyle="1" w:styleId="XLargeGR">
    <w:name w:val="__XLarge_GR"/>
    <w:basedOn w:val="Normal"/>
    <w:next w:val="Normal"/>
    <w:qFormat/>
    <w:rsid w:val="00BE1742"/>
    <w:pPr>
      <w:keepNext/>
      <w:keepLines/>
      <w:suppressAutoHyphens/>
      <w:spacing w:before="240" w:after="240" w:line="420" w:lineRule="exact"/>
      <w:ind w:left="1134" w:right="1134"/>
    </w:pPr>
    <w:rPr>
      <w:b/>
      <w:sz w:val="40"/>
      <w:lang w:eastAsia="ru-RU"/>
    </w:rPr>
  </w:style>
  <w:style w:type="paragraph" w:customStyle="1" w:styleId="Bullet1GR">
    <w:name w:val="_Bullet 1_GR"/>
    <w:basedOn w:val="Normal"/>
    <w:qFormat/>
    <w:rsid w:val="00BE1742"/>
    <w:pPr>
      <w:numPr>
        <w:numId w:val="1"/>
      </w:numPr>
      <w:spacing w:after="120"/>
      <w:ind w:right="1134"/>
      <w:jc w:val="both"/>
    </w:pPr>
    <w:rPr>
      <w:lang w:eastAsia="ru-RU"/>
    </w:rPr>
  </w:style>
  <w:style w:type="paragraph" w:customStyle="1" w:styleId="Bullet2GR">
    <w:name w:val="_Bullet 2_GR"/>
    <w:basedOn w:val="Normal"/>
    <w:qFormat/>
    <w:rsid w:val="00BE1742"/>
    <w:pPr>
      <w:numPr>
        <w:numId w:val="2"/>
      </w:numPr>
      <w:spacing w:after="120"/>
      <w:ind w:right="1134"/>
      <w:jc w:val="both"/>
    </w:pPr>
    <w:rPr>
      <w:lang w:eastAsia="ru-RU"/>
    </w:rPr>
  </w:style>
  <w:style w:type="paragraph" w:customStyle="1" w:styleId="ParaNoGR">
    <w:name w:val="_ParaNo._GR"/>
    <w:basedOn w:val="Normal"/>
    <w:next w:val="Normal"/>
    <w:qFormat/>
    <w:rsid w:val="00BE1742"/>
    <w:pPr>
      <w:numPr>
        <w:numId w:val="3"/>
      </w:numPr>
      <w:tabs>
        <w:tab w:val="left" w:pos="567"/>
      </w:tabs>
      <w:spacing w:after="120"/>
      <w:ind w:right="1134"/>
      <w:jc w:val="both"/>
      <w:outlineLvl w:val="0"/>
    </w:pPr>
    <w:rPr>
      <w:lang w:eastAsia="ru-RU"/>
    </w:rPr>
  </w:style>
  <w:style w:type="table" w:customStyle="1" w:styleId="TabNum">
    <w:name w:val="_TabNum"/>
    <w:basedOn w:val="TableNormal"/>
    <w:rsid w:val="00BE1742"/>
    <w:pPr>
      <w:spacing w:before="40" w:after="40" w:line="220" w:lineRule="exact"/>
      <w:jc w:val="right"/>
    </w:pPr>
    <w:rPr>
      <w:rFonts w:ascii="Times New Roman" w:eastAsia="Times New Roman" w:hAnsi="Times New Roman" w:cs="Times New Roman"/>
      <w:sz w:val="18"/>
      <w:szCs w:val="20"/>
      <w:lang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BE1742"/>
    <w:pPr>
      <w:spacing w:before="40" w:after="120" w:line="240" w:lineRule="atLeast"/>
    </w:pPr>
    <w:rPr>
      <w:rFonts w:ascii="Times New Roman" w:eastAsia="Times New Roman" w:hAnsi="Times New Roman" w:cs="Times New Roman"/>
      <w:sz w:val="20"/>
      <w:szCs w:val="20"/>
      <w:lang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uiPriority w:val="99"/>
    <w:qFormat/>
    <w:rsid w:val="00BE1742"/>
    <w:pPr>
      <w:pBdr>
        <w:bottom w:val="single" w:sz="4" w:space="4" w:color="auto"/>
      </w:pBdr>
      <w:tabs>
        <w:tab w:val="right" w:pos="9639"/>
      </w:tabs>
      <w:suppressAutoHyphens/>
    </w:pPr>
    <w:rPr>
      <w:b/>
      <w:sz w:val="18"/>
      <w:lang w:val="en-GB" w:eastAsia="ru-RU"/>
    </w:rPr>
  </w:style>
  <w:style w:type="character" w:customStyle="1" w:styleId="HeaderChar">
    <w:name w:val="Header Char"/>
    <w:aliases w:val="6_GR Char"/>
    <w:basedOn w:val="DefaultParagraphFont"/>
    <w:link w:val="Header"/>
    <w:uiPriority w:val="99"/>
    <w:rsid w:val="00BE1742"/>
    <w:rPr>
      <w:rFonts w:ascii="Times New Roman" w:eastAsia="Times New Roman" w:hAnsi="Times New Roman" w:cs="Times New Roman"/>
      <w:b/>
      <w:sz w:val="18"/>
      <w:szCs w:val="20"/>
      <w:lang w:val="en-GB" w:eastAsia="ru-RU"/>
    </w:rPr>
  </w:style>
  <w:style w:type="character" w:customStyle="1" w:styleId="Heading1Char">
    <w:name w:val="Heading 1 Char"/>
    <w:aliases w:val="Table_GR Char"/>
    <w:basedOn w:val="DefaultParagraphFont"/>
    <w:link w:val="Heading1"/>
    <w:rsid w:val="00BE1742"/>
    <w:rPr>
      <w:rFonts w:ascii="Times New Roman" w:eastAsia="Times New Roman" w:hAnsi="Times New Roman" w:cs="Arial"/>
      <w:b/>
      <w:bCs/>
      <w:spacing w:val="4"/>
      <w:w w:val="103"/>
      <w:kern w:val="14"/>
      <w:sz w:val="20"/>
      <w:szCs w:val="32"/>
      <w:lang w:eastAsia="ru-RU"/>
    </w:rPr>
  </w:style>
  <w:style w:type="character" w:styleId="EndnoteReference">
    <w:name w:val="endnote reference"/>
    <w:aliases w:val="1_GR"/>
    <w:basedOn w:val="FootnoteReference"/>
    <w:qFormat/>
    <w:rsid w:val="00BE1742"/>
    <w:rPr>
      <w:rFonts w:ascii="Times New Roman" w:hAnsi="Times New Roman"/>
      <w:dstrike w:val="0"/>
      <w:sz w:val="18"/>
      <w:vertAlign w:val="superscript"/>
    </w:rPr>
  </w:style>
  <w:style w:type="character" w:styleId="FootnoteReference">
    <w:name w:val="footnote reference"/>
    <w:aliases w:val="4_GR,4_G,(Footnote Reference),-E Fußnotenzeichen"/>
    <w:basedOn w:val="DefaultParagraphFont"/>
    <w:qFormat/>
    <w:rsid w:val="00BE1742"/>
    <w:rPr>
      <w:rFonts w:ascii="Times New Roman" w:hAnsi="Times New Roman"/>
      <w:dstrike w:val="0"/>
      <w:sz w:val="18"/>
      <w:vertAlign w:val="superscript"/>
    </w:rPr>
  </w:style>
  <w:style w:type="paragraph" w:styleId="Footer">
    <w:name w:val="footer"/>
    <w:aliases w:val="3_GR"/>
    <w:basedOn w:val="Normal"/>
    <w:link w:val="FooterChar"/>
    <w:qFormat/>
    <w:rsid w:val="00BE1742"/>
    <w:pPr>
      <w:tabs>
        <w:tab w:val="right" w:pos="9639"/>
      </w:tabs>
      <w:suppressAutoHyphens/>
    </w:pPr>
    <w:rPr>
      <w:sz w:val="16"/>
      <w:lang w:val="en-GB" w:eastAsia="ru-RU"/>
    </w:rPr>
  </w:style>
  <w:style w:type="character" w:customStyle="1" w:styleId="FooterChar">
    <w:name w:val="Footer Char"/>
    <w:aliases w:val="3_GR Char"/>
    <w:basedOn w:val="DefaultParagraphFont"/>
    <w:link w:val="Footer"/>
    <w:rsid w:val="00BE1742"/>
    <w:rPr>
      <w:rFonts w:ascii="Times New Roman" w:eastAsia="Times New Roman" w:hAnsi="Times New Roman" w:cs="Times New Roman"/>
      <w:sz w:val="16"/>
      <w:szCs w:val="20"/>
      <w:lang w:val="en-GB" w:eastAsia="ru-RU"/>
    </w:rPr>
  </w:style>
  <w:style w:type="character" w:styleId="PageNumber">
    <w:name w:val="page number"/>
    <w:aliases w:val="7_GR,___GR"/>
    <w:basedOn w:val="DefaultParagraphFont"/>
    <w:qFormat/>
    <w:rsid w:val="00BE1742"/>
    <w:rPr>
      <w:rFonts w:ascii="Times New Roman" w:hAnsi="Times New Roman"/>
      <w:b/>
      <w:sz w:val="18"/>
    </w:rPr>
  </w:style>
  <w:style w:type="paragraph" w:styleId="FootnoteText">
    <w:name w:val="footnote text"/>
    <w:aliases w:val="5_GR"/>
    <w:basedOn w:val="Normal"/>
    <w:link w:val="FootnoteTextChar"/>
    <w:qFormat/>
    <w:rsid w:val="00BE1742"/>
    <w:pPr>
      <w:tabs>
        <w:tab w:val="right" w:pos="1021"/>
      </w:tabs>
      <w:suppressAutoHyphens/>
      <w:spacing w:line="220" w:lineRule="exact"/>
      <w:ind w:left="1134" w:right="1134" w:hanging="1134"/>
    </w:pPr>
    <w:rPr>
      <w:spacing w:val="5"/>
      <w:w w:val="104"/>
      <w:sz w:val="18"/>
      <w:lang w:val="en-GB" w:eastAsia="ru-RU"/>
    </w:rPr>
  </w:style>
  <w:style w:type="character" w:customStyle="1" w:styleId="FootnoteTextChar">
    <w:name w:val="Footnote Text Char"/>
    <w:aliases w:val="5_GR Char"/>
    <w:basedOn w:val="DefaultParagraphFont"/>
    <w:link w:val="FootnoteText"/>
    <w:rsid w:val="00BE1742"/>
    <w:rPr>
      <w:rFonts w:ascii="Times New Roman" w:eastAsia="Times New Roman" w:hAnsi="Times New Roman" w:cs="Times New Roman"/>
      <w:spacing w:val="5"/>
      <w:w w:val="104"/>
      <w:kern w:val="14"/>
      <w:sz w:val="18"/>
      <w:szCs w:val="20"/>
      <w:lang w:val="en-GB" w:eastAsia="ru-RU"/>
    </w:rPr>
  </w:style>
  <w:style w:type="paragraph" w:styleId="EndnoteText">
    <w:name w:val="endnote text"/>
    <w:aliases w:val="2_GR"/>
    <w:basedOn w:val="FootnoteText"/>
    <w:link w:val="EndnoteTextChar"/>
    <w:qFormat/>
    <w:rsid w:val="00BE1742"/>
  </w:style>
  <w:style w:type="character" w:customStyle="1" w:styleId="EndnoteTextChar">
    <w:name w:val="Endnote Text Char"/>
    <w:aliases w:val="2_GR Char"/>
    <w:basedOn w:val="DefaultParagraphFont"/>
    <w:link w:val="EndnoteText"/>
    <w:rsid w:val="00BE1742"/>
    <w:rPr>
      <w:rFonts w:ascii="Times New Roman" w:eastAsia="Times New Roman" w:hAnsi="Times New Roman" w:cs="Times New Roman"/>
      <w:spacing w:val="5"/>
      <w:w w:val="104"/>
      <w:kern w:val="14"/>
      <w:sz w:val="18"/>
      <w:szCs w:val="20"/>
      <w:lang w:val="en-GB" w:eastAsia="ru-RU"/>
    </w:rPr>
  </w:style>
  <w:style w:type="table" w:styleId="TableGrid">
    <w:name w:val="Table Grid"/>
    <w:basedOn w:val="TableNormal"/>
    <w:rsid w:val="007A1F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742F9-BC48-41E4-B250-22EBAA21C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2275</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DCM</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Izotova Elena</dc:creator>
  <cp:lastModifiedBy>Lucille</cp:lastModifiedBy>
  <cp:revision>2</cp:revision>
  <cp:lastPrinted>2016-11-02T13:37:00Z</cp:lastPrinted>
  <dcterms:created xsi:type="dcterms:W3CDTF">2017-01-06T10:46:00Z</dcterms:created>
  <dcterms:modified xsi:type="dcterms:W3CDTF">2017-01-06T10:46:00Z</dcterms:modified>
</cp:coreProperties>
</file>