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6376DF07" w:rsidR="0064636E" w:rsidRPr="00D47EEA" w:rsidRDefault="0064636E" w:rsidP="003F5512">
            <w:pPr>
              <w:jc w:val="right"/>
            </w:pPr>
            <w:r w:rsidRPr="00014D07">
              <w:rPr>
                <w:sz w:val="40"/>
              </w:rPr>
              <w:t>E</w:t>
            </w:r>
            <w:r>
              <w:t>/ECE/324/</w:t>
            </w:r>
            <w:r w:rsidR="00841EB5">
              <w:t>Rev.</w:t>
            </w:r>
            <w:r w:rsidR="00552067">
              <w:t>2</w:t>
            </w:r>
            <w:r w:rsidR="00841EB5">
              <w:t>/</w:t>
            </w:r>
            <w:r>
              <w:t>Add.</w:t>
            </w:r>
            <w:r w:rsidR="00EC75F2">
              <w:t>1</w:t>
            </w:r>
            <w:r w:rsidR="003F5512">
              <w:t>22</w:t>
            </w:r>
            <w:r w:rsidR="000C3BA6">
              <w:t>/Rev.</w:t>
            </w:r>
            <w:r w:rsidR="003F5512">
              <w:t>2</w:t>
            </w:r>
            <w:r w:rsidR="00EE0446" w:rsidRPr="00EE0446">
              <w:t>/Amend</w:t>
            </w:r>
            <w:r w:rsidR="003F5512">
              <w:t>.4</w:t>
            </w:r>
            <w:r>
              <w:t>−</w:t>
            </w:r>
            <w:r w:rsidRPr="00014D07">
              <w:rPr>
                <w:sz w:val="40"/>
              </w:rPr>
              <w:t>E</w:t>
            </w:r>
            <w:r>
              <w:t>/ECE/TRANS/505</w:t>
            </w:r>
            <w:r w:rsidR="00841EB5">
              <w:t>/Rev.</w:t>
            </w:r>
            <w:r w:rsidR="00552067">
              <w:t>2</w:t>
            </w:r>
            <w:r w:rsidR="00841EB5">
              <w:t>/Add.</w:t>
            </w:r>
            <w:r w:rsidR="00EC75F2">
              <w:t>1</w:t>
            </w:r>
            <w:r w:rsidR="003F5512">
              <w:t>22</w:t>
            </w:r>
            <w:r w:rsidR="00EE0446" w:rsidRPr="00EE0446">
              <w:t>/Rev.</w:t>
            </w:r>
            <w:r w:rsidR="003F5512">
              <w:t>2</w:t>
            </w:r>
            <w:r w:rsidR="00EE0446" w:rsidRPr="00EE0446">
              <w:t>/Amend.</w:t>
            </w:r>
            <w:r w:rsidR="003F5512">
              <w:t>4</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06833A9" w:rsidR="00C84414" w:rsidRDefault="00716B90" w:rsidP="0088541D">
            <w:pPr>
              <w:spacing w:before="120"/>
            </w:pPr>
            <w:r>
              <w:t>11</w:t>
            </w:r>
            <w:r w:rsidR="0001071D">
              <w:t xml:space="preserve"> </w:t>
            </w:r>
            <w:r w:rsidR="0088541D">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5BBD91ED" w14:textId="0F6BC5F3" w:rsidR="0088541D" w:rsidRPr="0088541D" w:rsidRDefault="00C711C7" w:rsidP="00716B90">
      <w:pPr>
        <w:pStyle w:val="H1G"/>
        <w:spacing w:before="240"/>
      </w:pPr>
      <w:r w:rsidRPr="00F173C4">
        <w:rPr>
          <w:rStyle w:val="H1GChar"/>
        </w:rPr>
        <w:tab/>
      </w:r>
      <w:r w:rsidRPr="00F173C4">
        <w:rPr>
          <w:rStyle w:val="H1GChar"/>
        </w:rPr>
        <w:tab/>
      </w:r>
      <w:r w:rsidR="0088541D">
        <w:tab/>
      </w:r>
      <w:r w:rsidR="0088541D" w:rsidRPr="00213492">
        <w:t>Concerning the</w:t>
      </w:r>
      <w:r w:rsidR="0088541D" w:rsidRPr="00213492">
        <w:rPr>
          <w:smallCaps/>
        </w:rPr>
        <w:t xml:space="preserve"> </w:t>
      </w:r>
      <w:r w:rsidR="0088541D"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88541D" w:rsidRPr="00213492">
        <w:footnoteReference w:customMarkFollows="1" w:id="2"/>
        <w:t>*</w:t>
      </w:r>
    </w:p>
    <w:p w14:paraId="73E8C924" w14:textId="6184DF87" w:rsidR="0088541D" w:rsidRPr="00392A12" w:rsidRDefault="0088541D"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DD3ACC2" w:rsidR="0064636E" w:rsidRDefault="0064636E" w:rsidP="00A41529">
      <w:pPr>
        <w:pStyle w:val="H1G"/>
        <w:spacing w:before="240" w:after="120"/>
      </w:pPr>
      <w:r>
        <w:tab/>
      </w:r>
      <w:r>
        <w:tab/>
        <w:t xml:space="preserve">Addendum </w:t>
      </w:r>
      <w:r w:rsidR="00EC75F2">
        <w:t>1</w:t>
      </w:r>
      <w:r w:rsidR="003F5512">
        <w:t>22</w:t>
      </w:r>
      <w:r w:rsidR="00EE0446">
        <w:t xml:space="preserve"> </w:t>
      </w:r>
      <w:r>
        <w:t xml:space="preserve">– </w:t>
      </w:r>
      <w:r w:rsidR="00716B90">
        <w:t>UN </w:t>
      </w:r>
      <w:r>
        <w:t>Regulation No.</w:t>
      </w:r>
      <w:r w:rsidR="00271A7F">
        <w:t xml:space="preserve"> </w:t>
      </w:r>
      <w:r w:rsidR="00EC75F2">
        <w:t>1</w:t>
      </w:r>
      <w:r w:rsidR="003F5512">
        <w:t>23</w:t>
      </w:r>
    </w:p>
    <w:p w14:paraId="4E272B2A" w14:textId="5D45969A" w:rsidR="0064636E" w:rsidRPr="00014D07" w:rsidRDefault="0064636E" w:rsidP="00A41529">
      <w:pPr>
        <w:pStyle w:val="H1G"/>
        <w:spacing w:before="240"/>
      </w:pPr>
      <w:r>
        <w:tab/>
      </w:r>
      <w:r>
        <w:tab/>
      </w:r>
      <w:r w:rsidRPr="00014D07">
        <w:t xml:space="preserve">Revision </w:t>
      </w:r>
      <w:r w:rsidR="003F5512">
        <w:t>2</w:t>
      </w:r>
      <w:r w:rsidRPr="00014D07">
        <w:t xml:space="preserve"> </w:t>
      </w:r>
      <w:r w:rsidR="00EB0695">
        <w:t>–</w:t>
      </w:r>
      <w:r w:rsidRPr="00014D07">
        <w:t xml:space="preserve"> </w:t>
      </w:r>
      <w:r w:rsidR="00D623A7">
        <w:t>Amendment</w:t>
      </w:r>
      <w:r w:rsidRPr="00014D07">
        <w:t xml:space="preserve"> </w:t>
      </w:r>
      <w:r w:rsidR="003F5512">
        <w:t>4</w:t>
      </w:r>
    </w:p>
    <w:p w14:paraId="4FAFC05A" w14:textId="4847C733" w:rsidR="0064636E" w:rsidRPr="00272880" w:rsidRDefault="00A7202C" w:rsidP="0064636E">
      <w:pPr>
        <w:pStyle w:val="SingleTxtG"/>
        <w:spacing w:after="360"/>
        <w:rPr>
          <w:spacing w:val="-2"/>
        </w:rPr>
      </w:pPr>
      <w:r>
        <w:rPr>
          <w:spacing w:val="-2"/>
        </w:rPr>
        <w:t xml:space="preserve">Supplement </w:t>
      </w:r>
      <w:r w:rsidR="003F5512">
        <w:rPr>
          <w:spacing w:val="-2"/>
        </w:rPr>
        <w:t>8</w:t>
      </w:r>
      <w:r>
        <w:rPr>
          <w:spacing w:val="-2"/>
        </w:rPr>
        <w:t xml:space="preserve"> to the 01 series of amendments</w:t>
      </w:r>
      <w:r w:rsidR="0064636E" w:rsidRPr="00272880">
        <w:rPr>
          <w:spacing w:val="-2"/>
        </w:rPr>
        <w:t xml:space="preserve"> – Date of entry into force: </w:t>
      </w:r>
      <w:r w:rsidR="00324746">
        <w:t>10 October</w:t>
      </w:r>
      <w:r w:rsidR="00EB0695">
        <w:t xml:space="preserve"> </w:t>
      </w:r>
      <w:r w:rsidR="0001071D">
        <w:t>2017</w:t>
      </w:r>
    </w:p>
    <w:p w14:paraId="24730B39" w14:textId="1DD1F9D5" w:rsidR="0064636E" w:rsidRDefault="0064636E" w:rsidP="006802AA">
      <w:pPr>
        <w:pStyle w:val="H1G"/>
        <w:spacing w:before="120" w:after="120" w:line="240" w:lineRule="exact"/>
        <w:rPr>
          <w:lang w:val="en-US"/>
        </w:rPr>
      </w:pPr>
      <w:r>
        <w:rPr>
          <w:lang w:val="en-US"/>
        </w:rPr>
        <w:tab/>
      </w:r>
      <w:r>
        <w:rPr>
          <w:lang w:val="en-US"/>
        </w:rPr>
        <w:tab/>
      </w:r>
      <w:r w:rsidR="003F5512" w:rsidRPr="003F5512">
        <w:rPr>
          <w:lang w:val="en-US"/>
        </w:rPr>
        <w:t>Uniform provisions concerning the approval of adaptive front-lighting systems (AFS) for motor vehicles</w:t>
      </w:r>
    </w:p>
    <w:p w14:paraId="02EF65D0" w14:textId="40DE1BA2"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A7202C">
        <w:rPr>
          <w:spacing w:val="-6"/>
          <w:lang w:eastAsia="en-GB"/>
        </w:rPr>
        <w:t>4</w:t>
      </w:r>
      <w:r w:rsidR="003F5512">
        <w:rPr>
          <w:spacing w:val="-6"/>
          <w:lang w:eastAsia="en-GB"/>
        </w:rPr>
        <w:t>1</w:t>
      </w:r>
      <w:r w:rsidR="00716B90">
        <w:rPr>
          <w:spacing w:val="-6"/>
          <w:lang w:eastAsia="en-GB"/>
        </w:rPr>
        <w:t xml:space="preserve"> (1622506)</w:t>
      </w:r>
      <w:r w:rsidR="0088541D">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147FABD1" w:rsidR="00C711C7" w:rsidRDefault="000D3A4F" w:rsidP="00651737">
      <w:pPr>
        <w:suppressAutoHyphens w:val="0"/>
        <w:spacing w:line="240" w:lineRule="auto"/>
        <w:jc w:val="center"/>
      </w:pPr>
      <w:r w:rsidRPr="000D3A4F">
        <w:rPr>
          <w:b/>
          <w:sz w:val="24"/>
        </w:rPr>
        <w:t>UNITED NATIONS</w:t>
      </w:r>
    </w:p>
    <w:p w14:paraId="407E39A3" w14:textId="723067D1" w:rsidR="00A7202C" w:rsidRPr="00AF2205" w:rsidRDefault="00D5540C" w:rsidP="003F5512">
      <w:pPr>
        <w:pStyle w:val="SingleTxtG"/>
        <w:rPr>
          <w:u w:val="single"/>
        </w:rPr>
      </w:pPr>
      <w:r>
        <w:br w:type="page"/>
      </w:r>
    </w:p>
    <w:p w14:paraId="4EB656DE" w14:textId="77777777" w:rsidR="003F5512" w:rsidRPr="00E96377" w:rsidRDefault="003F5512" w:rsidP="003F5512">
      <w:pPr>
        <w:pStyle w:val="SingleTxtG"/>
        <w:tabs>
          <w:tab w:val="right" w:pos="1418"/>
        </w:tabs>
        <w:ind w:left="2127" w:hanging="993"/>
        <w:rPr>
          <w:lang w:val="en-US"/>
        </w:rPr>
      </w:pPr>
      <w:r w:rsidRPr="00E96377">
        <w:rPr>
          <w:i/>
          <w:lang w:val="en-US"/>
        </w:rPr>
        <w:lastRenderedPageBreak/>
        <w:t>Paragraph 1.16.1.</w:t>
      </w:r>
      <w:r w:rsidRPr="0088541D">
        <w:rPr>
          <w:lang w:val="en-US"/>
        </w:rPr>
        <w:t>,</w:t>
      </w:r>
      <w:r w:rsidRPr="00E96377">
        <w:rPr>
          <w:i/>
          <w:lang w:val="en-US"/>
        </w:rPr>
        <w:t xml:space="preserve"> </w:t>
      </w:r>
      <w:r w:rsidRPr="00E96377">
        <w:rPr>
          <w:lang w:val="en-US"/>
        </w:rPr>
        <w:t>amend to read:</w:t>
      </w:r>
    </w:p>
    <w:p w14:paraId="442F6A33" w14:textId="77777777" w:rsidR="003F5512" w:rsidRPr="00BD0D16" w:rsidRDefault="003F5512" w:rsidP="003F5512">
      <w:pPr>
        <w:spacing w:after="120"/>
        <w:ind w:left="2268" w:right="1134" w:hanging="1134"/>
        <w:jc w:val="both"/>
        <w:rPr>
          <w:iCs/>
          <w:lang w:val="en-US"/>
        </w:rPr>
      </w:pPr>
      <w:r w:rsidRPr="00D55AB8">
        <w:rPr>
          <w:lang w:val="en-US"/>
        </w:rPr>
        <w:t>"1.16.1.</w:t>
      </w:r>
      <w:r w:rsidRPr="00D55AB8">
        <w:rPr>
          <w:lang w:val="en-US"/>
        </w:rPr>
        <w:tab/>
      </w:r>
      <w:r>
        <w:rPr>
          <w:iCs/>
          <w:lang w:val="en-US"/>
        </w:rPr>
        <w:t>T</w:t>
      </w:r>
      <w:r w:rsidRPr="00BD0D16">
        <w:rPr>
          <w:iCs/>
          <w:lang w:val="en-US"/>
        </w:rPr>
        <w:t>he trade name or mark(s):</w:t>
      </w:r>
    </w:p>
    <w:p w14:paraId="6A0A016A" w14:textId="77777777" w:rsidR="003F5512" w:rsidRPr="00D55AB8" w:rsidRDefault="003F5512" w:rsidP="003F5512">
      <w:pPr>
        <w:spacing w:after="120"/>
        <w:ind w:left="2835" w:right="1134" w:hanging="567"/>
        <w:jc w:val="both"/>
        <w:rPr>
          <w:iCs/>
          <w:lang w:val="en-US"/>
        </w:rPr>
      </w:pPr>
      <w:r w:rsidRPr="00D55AB8">
        <w:rPr>
          <w:iCs/>
          <w:lang w:val="en-US"/>
        </w:rPr>
        <w:t>(a)</w:t>
      </w:r>
      <w:r w:rsidRPr="00D55AB8">
        <w:rPr>
          <w:iCs/>
          <w:lang w:val="en-US"/>
        </w:rPr>
        <w:tab/>
      </w:r>
      <w:r>
        <w:rPr>
          <w:iCs/>
          <w:lang w:val="en-US"/>
        </w:rPr>
        <w:t>L</w:t>
      </w:r>
      <w:r w:rsidRPr="00D55AB8">
        <w:rPr>
          <w:iCs/>
          <w:lang w:val="en-US"/>
        </w:rPr>
        <w:t xml:space="preserve">amps bearing the same trade name or mark but produced by different manufacturers </w:t>
      </w:r>
      <w:r w:rsidRPr="00D55AB8">
        <w:rPr>
          <w:bCs/>
          <w:iCs/>
          <w:lang w:val="en-US"/>
        </w:rPr>
        <w:t>shall be</w:t>
      </w:r>
      <w:r w:rsidRPr="00D55AB8">
        <w:rPr>
          <w:iCs/>
          <w:lang w:val="en-US"/>
        </w:rPr>
        <w:t xml:space="preserve"> considered as being of different types</w:t>
      </w:r>
      <w:r w:rsidRPr="00D55AB8">
        <w:rPr>
          <w:bCs/>
          <w:iCs/>
          <w:lang w:val="en-US"/>
        </w:rPr>
        <w:t>;</w:t>
      </w:r>
    </w:p>
    <w:p w14:paraId="1CE52603" w14:textId="77777777" w:rsidR="003F5512" w:rsidRPr="00D55AB8" w:rsidRDefault="003F5512" w:rsidP="003F5512">
      <w:pPr>
        <w:spacing w:after="100"/>
        <w:ind w:left="2835" w:right="1134" w:hanging="567"/>
        <w:jc w:val="both"/>
        <w:rPr>
          <w:lang w:val="en-US"/>
        </w:rPr>
      </w:pPr>
      <w:r w:rsidRPr="00D55AB8">
        <w:rPr>
          <w:bCs/>
          <w:iCs/>
          <w:lang w:val="en-US"/>
        </w:rPr>
        <w:t>(b)</w:t>
      </w:r>
      <w:r w:rsidRPr="00D55AB8">
        <w:rPr>
          <w:bCs/>
          <w:iCs/>
          <w:lang w:val="en-US"/>
        </w:rPr>
        <w:tab/>
      </w:r>
      <w:r>
        <w:rPr>
          <w:bCs/>
          <w:iCs/>
          <w:lang w:val="en-US"/>
        </w:rPr>
        <w:t>L</w:t>
      </w:r>
      <w:r w:rsidRPr="00D55AB8">
        <w:rPr>
          <w:iCs/>
          <w:lang w:val="en-US"/>
        </w:rPr>
        <w:t xml:space="preserve">amps produced by the same manufacturer differing only by the trade name or mark </w:t>
      </w:r>
      <w:r w:rsidRPr="00D55AB8">
        <w:rPr>
          <w:bCs/>
          <w:iCs/>
          <w:lang w:val="en-US"/>
        </w:rPr>
        <w:t>shall</w:t>
      </w:r>
      <w:r w:rsidRPr="00D55AB8">
        <w:rPr>
          <w:iCs/>
          <w:lang w:val="en-US"/>
        </w:rPr>
        <w:t xml:space="preserve"> be considered </w:t>
      </w:r>
      <w:r w:rsidRPr="00D55AB8">
        <w:rPr>
          <w:bCs/>
          <w:iCs/>
          <w:lang w:val="en-US"/>
        </w:rPr>
        <w:t>as being</w:t>
      </w:r>
      <w:r w:rsidRPr="00D55AB8">
        <w:rPr>
          <w:iCs/>
          <w:lang w:val="en-US"/>
        </w:rPr>
        <w:t xml:space="preserve"> of the same type."</w:t>
      </w:r>
    </w:p>
    <w:p w14:paraId="1DF00726" w14:textId="77777777" w:rsidR="003F5512" w:rsidRPr="00B14D89" w:rsidRDefault="003F5512" w:rsidP="003F5512">
      <w:pPr>
        <w:pStyle w:val="para"/>
      </w:pPr>
      <w:r w:rsidRPr="00B14D89">
        <w:rPr>
          <w:i/>
        </w:rPr>
        <w:t>Insert new paragraphs 2.2.7. to 2.2.7.2.</w:t>
      </w:r>
      <w:r w:rsidRPr="0088541D">
        <w:t>,</w:t>
      </w:r>
      <w:r w:rsidRPr="00B14D89">
        <w:t xml:space="preserve"> to read:</w:t>
      </w:r>
    </w:p>
    <w:p w14:paraId="1C4F1047" w14:textId="7AD9A17D" w:rsidR="003F5512" w:rsidRPr="00D55AB8" w:rsidRDefault="003F5512" w:rsidP="003F5512">
      <w:pPr>
        <w:pStyle w:val="para"/>
      </w:pPr>
      <w:r w:rsidRPr="00D55AB8">
        <w:t>"2.2.7</w:t>
      </w:r>
      <w:r w:rsidR="00716B90">
        <w:t>.</w:t>
      </w:r>
      <w:r w:rsidRPr="00D55AB8">
        <w:tab/>
        <w:t>In the case of a type of lamp differing only by the trade name or mark from a type that has already been approved it shall be sufficient to submit:</w:t>
      </w:r>
    </w:p>
    <w:p w14:paraId="2030349C" w14:textId="77777777" w:rsidR="003F5512" w:rsidRPr="00D55AB8" w:rsidRDefault="003F5512" w:rsidP="003F5512">
      <w:pPr>
        <w:pStyle w:val="para"/>
      </w:pPr>
      <w:r w:rsidRPr="00D55AB8">
        <w:t>2.2.7.1.</w:t>
      </w:r>
      <w:r w:rsidRPr="00D55AB8">
        <w:tab/>
      </w:r>
      <w:r>
        <w:t>A</w:t>
      </w:r>
      <w:r w:rsidRPr="00D55AB8">
        <w:t xml:space="preserve"> declaration by the lamp manufacturer that the type submitted is identical (except in the trade name or mark) with and has been produced by the same manufacturer as, the type already approved, the latter being identified by its approval code;</w:t>
      </w:r>
    </w:p>
    <w:p w14:paraId="745EFCB7" w14:textId="77777777" w:rsidR="003F5512" w:rsidRPr="00D55AB8" w:rsidRDefault="003F5512" w:rsidP="003F5512">
      <w:pPr>
        <w:pStyle w:val="para"/>
      </w:pPr>
      <w:r w:rsidRPr="00D55AB8">
        <w:t>2.2.7.</w:t>
      </w:r>
      <w:r>
        <w:t>2.</w:t>
      </w:r>
      <w:r w:rsidRPr="00D55AB8">
        <w:tab/>
      </w:r>
      <w:r>
        <w:t>T</w:t>
      </w:r>
      <w:r w:rsidRPr="00D55AB8">
        <w:t>wo samples bearing the new trade name or mark or equivalent documentation."</w:t>
      </w:r>
    </w:p>
    <w:p w14:paraId="7B11F396" w14:textId="77777777" w:rsidR="003F5512" w:rsidRPr="00126DEC" w:rsidRDefault="003F5512" w:rsidP="003F5512">
      <w:pPr>
        <w:pStyle w:val="para"/>
        <w:rPr>
          <w:b/>
          <w:bCs/>
        </w:rPr>
      </w:pPr>
      <w:r w:rsidRPr="009E06D3">
        <w:rPr>
          <w:i/>
        </w:rPr>
        <w:t>Paragraph 2.2.7.</w:t>
      </w:r>
      <w:r>
        <w:rPr>
          <w:i/>
        </w:rPr>
        <w:t>(former)</w:t>
      </w:r>
      <w:r w:rsidRPr="0088541D">
        <w:t>,</w:t>
      </w:r>
      <w:r w:rsidRPr="009E06D3">
        <w:t xml:space="preserve"> renumber as </w:t>
      </w:r>
      <w:r>
        <w:t>p</w:t>
      </w:r>
      <w:r w:rsidRPr="009E06D3">
        <w:t>aragraph 2.2.8.</w:t>
      </w:r>
    </w:p>
    <w:p w14:paraId="7ABAAC1D" w14:textId="77777777" w:rsidR="003F5512" w:rsidRPr="00D55AB8" w:rsidRDefault="003F5512" w:rsidP="003F5512">
      <w:pPr>
        <w:spacing w:after="120"/>
        <w:ind w:left="1985" w:right="1134" w:hanging="851"/>
        <w:rPr>
          <w:i/>
          <w:iCs/>
          <w:lang w:val="en-US"/>
        </w:rPr>
      </w:pPr>
      <w:r w:rsidRPr="00D55AB8">
        <w:rPr>
          <w:i/>
          <w:iCs/>
          <w:lang w:val="en-US"/>
        </w:rPr>
        <w:t>Paragraph 5.</w:t>
      </w:r>
      <w:r w:rsidRPr="00D55AB8">
        <w:rPr>
          <w:lang w:val="en-US"/>
        </w:rPr>
        <w:t>, amend to read:</w:t>
      </w:r>
    </w:p>
    <w:p w14:paraId="6669C0A8" w14:textId="77777777" w:rsidR="003F5512" w:rsidRPr="00D55AB8" w:rsidRDefault="003F5512" w:rsidP="003F5512">
      <w:pPr>
        <w:spacing w:after="240"/>
        <w:ind w:left="2268" w:right="1134" w:hanging="1134"/>
        <w:rPr>
          <w:b/>
          <w:sz w:val="28"/>
          <w:szCs w:val="28"/>
          <w:lang w:val="en-US"/>
        </w:rPr>
      </w:pPr>
      <w:r w:rsidRPr="00D55AB8">
        <w:rPr>
          <w:b/>
          <w:sz w:val="28"/>
          <w:szCs w:val="28"/>
          <w:lang w:val="en-US"/>
        </w:rPr>
        <w:t>"5.</w:t>
      </w:r>
      <w:r w:rsidRPr="00D55AB8">
        <w:rPr>
          <w:b/>
          <w:sz w:val="28"/>
          <w:szCs w:val="28"/>
          <w:lang w:val="en-US"/>
        </w:rPr>
        <w:tab/>
        <w:t>General specifications</w:t>
      </w:r>
    </w:p>
    <w:p w14:paraId="0210CB12" w14:textId="10B372ED" w:rsidR="003F5512" w:rsidRPr="00D55AB8" w:rsidRDefault="003F5512" w:rsidP="003F5512">
      <w:pPr>
        <w:spacing w:after="120"/>
        <w:ind w:left="2268" w:right="1134" w:hanging="1134"/>
        <w:jc w:val="both"/>
        <w:rPr>
          <w:lang w:val="en-US"/>
        </w:rPr>
      </w:pPr>
      <w:r w:rsidRPr="00D55AB8">
        <w:rPr>
          <w:lang w:val="en-US"/>
        </w:rPr>
        <w:tab/>
        <w:t>The requirements contained in sections 5 "General specification</w:t>
      </w:r>
      <w:r>
        <w:rPr>
          <w:lang w:val="en-US"/>
        </w:rPr>
        <w:t>s</w:t>
      </w:r>
      <w:r w:rsidR="00716B90">
        <w:rPr>
          <w:lang w:val="en-US"/>
        </w:rPr>
        <w:t>" and </w:t>
      </w:r>
      <w:r w:rsidRPr="00D55AB8">
        <w:rPr>
          <w:lang w:val="en-US"/>
        </w:rPr>
        <w:t xml:space="preserve">6 "Individual specifications" and in the Annexes referenced in the said sections of </w:t>
      </w:r>
      <w:r w:rsidR="00740CB3">
        <w:rPr>
          <w:lang w:val="en-US"/>
        </w:rPr>
        <w:t>UN Regulation</w:t>
      </w:r>
      <w:r w:rsidRPr="00D55AB8">
        <w:rPr>
          <w:lang w:val="en-US"/>
        </w:rPr>
        <w:t xml:space="preserve"> No. 48, and their series of amendments in force at the time of application for the lamp type approval shall apply to this Regulation.</w:t>
      </w:r>
    </w:p>
    <w:p w14:paraId="594B2371" w14:textId="77777777" w:rsidR="003F5512" w:rsidRDefault="003F5512" w:rsidP="003F5512">
      <w:pPr>
        <w:spacing w:after="120"/>
        <w:ind w:left="2268" w:right="1134" w:hanging="1134"/>
        <w:jc w:val="both"/>
        <w:rPr>
          <w:lang w:val="en-US"/>
        </w:rPr>
      </w:pPr>
      <w:r w:rsidRPr="00D55AB8">
        <w:rPr>
          <w:lang w:val="en-US"/>
        </w:rPr>
        <w:tab/>
        <w:t>The requirements pertinent to each lamp and to the category/ies of vehicle on which the lamp is intended to be installed shall be applied, where its verification at the moment of lamp type approval is feasible.</w:t>
      </w:r>
    </w:p>
    <w:p w14:paraId="329B7ED8" w14:textId="77777777" w:rsidR="003F5512" w:rsidRPr="00D55AB8" w:rsidRDefault="003F5512" w:rsidP="003F5512">
      <w:pPr>
        <w:spacing w:after="120"/>
        <w:ind w:left="2268" w:right="1134" w:hanging="1134"/>
        <w:jc w:val="both"/>
        <w:rPr>
          <w:lang w:val="en-US"/>
        </w:rPr>
      </w:pPr>
      <w:r>
        <w:rPr>
          <w:lang w:val="en-US"/>
        </w:rPr>
        <w:t>5.1.</w:t>
      </w:r>
      <w:r>
        <w:rPr>
          <w:lang w:val="en-US"/>
        </w:rPr>
        <w:tab/>
        <w:t>…</w:t>
      </w:r>
      <w:r w:rsidRPr="00D55AB8">
        <w:rPr>
          <w:lang w:val="en-US"/>
        </w:rPr>
        <w:t>"</w:t>
      </w:r>
    </w:p>
    <w:p w14:paraId="125DF851" w14:textId="77777777" w:rsidR="003F5512" w:rsidRPr="002C28F3" w:rsidRDefault="003F5512" w:rsidP="003F5512">
      <w:pPr>
        <w:spacing w:after="120"/>
        <w:ind w:left="2268" w:right="1134" w:hanging="1134"/>
        <w:jc w:val="both"/>
        <w:rPr>
          <w:i/>
          <w:iCs/>
          <w:lang w:val="en-US"/>
        </w:rPr>
      </w:pPr>
      <w:r w:rsidRPr="002C28F3">
        <w:rPr>
          <w:i/>
          <w:iCs/>
          <w:lang w:val="en-US"/>
        </w:rPr>
        <w:t>Paragraph 5.7.3.</w:t>
      </w:r>
      <w:r w:rsidRPr="0088541D">
        <w:rPr>
          <w:iCs/>
          <w:lang w:val="en-US"/>
        </w:rPr>
        <w:t>,</w:t>
      </w:r>
      <w:r w:rsidRPr="002C28F3">
        <w:rPr>
          <w:i/>
          <w:iCs/>
          <w:lang w:val="en-US"/>
        </w:rPr>
        <w:t xml:space="preserve"> </w:t>
      </w:r>
      <w:r w:rsidRPr="002C28F3">
        <w:rPr>
          <w:iCs/>
          <w:lang w:val="en-US"/>
        </w:rPr>
        <w:t>amend to read:</w:t>
      </w:r>
    </w:p>
    <w:p w14:paraId="3A0BF8B8" w14:textId="77777777" w:rsidR="003F5512" w:rsidRPr="003A0FD0" w:rsidRDefault="003F5512" w:rsidP="003F5512">
      <w:pPr>
        <w:spacing w:after="120"/>
        <w:ind w:left="2268" w:right="1134" w:hanging="1134"/>
        <w:jc w:val="both"/>
        <w:rPr>
          <w:lang w:val="en-US"/>
        </w:rPr>
      </w:pPr>
      <w:r w:rsidRPr="003A0FD0">
        <w:rPr>
          <w:lang w:val="en-US"/>
        </w:rPr>
        <w:t>"5.7.3.</w:t>
      </w:r>
      <w:r w:rsidRPr="003A0FD0">
        <w:rPr>
          <w:lang w:val="en-US"/>
        </w:rPr>
        <w:tab/>
      </w:r>
      <w:r w:rsidRPr="003A0FD0">
        <w:rPr>
          <w:spacing w:val="-2"/>
          <w:lang w:val="en-US"/>
        </w:rPr>
        <w:t xml:space="preserve">In the case of failure it must be possible to obtain automatically a passing beam or a state with respect to the photometric conditions which yields values not exceeding 1,300 cd in the zone III b as defined in Annex 3 to this Regulation and at </w:t>
      </w:r>
      <w:r w:rsidRPr="003A0FD0">
        <w:rPr>
          <w:spacing w:val="-2"/>
          <w:lang w:val="en-US" w:eastAsia="ja-JP"/>
        </w:rPr>
        <w:t>least</w:t>
      </w:r>
      <w:r w:rsidRPr="003A0FD0">
        <w:rPr>
          <w:spacing w:val="-2"/>
          <w:lang w:val="en-US"/>
        </w:rPr>
        <w:t xml:space="preserve"> 3,400 cd in a point of "segment</w:t>
      </w:r>
      <w:r w:rsidRPr="003A0FD0">
        <w:rPr>
          <w:b/>
          <w:spacing w:val="-2"/>
          <w:lang w:val="en-US"/>
        </w:rPr>
        <w:t xml:space="preserve"> </w:t>
      </w:r>
      <w:r w:rsidRPr="003A0FD0">
        <w:rPr>
          <w:spacing w:val="-2"/>
          <w:lang w:val="en-US"/>
        </w:rPr>
        <w:t>I</w:t>
      </w:r>
      <w:r w:rsidRPr="003A0FD0">
        <w:rPr>
          <w:spacing w:val="-2"/>
          <w:vertAlign w:val="subscript"/>
          <w:lang w:val="en-US"/>
        </w:rPr>
        <w:t>max</w:t>
      </w:r>
      <w:r w:rsidRPr="003A0FD0">
        <w:rPr>
          <w:spacing w:val="-2"/>
          <w:lang w:val="en-US"/>
        </w:rPr>
        <w:t>", by such means as e.g. switching off, dimming, aiming downwards, and/or functional substitution;</w:t>
      </w:r>
    </w:p>
    <w:p w14:paraId="785174A5" w14:textId="77777777" w:rsidR="003F5512" w:rsidRPr="003A0FD0" w:rsidRDefault="003F5512" w:rsidP="003F5512">
      <w:pPr>
        <w:spacing w:after="120"/>
        <w:ind w:left="2268" w:right="1134" w:hanging="1134"/>
        <w:jc w:val="both"/>
        <w:rPr>
          <w:lang w:val="en-US" w:eastAsia="ja-JP"/>
        </w:rPr>
      </w:pPr>
      <w:r w:rsidRPr="003A0FD0">
        <w:rPr>
          <w:lang w:val="en-US" w:eastAsia="ja-JP"/>
        </w:rPr>
        <w:tab/>
        <w:t>When performing the tests to verify compliance with these requirements, the Technical Service responsible for approval tests shall refer to the instructions supplied by the applicant."</w:t>
      </w:r>
    </w:p>
    <w:p w14:paraId="67F4DAEB" w14:textId="77777777" w:rsidR="003F5512" w:rsidRPr="00782F27" w:rsidRDefault="003F5512" w:rsidP="003F5512">
      <w:pPr>
        <w:spacing w:after="120"/>
        <w:ind w:left="2268" w:right="1134" w:hanging="1134"/>
        <w:jc w:val="both"/>
        <w:rPr>
          <w:i/>
          <w:iCs/>
          <w:lang w:val="en-US"/>
        </w:rPr>
      </w:pPr>
      <w:r w:rsidRPr="00782F27">
        <w:rPr>
          <w:i/>
          <w:iCs/>
          <w:lang w:val="en-US"/>
        </w:rPr>
        <w:t>Paragraph 6.2.4.</w:t>
      </w:r>
      <w:r w:rsidRPr="0088541D">
        <w:rPr>
          <w:iCs/>
          <w:lang w:val="en-US"/>
        </w:rPr>
        <w:t>,</w:t>
      </w:r>
      <w:r w:rsidRPr="00782F27">
        <w:rPr>
          <w:i/>
          <w:iCs/>
          <w:lang w:val="en-US"/>
        </w:rPr>
        <w:t xml:space="preserve"> </w:t>
      </w:r>
      <w:r w:rsidRPr="00782F27">
        <w:rPr>
          <w:iCs/>
          <w:lang w:val="en-US"/>
        </w:rPr>
        <w:t>amend to read:</w:t>
      </w:r>
    </w:p>
    <w:p w14:paraId="377F68AD" w14:textId="77777777" w:rsidR="003F5512" w:rsidRPr="003A0FD0" w:rsidRDefault="003F5512" w:rsidP="003F5512">
      <w:pPr>
        <w:spacing w:after="120"/>
        <w:ind w:left="2268" w:right="1134" w:hanging="1134"/>
        <w:jc w:val="both"/>
        <w:rPr>
          <w:lang w:val="en-US"/>
        </w:rPr>
      </w:pPr>
      <w:r w:rsidRPr="003A0FD0">
        <w:rPr>
          <w:lang w:val="en-US"/>
        </w:rPr>
        <w:t>"6.2.4.</w:t>
      </w:r>
      <w:r w:rsidRPr="003A0FD0">
        <w:rPr>
          <w:lang w:val="en-US"/>
        </w:rPr>
        <w:tab/>
        <w:t>When emitting a specified mode of the passing beam, the system shall meet the requirements in the respective section (C, V, E, W) of part A of Table 1 (photometric values) and in Table 2</w:t>
      </w:r>
      <w:r w:rsidRPr="003A0FD0">
        <w:rPr>
          <w:b/>
          <w:lang w:val="en-US"/>
        </w:rPr>
        <w:t xml:space="preserve"> </w:t>
      </w:r>
      <w:r w:rsidRPr="003A0FD0">
        <w:rPr>
          <w:lang w:val="en-US"/>
        </w:rPr>
        <w:t>I</w:t>
      </w:r>
      <w:r w:rsidRPr="003A0FD0">
        <w:rPr>
          <w:vertAlign w:val="subscript"/>
          <w:lang w:val="en-US"/>
        </w:rPr>
        <w:t>max</w:t>
      </w:r>
      <w:r w:rsidRPr="003A0FD0">
        <w:rPr>
          <w:lang w:val="en-US"/>
        </w:rPr>
        <w:t xml:space="preserve"> and "cut-off" positions) of Annex 3 to this Regulation, as well as section 1 ("cut-off" requirements) of Annex 8 to this Regulation."</w:t>
      </w:r>
    </w:p>
    <w:p w14:paraId="2DDF7FA1" w14:textId="77777777" w:rsidR="003F5512" w:rsidRPr="003A0FD0" w:rsidRDefault="003F5512" w:rsidP="00716B90">
      <w:pPr>
        <w:keepNext/>
        <w:keepLines/>
        <w:spacing w:after="120"/>
        <w:ind w:left="2268" w:right="1134" w:hanging="1134"/>
        <w:jc w:val="both"/>
        <w:rPr>
          <w:iCs/>
          <w:lang w:val="en-US"/>
        </w:rPr>
      </w:pPr>
      <w:r w:rsidRPr="003A0FD0">
        <w:rPr>
          <w:i/>
          <w:iCs/>
          <w:lang w:val="en-US"/>
        </w:rPr>
        <w:lastRenderedPageBreak/>
        <w:t>Paragraph 6.2.5.4.</w:t>
      </w:r>
      <w:r w:rsidRPr="0088541D">
        <w:rPr>
          <w:iCs/>
          <w:lang w:val="en-US"/>
        </w:rPr>
        <w:t>,</w:t>
      </w:r>
      <w:r w:rsidRPr="003A0FD0">
        <w:rPr>
          <w:i/>
          <w:iCs/>
          <w:lang w:val="en-US"/>
        </w:rPr>
        <w:t xml:space="preserve"> </w:t>
      </w:r>
      <w:r w:rsidRPr="003A0FD0">
        <w:rPr>
          <w:iCs/>
          <w:lang w:val="en-US"/>
        </w:rPr>
        <w:t>amend to read:</w:t>
      </w:r>
    </w:p>
    <w:p w14:paraId="7230019A" w14:textId="77777777" w:rsidR="003F5512" w:rsidRPr="003A0FD0" w:rsidRDefault="003F5512" w:rsidP="00716B90">
      <w:pPr>
        <w:keepNext/>
        <w:keepLines/>
        <w:spacing w:after="120"/>
        <w:ind w:left="2268" w:right="1134" w:hanging="1134"/>
        <w:jc w:val="both"/>
        <w:rPr>
          <w:lang w:val="en-US"/>
        </w:rPr>
      </w:pPr>
      <w:r w:rsidRPr="003A0FD0">
        <w:rPr>
          <w:lang w:val="en-US"/>
        </w:rPr>
        <w:t>"6.2.5.4</w:t>
      </w:r>
      <w:r w:rsidRPr="003A0FD0">
        <w:rPr>
          <w:color w:val="943634"/>
          <w:lang w:val="en-US"/>
        </w:rPr>
        <w:t>.</w:t>
      </w:r>
      <w:r w:rsidRPr="003A0FD0">
        <w:rPr>
          <w:lang w:val="en-US"/>
        </w:rPr>
        <w:tab/>
        <w:t xml:space="preserve">If approval is sought for a category 1 bending mode, the system is designed so that, in the case of a failure affecting the lateral movement or modification of the illumination, it must be possible to obtain automatically either photometric conditions corresponding to paragraph 6.2.4. above or a state with respect to the photometric conditions which yields values not exceeding </w:t>
      </w:r>
      <w:r w:rsidRPr="003A0FD0">
        <w:rPr>
          <w:lang w:val="en-US" w:eastAsia="ja-JP"/>
        </w:rPr>
        <w:t xml:space="preserve">1,300 cd </w:t>
      </w:r>
      <w:r w:rsidRPr="003A0FD0">
        <w:rPr>
          <w:lang w:val="en-US"/>
        </w:rPr>
        <w:t>in the zone IIIb, as defined in Annex 3 to this Regulation, and at least 3,400 cd in a point of "segment I</w:t>
      </w:r>
      <w:r w:rsidRPr="003A0FD0">
        <w:rPr>
          <w:vertAlign w:val="subscript"/>
          <w:lang w:val="en-US"/>
        </w:rPr>
        <w:t>max</w:t>
      </w:r>
      <w:r w:rsidRPr="003A0FD0">
        <w:rPr>
          <w:lang w:val="en-US"/>
        </w:rPr>
        <w:t xml:space="preserve"> ";"</w:t>
      </w:r>
    </w:p>
    <w:p w14:paraId="36BA610A" w14:textId="77777777" w:rsidR="003F5512" w:rsidRPr="00AB05E0" w:rsidRDefault="003F5512" w:rsidP="003F5512">
      <w:pPr>
        <w:spacing w:after="120"/>
        <w:ind w:left="2268" w:right="1134" w:hanging="1134"/>
        <w:rPr>
          <w:lang w:val="en-US"/>
        </w:rPr>
      </w:pPr>
      <w:r w:rsidRPr="00AB05E0">
        <w:rPr>
          <w:i/>
          <w:lang w:val="en-US"/>
        </w:rPr>
        <w:t>Paragraph 6.4.3.1</w:t>
      </w:r>
      <w:r w:rsidRPr="0088541D">
        <w:rPr>
          <w:lang w:val="en-US"/>
        </w:rPr>
        <w:t>,</w:t>
      </w:r>
      <w:r w:rsidRPr="00AB05E0">
        <w:rPr>
          <w:i/>
          <w:lang w:val="en-US"/>
        </w:rPr>
        <w:t xml:space="preserve"> </w:t>
      </w:r>
      <w:r w:rsidRPr="00AB05E0">
        <w:rPr>
          <w:lang w:val="en-US"/>
        </w:rPr>
        <w:t>amend to read:</w:t>
      </w:r>
    </w:p>
    <w:p w14:paraId="27298C49" w14:textId="77777777" w:rsidR="003F5512" w:rsidRDefault="003F5512" w:rsidP="003F5512">
      <w:pPr>
        <w:pStyle w:val="Regelungneu2-0times"/>
        <w:spacing w:line="240" w:lineRule="atLeast"/>
        <w:ind w:left="2268" w:right="1134"/>
        <w:jc w:val="both"/>
        <w:rPr>
          <w:sz w:val="20"/>
        </w:rPr>
      </w:pPr>
      <w:r>
        <w:rPr>
          <w:sz w:val="20"/>
        </w:rPr>
        <w:t>"</w:t>
      </w:r>
      <w:r w:rsidRPr="00332659">
        <w:rPr>
          <w:sz w:val="20"/>
        </w:rPr>
        <w:t>6.4.3.1.</w:t>
      </w:r>
      <w:r w:rsidRPr="00332659">
        <w:rPr>
          <w:sz w:val="20"/>
        </w:rPr>
        <w:tab/>
      </w:r>
      <w:r>
        <w:rPr>
          <w:sz w:val="20"/>
        </w:rPr>
        <w:t>P</w:t>
      </w:r>
      <w:r w:rsidRPr="00332659">
        <w:rPr>
          <w:sz w:val="20"/>
        </w:rPr>
        <w:t xml:space="preserve">assing beam: points </w:t>
      </w:r>
      <w:r w:rsidRPr="00AB05E0">
        <w:rPr>
          <w:sz w:val="20"/>
          <w:lang w:val="en-US"/>
        </w:rPr>
        <w:t>B50L</w:t>
      </w:r>
      <w:r w:rsidRPr="00332659">
        <w:rPr>
          <w:sz w:val="20"/>
        </w:rPr>
        <w:t xml:space="preserve"> and 75R, </w:t>
      </w:r>
      <w:r w:rsidRPr="007964EF">
        <w:rPr>
          <w:sz w:val="20"/>
        </w:rPr>
        <w:t>or 50R if applicable;</w:t>
      </w:r>
      <w:r w:rsidRPr="00332659">
        <w:rPr>
          <w:sz w:val="20"/>
        </w:rPr>
        <w:t xml:space="preserve"> </w:t>
      </w:r>
    </w:p>
    <w:p w14:paraId="7FF78337" w14:textId="77777777" w:rsidR="003F5512" w:rsidRPr="00332659" w:rsidRDefault="003F5512" w:rsidP="003F5512">
      <w:pPr>
        <w:pStyle w:val="Regelungneu2-0times"/>
        <w:spacing w:line="240" w:lineRule="atLeast"/>
        <w:ind w:left="2268" w:right="1134"/>
        <w:jc w:val="both"/>
        <w:rPr>
          <w:sz w:val="20"/>
        </w:rPr>
      </w:pPr>
      <w:r>
        <w:rPr>
          <w:sz w:val="20"/>
        </w:rPr>
        <w:tab/>
        <w:t>D</w:t>
      </w:r>
      <w:r w:rsidRPr="00332659">
        <w:rPr>
          <w:sz w:val="20"/>
        </w:rPr>
        <w:t>riving beam: I</w:t>
      </w:r>
      <w:r w:rsidRPr="00332659">
        <w:rPr>
          <w:sz w:val="20"/>
          <w:vertAlign w:val="subscript"/>
        </w:rPr>
        <w:t>M</w:t>
      </w:r>
      <w:r w:rsidRPr="00332659">
        <w:rPr>
          <w:sz w:val="20"/>
        </w:rPr>
        <w:t xml:space="preserve"> and point HV (percentage of I</w:t>
      </w:r>
      <w:r w:rsidRPr="00332659">
        <w:rPr>
          <w:sz w:val="20"/>
          <w:vertAlign w:val="subscript"/>
        </w:rPr>
        <w:t>M</w:t>
      </w:r>
      <w:r w:rsidRPr="00332659">
        <w:rPr>
          <w:sz w:val="20"/>
        </w:rPr>
        <w:t>);</w:t>
      </w:r>
      <w:r>
        <w:rPr>
          <w:sz w:val="20"/>
        </w:rPr>
        <w:t>"</w:t>
      </w:r>
    </w:p>
    <w:p w14:paraId="5571C5BF" w14:textId="560DFE6B" w:rsidR="003F5512" w:rsidRDefault="003F5512" w:rsidP="003F5512">
      <w:pPr>
        <w:spacing w:after="120"/>
        <w:ind w:left="567" w:firstLine="567"/>
        <w:rPr>
          <w:i/>
          <w:iCs/>
          <w:lang w:val="en-US"/>
        </w:rPr>
      </w:pPr>
      <w:r w:rsidRPr="003A0FD0">
        <w:rPr>
          <w:i/>
          <w:iCs/>
          <w:lang w:val="en-US"/>
        </w:rPr>
        <w:t xml:space="preserve">Annex 3 </w:t>
      </w:r>
    </w:p>
    <w:p w14:paraId="08BC1877" w14:textId="77777777" w:rsidR="003F5512" w:rsidRPr="007134E8" w:rsidRDefault="003F5512" w:rsidP="003F5512">
      <w:pPr>
        <w:spacing w:after="120"/>
        <w:ind w:left="2268" w:right="1134" w:hanging="1134"/>
        <w:rPr>
          <w:i/>
          <w:iCs/>
          <w:lang w:val="en-US"/>
        </w:rPr>
      </w:pPr>
      <w:r w:rsidRPr="007134E8">
        <w:rPr>
          <w:i/>
          <w:iCs/>
          <w:lang w:val="en-US"/>
        </w:rPr>
        <w:t>Figure 1</w:t>
      </w:r>
      <w:r w:rsidRPr="0088541D">
        <w:rPr>
          <w:iCs/>
          <w:lang w:val="en-US"/>
        </w:rPr>
        <w:t>,</w:t>
      </w:r>
      <w:r w:rsidRPr="007134E8">
        <w:rPr>
          <w:i/>
          <w:iCs/>
          <w:lang w:val="en-US"/>
        </w:rPr>
        <w:t xml:space="preserve"> </w:t>
      </w:r>
      <w:r w:rsidRPr="009B1570">
        <w:rPr>
          <w:iCs/>
          <w:lang w:val="en-US"/>
        </w:rPr>
        <w:t xml:space="preserve">amend to </w:t>
      </w:r>
      <w:r>
        <w:rPr>
          <w:iCs/>
          <w:lang w:val="en-US"/>
        </w:rPr>
        <w:t>read:</w:t>
      </w:r>
    </w:p>
    <w:p w14:paraId="33034C2C" w14:textId="77777777" w:rsidR="003F5512" w:rsidRDefault="003F5512" w:rsidP="003F5512">
      <w:pPr>
        <w:ind w:left="2268" w:right="1134" w:hanging="1134"/>
        <w:rPr>
          <w:lang w:val="en-US"/>
        </w:rPr>
      </w:pPr>
      <w:r>
        <w:rPr>
          <w:rStyle w:val="Strong"/>
          <w:lang w:val="en-US"/>
        </w:rPr>
        <w:t>"</w:t>
      </w:r>
      <w:r w:rsidRPr="0088541D">
        <w:rPr>
          <w:rStyle w:val="Strong"/>
          <w:b w:val="0"/>
          <w:lang w:val="en-US"/>
        </w:rPr>
        <w:t>Figure 1</w:t>
      </w:r>
    </w:p>
    <w:p w14:paraId="208DFDA4" w14:textId="77777777" w:rsidR="003F5512" w:rsidRPr="004179E6" w:rsidRDefault="003F5512" w:rsidP="003F5512">
      <w:pPr>
        <w:pStyle w:val="Heading1"/>
        <w:numPr>
          <w:ilvl w:val="0"/>
          <w:numId w:val="0"/>
        </w:numPr>
        <w:spacing w:after="120"/>
        <w:ind w:left="1134"/>
        <w:rPr>
          <w:b/>
          <w:i/>
          <w:iCs/>
          <w:lang w:val="en-US"/>
        </w:rPr>
      </w:pPr>
      <w:r w:rsidRPr="004179E6">
        <w:rPr>
          <w:b/>
          <w:lang w:val="en-US"/>
        </w:rPr>
        <w:t xml:space="preserve">Angular positions of passing beam photometric requirements </w:t>
      </w:r>
      <w:r>
        <w:rPr>
          <w:b/>
          <w:lang w:val="en-US"/>
        </w:rPr>
        <w:br/>
      </w:r>
      <w:r w:rsidRPr="004179E6">
        <w:rPr>
          <w:b/>
          <w:lang w:val="en-US"/>
        </w:rPr>
        <w:t>(indicated for right-hand traffic) </w:t>
      </w:r>
    </w:p>
    <w:p w14:paraId="02484543" w14:textId="77777777" w:rsidR="003F5512" w:rsidRDefault="003F5512" w:rsidP="003F5512">
      <w:pPr>
        <w:spacing w:line="240" w:lineRule="auto"/>
        <w:jc w:val="center"/>
        <w:rPr>
          <w:iCs/>
          <w:lang w:val="en-US"/>
        </w:rPr>
      </w:pPr>
      <w:r>
        <w:rPr>
          <w:i/>
          <w:iCs/>
          <w:noProof/>
          <w:lang w:eastAsia="en-GB"/>
        </w:rPr>
        <mc:AlternateContent>
          <mc:Choice Requires="wps">
            <w:drawing>
              <wp:anchor distT="0" distB="0" distL="114300" distR="114300" simplePos="0" relativeHeight="251659776" behindDoc="0" locked="0" layoutInCell="1" allowOverlap="1" wp14:anchorId="037F81E1" wp14:editId="4DA64956">
                <wp:simplePos x="0" y="0"/>
                <wp:positionH relativeFrom="column">
                  <wp:posOffset>3881755</wp:posOffset>
                </wp:positionH>
                <wp:positionV relativeFrom="paragraph">
                  <wp:posOffset>1661795</wp:posOffset>
                </wp:positionV>
                <wp:extent cx="516255" cy="262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62255"/>
                        </a:xfrm>
                        <a:prstGeom prst="rect">
                          <a:avLst/>
                        </a:prstGeom>
                        <a:solidFill>
                          <a:schemeClr val="accent2">
                            <a:alpha val="0"/>
                          </a:schemeClr>
                        </a:solidFill>
                        <a:ln w="9525">
                          <a:noFill/>
                          <a:miter lim="800000"/>
                          <a:headEnd/>
                          <a:tailEnd/>
                        </a:ln>
                      </wps:spPr>
                      <wps:txbx>
                        <w:txbxContent>
                          <w:p w14:paraId="0621834A" w14:textId="77777777" w:rsidR="003F5512" w:rsidRPr="002F31EE" w:rsidRDefault="003F5512" w:rsidP="003F5512">
                            <w:pPr>
                              <w:rPr>
                                <w:b/>
                              </w:rPr>
                            </w:pPr>
                            <w:r w:rsidRPr="003A0FD0">
                              <w:rPr>
                                <w:b/>
                              </w:rPr>
                              <w:t>I</w:t>
                            </w:r>
                            <w:r w:rsidRPr="003A0FD0">
                              <w:rPr>
                                <w:b/>
                                <w:sz w:val="16"/>
                              </w:rPr>
                              <w:t>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F81E1" id="_x0000_t202" coordsize="21600,21600" o:spt="202" path="m,l,21600r21600,l21600,xe">
                <v:stroke joinstyle="miter"/>
                <v:path gradientshapeok="t" o:connecttype="rect"/>
              </v:shapetype>
              <v:shape id="Text Box 2" o:spid="_x0000_s1026" type="#_x0000_t202" style="position:absolute;left:0;text-align:left;margin-left:305.65pt;margin-top:130.85pt;width:40.65pt;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" fillcolor="#c0504d [3205]" stroked="f">
                <v:fill opacity="0"/>
                <v:textbox>
                  <w:txbxContent>
                    <w:p w14:paraId="0621834A" w14:textId="77777777" w:rsidR="003F5512" w:rsidRPr="002F31EE" w:rsidRDefault="003F5512" w:rsidP="003F5512">
                      <w:pPr>
                        <w:rPr>
                          <w:b/>
                        </w:rPr>
                      </w:pPr>
                      <w:proofErr w:type="gramStart"/>
                      <w:r w:rsidRPr="003A0FD0">
                        <w:rPr>
                          <w:b/>
                        </w:rPr>
                        <w:t>I</w:t>
                      </w:r>
                      <w:r w:rsidRPr="003A0FD0">
                        <w:rPr>
                          <w:b/>
                          <w:sz w:val="16"/>
                        </w:rPr>
                        <w:t>max</w:t>
                      </w:r>
                      <w:proofErr w:type="gramEnd"/>
                    </w:p>
                  </w:txbxContent>
                </v:textbox>
              </v:shape>
            </w:pict>
          </mc:Fallback>
        </mc:AlternateContent>
      </w:r>
      <w:r>
        <w:rPr>
          <w:noProof/>
          <w:lang w:eastAsia="en-GB"/>
        </w:rPr>
        <w:drawing>
          <wp:inline distT="0" distB="0" distL="0" distR="0" wp14:anchorId="7F5855B5" wp14:editId="7ADD0F6A">
            <wp:extent cx="5731369" cy="276225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t="4102" b="-1"/>
                    <a:stretch/>
                  </pic:blipFill>
                  <pic:spPr bwMode="auto">
                    <a:xfrm>
                      <a:off x="0" y="0"/>
                      <a:ext cx="5731369" cy="2762250"/>
                    </a:xfrm>
                    <a:prstGeom prst="rect">
                      <a:avLst/>
                    </a:prstGeom>
                    <a:ln>
                      <a:noFill/>
                    </a:ln>
                    <a:extLst>
                      <a:ext uri="{53640926-AAD7-44D8-BBD7-CCE9431645EC}">
                        <a14:shadowObscured xmlns:a14="http://schemas.microsoft.com/office/drawing/2010/main"/>
                      </a:ext>
                    </a:extLst>
                  </pic:spPr>
                </pic:pic>
              </a:graphicData>
            </a:graphic>
          </wp:inline>
        </w:drawing>
      </w:r>
    </w:p>
    <w:p w14:paraId="2995D629" w14:textId="77777777" w:rsidR="003F5512" w:rsidRPr="007134E8" w:rsidRDefault="003F5512" w:rsidP="003F5512">
      <w:pPr>
        <w:pStyle w:val="SingleTxtG"/>
        <w:jc w:val="right"/>
        <w:rPr>
          <w:lang w:val="en-US"/>
        </w:rPr>
      </w:pPr>
      <w:r w:rsidRPr="004179E6">
        <w:rPr>
          <w:lang w:val="en-US"/>
        </w:rPr>
        <w:t>"</w:t>
      </w:r>
    </w:p>
    <w:p w14:paraId="7445ACEC" w14:textId="10450DBB" w:rsidR="003F5512" w:rsidRPr="003A0FD0" w:rsidRDefault="003F5512" w:rsidP="003F5512">
      <w:pPr>
        <w:spacing w:after="120"/>
        <w:ind w:left="2268" w:right="1467" w:hanging="1134"/>
        <w:jc w:val="both"/>
        <w:rPr>
          <w:i/>
          <w:lang w:val="en-US"/>
        </w:rPr>
      </w:pPr>
      <w:r w:rsidRPr="003A0FD0">
        <w:rPr>
          <w:i/>
          <w:lang w:val="en-US"/>
        </w:rPr>
        <w:t>Table 1, Part A, line 18</w:t>
      </w:r>
      <w:r w:rsidRPr="00716B90">
        <w:rPr>
          <w:lang w:val="en-US"/>
        </w:rPr>
        <w:t>,</w:t>
      </w:r>
      <w:r w:rsidRPr="003A0FD0">
        <w:rPr>
          <w:i/>
          <w:lang w:val="en-US"/>
        </w:rPr>
        <w:t xml:space="preserve"> </w:t>
      </w:r>
      <w:r w:rsidRPr="003A0FD0">
        <w:rPr>
          <w:lang w:val="en-US"/>
        </w:rPr>
        <w:t>replace "E</w:t>
      </w:r>
      <w:r w:rsidRPr="003A0FD0">
        <w:rPr>
          <w:vertAlign w:val="subscript"/>
          <w:lang w:val="en-US"/>
        </w:rPr>
        <w:t>max</w:t>
      </w:r>
      <w:r w:rsidRPr="003A0FD0">
        <w:rPr>
          <w:lang w:val="en-US"/>
        </w:rPr>
        <w:t>" with "I</w:t>
      </w:r>
      <w:r w:rsidRPr="003A0FD0">
        <w:rPr>
          <w:vertAlign w:val="subscript"/>
          <w:lang w:val="en-US"/>
        </w:rPr>
        <w:t>max</w:t>
      </w:r>
      <w:r w:rsidR="00716B90">
        <w:rPr>
          <w:lang w:val="en-US"/>
        </w:rPr>
        <w:t>".</w:t>
      </w:r>
    </w:p>
    <w:p w14:paraId="3007DC43" w14:textId="467EC888" w:rsidR="003F5512" w:rsidRPr="003A0FD0" w:rsidRDefault="003F5512" w:rsidP="003F5512">
      <w:pPr>
        <w:spacing w:after="120"/>
        <w:ind w:left="2268" w:right="1467" w:hanging="1134"/>
        <w:jc w:val="both"/>
        <w:rPr>
          <w:i/>
          <w:lang w:val="en-US"/>
        </w:rPr>
      </w:pPr>
      <w:r w:rsidRPr="003A0FD0">
        <w:rPr>
          <w:i/>
          <w:lang w:val="en-US"/>
        </w:rPr>
        <w:t>Table 1, Part B, line 18</w:t>
      </w:r>
      <w:r w:rsidRPr="00716B90">
        <w:rPr>
          <w:lang w:val="en-US"/>
        </w:rPr>
        <w:t>,</w:t>
      </w:r>
      <w:r w:rsidRPr="003A0FD0">
        <w:rPr>
          <w:i/>
          <w:lang w:val="en-US"/>
        </w:rPr>
        <w:t xml:space="preserve"> </w:t>
      </w:r>
      <w:r w:rsidRPr="003A0FD0">
        <w:rPr>
          <w:lang w:val="en-US"/>
        </w:rPr>
        <w:t>replace "E</w:t>
      </w:r>
      <w:r w:rsidRPr="003A0FD0">
        <w:rPr>
          <w:vertAlign w:val="subscript"/>
          <w:lang w:val="en-US"/>
        </w:rPr>
        <w:t>max</w:t>
      </w:r>
      <w:r w:rsidRPr="003A0FD0">
        <w:rPr>
          <w:lang w:val="en-US"/>
        </w:rPr>
        <w:t>" with "I</w:t>
      </w:r>
      <w:r w:rsidRPr="003A0FD0">
        <w:rPr>
          <w:vertAlign w:val="subscript"/>
          <w:lang w:val="en-US"/>
        </w:rPr>
        <w:t>max</w:t>
      </w:r>
      <w:r w:rsidR="00716B90">
        <w:rPr>
          <w:lang w:val="en-US"/>
        </w:rPr>
        <w:t>".</w:t>
      </w:r>
    </w:p>
    <w:p w14:paraId="3899BA00" w14:textId="77777777" w:rsidR="003F5512" w:rsidRPr="003A0FD0" w:rsidRDefault="003F5512" w:rsidP="003F5512">
      <w:pPr>
        <w:spacing w:after="120"/>
        <w:ind w:left="2268" w:right="1467" w:hanging="1134"/>
        <w:jc w:val="both"/>
        <w:rPr>
          <w:lang w:val="en-US"/>
        </w:rPr>
      </w:pPr>
      <w:r w:rsidRPr="003A0FD0">
        <w:rPr>
          <w:i/>
          <w:lang w:val="en-US"/>
        </w:rPr>
        <w:t>Table 1, footnote 3</w:t>
      </w:r>
      <w:r w:rsidRPr="00716B90">
        <w:rPr>
          <w:lang w:val="en-US"/>
        </w:rPr>
        <w:t>,</w:t>
      </w:r>
      <w:r w:rsidRPr="003A0FD0">
        <w:rPr>
          <w:i/>
          <w:lang w:val="en-US"/>
        </w:rPr>
        <w:t xml:space="preserve"> </w:t>
      </w:r>
      <w:r w:rsidRPr="003A0FD0">
        <w:rPr>
          <w:lang w:val="en-US"/>
        </w:rPr>
        <w:t>amend to read:</w:t>
      </w:r>
    </w:p>
    <w:p w14:paraId="7C816CA9" w14:textId="77777777" w:rsidR="003F5512" w:rsidRPr="003F73DE" w:rsidRDefault="003F5512" w:rsidP="003F5512">
      <w:pPr>
        <w:spacing w:after="120"/>
        <w:ind w:left="1418" w:hanging="284"/>
        <w:rPr>
          <w:snapToGrid w:val="0"/>
          <w:sz w:val="18"/>
          <w:szCs w:val="18"/>
          <w:lang w:val="en-US" w:eastAsia="de-DE"/>
        </w:rPr>
      </w:pPr>
      <w:r w:rsidRPr="003F73DE">
        <w:rPr>
          <w:snapToGrid w:val="0"/>
          <w:sz w:val="18"/>
          <w:szCs w:val="18"/>
          <w:lang w:val="en-US" w:eastAsia="de-DE"/>
        </w:rPr>
        <w:t>"</w:t>
      </w:r>
      <w:r w:rsidRPr="003F73DE">
        <w:rPr>
          <w:snapToGrid w:val="0"/>
          <w:sz w:val="18"/>
          <w:szCs w:val="18"/>
          <w:vertAlign w:val="superscript"/>
          <w:lang w:val="en-US" w:eastAsia="de-DE"/>
        </w:rPr>
        <w:t>3</w:t>
      </w:r>
      <w:r w:rsidRPr="003F73DE">
        <w:rPr>
          <w:snapToGrid w:val="0"/>
          <w:sz w:val="18"/>
          <w:szCs w:val="18"/>
          <w:lang w:val="en-US" w:eastAsia="de-DE"/>
        </w:rPr>
        <w:tab/>
        <w:t>Requirements according to the provisions of Table 2 below ("Segment I</w:t>
      </w:r>
      <w:r w:rsidRPr="003F73DE">
        <w:rPr>
          <w:snapToGrid w:val="0"/>
          <w:sz w:val="18"/>
          <w:szCs w:val="18"/>
          <w:vertAlign w:val="subscript"/>
          <w:lang w:val="en-US" w:eastAsia="de-DE"/>
        </w:rPr>
        <w:t>max</w:t>
      </w:r>
      <w:r w:rsidRPr="003F73DE">
        <w:rPr>
          <w:snapToGrid w:val="0"/>
          <w:sz w:val="18"/>
          <w:szCs w:val="18"/>
          <w:lang w:val="en-US" w:eastAsia="de-DE"/>
        </w:rPr>
        <w:t>") apply in addition.</w:t>
      </w:r>
    </w:p>
    <w:p w14:paraId="0C32875C" w14:textId="77777777" w:rsidR="003F5512" w:rsidRPr="003A0FD0" w:rsidRDefault="003F5512" w:rsidP="003F5512">
      <w:pPr>
        <w:spacing w:after="120"/>
        <w:ind w:left="567" w:firstLine="567"/>
        <w:rPr>
          <w:i/>
          <w:iCs/>
          <w:lang w:val="en-US"/>
        </w:rPr>
      </w:pPr>
      <w:r w:rsidRPr="003A0FD0">
        <w:rPr>
          <w:i/>
          <w:iCs/>
          <w:lang w:val="en-US"/>
        </w:rPr>
        <w:t>Table 2</w:t>
      </w:r>
      <w:r w:rsidRPr="003A0FD0">
        <w:rPr>
          <w:iCs/>
          <w:lang w:val="en-US"/>
        </w:rPr>
        <w:t>, amend to read:</w:t>
      </w:r>
    </w:p>
    <w:p w14:paraId="097F808F" w14:textId="77777777" w:rsidR="003F5512" w:rsidRDefault="003F5512" w:rsidP="003F5512">
      <w:pPr>
        <w:suppressAutoHyphens w:val="0"/>
        <w:spacing w:line="240" w:lineRule="auto"/>
        <w:rPr>
          <w:lang w:val="en-US"/>
        </w:rPr>
      </w:pPr>
      <w:r>
        <w:rPr>
          <w:lang w:val="en-US"/>
        </w:rPr>
        <w:br w:type="page"/>
      </w:r>
    </w:p>
    <w:p w14:paraId="7B73A0E6" w14:textId="77777777" w:rsidR="003F5512" w:rsidRDefault="003F5512" w:rsidP="003F5512">
      <w:pPr>
        <w:rPr>
          <w:lang w:val="en-US"/>
        </w:rPr>
      </w:pPr>
      <w:r w:rsidRPr="003A0FD0">
        <w:rPr>
          <w:lang w:val="en-US"/>
        </w:rPr>
        <w:lastRenderedPageBreak/>
        <w:t>"</w:t>
      </w:r>
      <w:r>
        <w:rPr>
          <w:lang w:val="en-US"/>
        </w:rPr>
        <w:t>Table 2</w:t>
      </w:r>
    </w:p>
    <w:p w14:paraId="1DF0852D" w14:textId="77777777" w:rsidR="003F5512" w:rsidRPr="003A0FD0" w:rsidRDefault="003F5512" w:rsidP="003F5512">
      <w:pPr>
        <w:spacing w:after="120"/>
        <w:rPr>
          <w:lang w:val="en-US"/>
        </w:rPr>
      </w:pPr>
      <w:r w:rsidRPr="003A0FD0">
        <w:rPr>
          <w:b/>
          <w:lang w:val="en-US"/>
        </w:rPr>
        <w:t>Passing beam elements angular position/extend, additional requirements</w:t>
      </w:r>
    </w:p>
    <w:tbl>
      <w:tblPr>
        <w:tblW w:w="9811" w:type="dxa"/>
        <w:tblLayout w:type="fixed"/>
        <w:tblCellMar>
          <w:left w:w="30" w:type="dxa"/>
          <w:right w:w="30" w:type="dxa"/>
        </w:tblCellMar>
        <w:tblLook w:val="0000" w:firstRow="0" w:lastRow="0" w:firstColumn="0" w:lastColumn="0" w:noHBand="0" w:noVBand="0"/>
      </w:tblPr>
      <w:tblGrid>
        <w:gridCol w:w="374"/>
        <w:gridCol w:w="2633"/>
        <w:gridCol w:w="851"/>
        <w:gridCol w:w="850"/>
        <w:gridCol w:w="851"/>
        <w:gridCol w:w="850"/>
        <w:gridCol w:w="851"/>
        <w:gridCol w:w="850"/>
        <w:gridCol w:w="851"/>
        <w:gridCol w:w="850"/>
      </w:tblGrid>
      <w:tr w:rsidR="003F5512" w:rsidRPr="00BD55BD" w14:paraId="4469996A" w14:textId="77777777" w:rsidTr="000840F9">
        <w:trPr>
          <w:cantSplit/>
          <w:trHeight w:val="20"/>
        </w:trPr>
        <w:tc>
          <w:tcPr>
            <w:tcW w:w="374" w:type="dxa"/>
            <w:tcBorders>
              <w:top w:val="single" w:sz="12" w:space="0" w:color="auto"/>
              <w:left w:val="single" w:sz="12" w:space="0" w:color="auto"/>
              <w:bottom w:val="single" w:sz="6" w:space="0" w:color="auto"/>
              <w:right w:val="single" w:sz="6" w:space="0" w:color="auto"/>
            </w:tcBorders>
            <w:vAlign w:val="center"/>
          </w:tcPr>
          <w:p w14:paraId="2F31DF4C" w14:textId="77777777" w:rsidR="003F5512" w:rsidRPr="003A0FD0" w:rsidRDefault="003F5512" w:rsidP="000840F9">
            <w:pPr>
              <w:spacing w:before="80" w:after="80" w:line="200" w:lineRule="exact"/>
              <w:ind w:left="-150"/>
              <w:jc w:val="right"/>
              <w:rPr>
                <w:i/>
                <w:snapToGrid w:val="0"/>
                <w:sz w:val="16"/>
                <w:szCs w:val="16"/>
                <w:lang w:val="en-US" w:eastAsia="de-DE"/>
              </w:rPr>
            </w:pPr>
          </w:p>
        </w:tc>
        <w:tc>
          <w:tcPr>
            <w:tcW w:w="2633" w:type="dxa"/>
            <w:tcBorders>
              <w:top w:val="single" w:sz="12" w:space="0" w:color="auto"/>
              <w:left w:val="single" w:sz="6" w:space="0" w:color="auto"/>
              <w:bottom w:val="single" w:sz="6" w:space="0" w:color="auto"/>
            </w:tcBorders>
            <w:vAlign w:val="center"/>
          </w:tcPr>
          <w:p w14:paraId="2750392F" w14:textId="77777777" w:rsidR="003F5512" w:rsidRPr="003A0FD0" w:rsidRDefault="003F5512" w:rsidP="000840F9">
            <w:pPr>
              <w:tabs>
                <w:tab w:val="left" w:pos="3363"/>
              </w:tabs>
              <w:spacing w:before="80" w:after="80" w:line="200" w:lineRule="exact"/>
              <w:ind w:left="210"/>
              <w:rPr>
                <w:i/>
                <w:strike/>
                <w:snapToGrid w:val="0"/>
                <w:sz w:val="16"/>
                <w:szCs w:val="16"/>
                <w:lang w:val="en-US" w:eastAsia="de-DE"/>
              </w:rPr>
            </w:pPr>
            <w:r w:rsidRPr="003A0FD0">
              <w:rPr>
                <w:i/>
                <w:strike/>
                <w:snapToGrid w:val="0"/>
                <w:sz w:val="16"/>
                <w:szCs w:val="16"/>
                <w:lang w:val="en-US" w:eastAsia="de-DE"/>
              </w:rPr>
              <w:t xml:space="preserve"> </w:t>
            </w:r>
          </w:p>
        </w:tc>
        <w:tc>
          <w:tcPr>
            <w:tcW w:w="1701" w:type="dxa"/>
            <w:gridSpan w:val="2"/>
            <w:tcBorders>
              <w:top w:val="single" w:sz="12" w:space="0" w:color="auto"/>
              <w:left w:val="single" w:sz="12" w:space="0" w:color="auto"/>
              <w:bottom w:val="single" w:sz="6" w:space="0" w:color="auto"/>
              <w:right w:val="single" w:sz="12" w:space="0" w:color="auto"/>
            </w:tcBorders>
            <w:vAlign w:val="center"/>
          </w:tcPr>
          <w:p w14:paraId="4BAE79FE" w14:textId="77777777" w:rsidR="003F5512" w:rsidRPr="00BD55BD" w:rsidRDefault="003F5512" w:rsidP="000840F9">
            <w:pPr>
              <w:spacing w:before="80" w:after="80" w:line="200" w:lineRule="exact"/>
              <w:ind w:left="91"/>
              <w:jc w:val="center"/>
              <w:rPr>
                <w:i/>
                <w:snapToGrid w:val="0"/>
                <w:sz w:val="16"/>
                <w:szCs w:val="16"/>
                <w:lang w:eastAsia="de-DE"/>
              </w:rPr>
            </w:pPr>
            <w:r w:rsidRPr="00BD55BD">
              <w:rPr>
                <w:i/>
                <w:snapToGrid w:val="0"/>
                <w:sz w:val="16"/>
                <w:szCs w:val="16"/>
                <w:lang w:eastAsia="de-DE"/>
              </w:rPr>
              <w:t>Class C passing-beam</w:t>
            </w:r>
          </w:p>
        </w:tc>
        <w:tc>
          <w:tcPr>
            <w:tcW w:w="1701" w:type="dxa"/>
            <w:gridSpan w:val="2"/>
            <w:tcBorders>
              <w:top w:val="single" w:sz="12" w:space="0" w:color="auto"/>
              <w:left w:val="nil"/>
              <w:bottom w:val="single" w:sz="6" w:space="0" w:color="auto"/>
            </w:tcBorders>
            <w:vAlign w:val="center"/>
          </w:tcPr>
          <w:p w14:paraId="7F8AEEC5" w14:textId="77777777" w:rsidR="003F5512" w:rsidRPr="00BD55BD" w:rsidRDefault="003F5512" w:rsidP="000840F9">
            <w:pPr>
              <w:spacing w:before="80" w:after="80" w:line="200" w:lineRule="exact"/>
              <w:ind w:left="91"/>
              <w:jc w:val="center"/>
              <w:rPr>
                <w:i/>
                <w:snapToGrid w:val="0"/>
                <w:sz w:val="16"/>
                <w:szCs w:val="16"/>
                <w:lang w:eastAsia="de-DE"/>
              </w:rPr>
            </w:pPr>
            <w:r w:rsidRPr="00BD55BD">
              <w:rPr>
                <w:i/>
                <w:snapToGrid w:val="0"/>
                <w:sz w:val="16"/>
                <w:szCs w:val="16"/>
                <w:lang w:eastAsia="de-DE"/>
              </w:rPr>
              <w:t>Class V passing-beam</w:t>
            </w:r>
          </w:p>
        </w:tc>
        <w:tc>
          <w:tcPr>
            <w:tcW w:w="1701" w:type="dxa"/>
            <w:gridSpan w:val="2"/>
            <w:tcBorders>
              <w:top w:val="single" w:sz="12" w:space="0" w:color="auto"/>
              <w:left w:val="single" w:sz="12" w:space="0" w:color="auto"/>
              <w:bottom w:val="single" w:sz="6" w:space="0" w:color="auto"/>
            </w:tcBorders>
            <w:vAlign w:val="center"/>
          </w:tcPr>
          <w:p w14:paraId="0FF6F22E" w14:textId="77777777" w:rsidR="003F5512" w:rsidRPr="00BD55BD" w:rsidRDefault="003F5512" w:rsidP="000840F9">
            <w:pPr>
              <w:spacing w:before="80" w:after="80" w:line="200" w:lineRule="exact"/>
              <w:jc w:val="center"/>
              <w:rPr>
                <w:i/>
                <w:snapToGrid w:val="0"/>
                <w:sz w:val="16"/>
                <w:szCs w:val="16"/>
                <w:lang w:eastAsia="de-DE"/>
              </w:rPr>
            </w:pPr>
            <w:r w:rsidRPr="00BD55BD">
              <w:rPr>
                <w:i/>
                <w:snapToGrid w:val="0"/>
                <w:sz w:val="16"/>
                <w:szCs w:val="16"/>
                <w:lang w:eastAsia="de-DE"/>
              </w:rPr>
              <w:t>Class E passing-beam</w:t>
            </w:r>
          </w:p>
        </w:tc>
        <w:tc>
          <w:tcPr>
            <w:tcW w:w="1701" w:type="dxa"/>
            <w:gridSpan w:val="2"/>
            <w:tcBorders>
              <w:top w:val="single" w:sz="12" w:space="0" w:color="auto"/>
              <w:left w:val="single" w:sz="12" w:space="0" w:color="auto"/>
              <w:bottom w:val="single" w:sz="6" w:space="0" w:color="auto"/>
              <w:right w:val="single" w:sz="12" w:space="0" w:color="auto"/>
            </w:tcBorders>
            <w:vAlign w:val="center"/>
          </w:tcPr>
          <w:p w14:paraId="0FB596DF" w14:textId="77777777" w:rsidR="003F5512" w:rsidRPr="00BD55BD" w:rsidRDefault="003F5512" w:rsidP="000840F9">
            <w:pPr>
              <w:spacing w:before="80" w:after="80" w:line="200" w:lineRule="exact"/>
              <w:jc w:val="center"/>
              <w:rPr>
                <w:i/>
                <w:snapToGrid w:val="0"/>
                <w:sz w:val="16"/>
                <w:szCs w:val="16"/>
                <w:lang w:eastAsia="de-DE"/>
              </w:rPr>
            </w:pPr>
            <w:r w:rsidRPr="00BD55BD">
              <w:rPr>
                <w:i/>
                <w:snapToGrid w:val="0"/>
                <w:sz w:val="16"/>
                <w:szCs w:val="16"/>
                <w:lang w:eastAsia="de-DE"/>
              </w:rPr>
              <w:t>Class W passing-beam</w:t>
            </w:r>
          </w:p>
        </w:tc>
      </w:tr>
      <w:tr w:rsidR="003F5512" w:rsidRPr="00BD55BD" w14:paraId="1B9165A1" w14:textId="77777777" w:rsidTr="000840F9">
        <w:trPr>
          <w:cantSplit/>
          <w:trHeight w:val="20"/>
        </w:trPr>
        <w:tc>
          <w:tcPr>
            <w:tcW w:w="374" w:type="dxa"/>
            <w:tcBorders>
              <w:left w:val="single" w:sz="12" w:space="0" w:color="auto"/>
              <w:right w:val="single" w:sz="6" w:space="0" w:color="auto"/>
            </w:tcBorders>
            <w:vAlign w:val="center"/>
          </w:tcPr>
          <w:p w14:paraId="222F5E63" w14:textId="77777777" w:rsidR="003F5512" w:rsidRPr="00BD55BD" w:rsidRDefault="003F5512" w:rsidP="000840F9">
            <w:pPr>
              <w:spacing w:before="80" w:after="80" w:line="200" w:lineRule="exact"/>
              <w:jc w:val="center"/>
              <w:rPr>
                <w:i/>
                <w:snapToGrid w:val="0"/>
                <w:sz w:val="16"/>
                <w:szCs w:val="16"/>
                <w:lang w:eastAsia="de-DE"/>
              </w:rPr>
            </w:pPr>
            <w:r w:rsidRPr="00BD55BD">
              <w:rPr>
                <w:i/>
                <w:snapToGrid w:val="0"/>
                <w:sz w:val="16"/>
                <w:szCs w:val="16"/>
                <w:lang w:eastAsia="de-DE"/>
              </w:rPr>
              <w:t>No.</w:t>
            </w:r>
          </w:p>
        </w:tc>
        <w:tc>
          <w:tcPr>
            <w:tcW w:w="2633" w:type="dxa"/>
            <w:tcBorders>
              <w:left w:val="single" w:sz="6" w:space="0" w:color="auto"/>
            </w:tcBorders>
            <w:vAlign w:val="center"/>
          </w:tcPr>
          <w:p w14:paraId="0E44BE81" w14:textId="77777777" w:rsidR="003F5512" w:rsidRPr="003A0FD0" w:rsidRDefault="003F5512" w:rsidP="000840F9">
            <w:pPr>
              <w:spacing w:before="80" w:after="80" w:line="200" w:lineRule="exact"/>
              <w:ind w:left="70"/>
              <w:rPr>
                <w:i/>
                <w:snapToGrid w:val="0"/>
                <w:sz w:val="16"/>
                <w:szCs w:val="16"/>
                <w:lang w:val="en-US" w:eastAsia="de-DE"/>
              </w:rPr>
            </w:pPr>
            <w:r>
              <w:rPr>
                <w:i/>
                <w:snapToGrid w:val="0"/>
                <w:sz w:val="16"/>
                <w:szCs w:val="16"/>
                <w:lang w:val="en-US" w:eastAsia="de-DE"/>
              </w:rPr>
              <w:t>B</w:t>
            </w:r>
            <w:r w:rsidRPr="003A0FD0">
              <w:rPr>
                <w:i/>
                <w:snapToGrid w:val="0"/>
                <w:sz w:val="16"/>
                <w:szCs w:val="16"/>
                <w:lang w:val="en-US" w:eastAsia="de-DE"/>
              </w:rPr>
              <w:t xml:space="preserve">eam part designation and requirement </w:t>
            </w:r>
          </w:p>
        </w:tc>
        <w:tc>
          <w:tcPr>
            <w:tcW w:w="851" w:type="dxa"/>
            <w:tcBorders>
              <w:left w:val="single" w:sz="12" w:space="0" w:color="auto"/>
              <w:right w:val="single" w:sz="2" w:space="0" w:color="000000"/>
            </w:tcBorders>
            <w:vAlign w:val="center"/>
          </w:tcPr>
          <w:p w14:paraId="7E4D19BA" w14:textId="77777777" w:rsidR="003F5512" w:rsidRPr="00BD55BD" w:rsidRDefault="003F5512" w:rsidP="000840F9">
            <w:pPr>
              <w:spacing w:before="80" w:after="80" w:line="200" w:lineRule="exact"/>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000000"/>
              <w:right w:val="single" w:sz="12" w:space="0" w:color="auto"/>
            </w:tcBorders>
            <w:vAlign w:val="center"/>
          </w:tcPr>
          <w:p w14:paraId="6EE0DD9E" w14:textId="77777777" w:rsidR="003F5512" w:rsidRPr="00BD55BD" w:rsidRDefault="003F5512" w:rsidP="000840F9">
            <w:pPr>
              <w:spacing w:before="80" w:after="80" w:line="200" w:lineRule="exact"/>
              <w:ind w:left="57"/>
              <w:rPr>
                <w:i/>
                <w:snapToGrid w:val="0"/>
                <w:sz w:val="16"/>
                <w:szCs w:val="16"/>
                <w:lang w:eastAsia="de-DE"/>
              </w:rPr>
            </w:pPr>
            <w:r w:rsidRPr="00BD55BD">
              <w:rPr>
                <w:i/>
                <w:snapToGrid w:val="0"/>
                <w:sz w:val="16"/>
                <w:szCs w:val="16"/>
                <w:lang w:eastAsia="de-DE"/>
              </w:rPr>
              <w:t>vertical</w:t>
            </w:r>
          </w:p>
        </w:tc>
        <w:tc>
          <w:tcPr>
            <w:tcW w:w="851" w:type="dxa"/>
            <w:tcBorders>
              <w:left w:val="nil"/>
              <w:right w:val="single" w:sz="2" w:space="0" w:color="000000"/>
            </w:tcBorders>
            <w:vAlign w:val="center"/>
          </w:tcPr>
          <w:p w14:paraId="43A2E9B7" w14:textId="77777777" w:rsidR="003F5512" w:rsidRPr="00BD55BD" w:rsidRDefault="003F5512" w:rsidP="000840F9">
            <w:pPr>
              <w:spacing w:before="80" w:after="80" w:line="200" w:lineRule="exact"/>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000000"/>
            </w:tcBorders>
            <w:vAlign w:val="center"/>
          </w:tcPr>
          <w:p w14:paraId="5BECD9EF" w14:textId="77777777" w:rsidR="003F5512" w:rsidRPr="00BD55BD" w:rsidRDefault="003F5512" w:rsidP="000840F9">
            <w:pPr>
              <w:spacing w:before="80" w:after="80" w:line="200" w:lineRule="exact"/>
              <w:ind w:left="57"/>
              <w:rPr>
                <w:i/>
                <w:snapToGrid w:val="0"/>
                <w:sz w:val="16"/>
                <w:szCs w:val="16"/>
                <w:lang w:eastAsia="de-DE"/>
              </w:rPr>
            </w:pPr>
            <w:r w:rsidRPr="00BD55BD">
              <w:rPr>
                <w:i/>
                <w:snapToGrid w:val="0"/>
                <w:sz w:val="16"/>
                <w:szCs w:val="16"/>
                <w:lang w:eastAsia="de-DE"/>
              </w:rPr>
              <w:t>vertical</w:t>
            </w:r>
          </w:p>
        </w:tc>
        <w:tc>
          <w:tcPr>
            <w:tcW w:w="851" w:type="dxa"/>
            <w:tcBorders>
              <w:left w:val="single" w:sz="12" w:space="0" w:color="auto"/>
              <w:right w:val="single" w:sz="2" w:space="0" w:color="auto"/>
            </w:tcBorders>
            <w:vAlign w:val="center"/>
          </w:tcPr>
          <w:p w14:paraId="28719877" w14:textId="77777777" w:rsidR="003F5512" w:rsidRPr="00BD55BD" w:rsidRDefault="003F5512" w:rsidP="000840F9">
            <w:pPr>
              <w:spacing w:before="80" w:after="80" w:line="200" w:lineRule="exact"/>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auto"/>
              <w:bottom w:val="single" w:sz="12" w:space="0" w:color="auto"/>
            </w:tcBorders>
            <w:vAlign w:val="center"/>
          </w:tcPr>
          <w:p w14:paraId="28F2E3A0" w14:textId="77777777" w:rsidR="003F5512" w:rsidRPr="00BD55BD" w:rsidRDefault="003F5512" w:rsidP="000840F9">
            <w:pPr>
              <w:spacing w:before="80" w:after="80" w:line="200" w:lineRule="exact"/>
              <w:ind w:left="57"/>
              <w:rPr>
                <w:i/>
                <w:snapToGrid w:val="0"/>
                <w:sz w:val="16"/>
                <w:szCs w:val="16"/>
                <w:lang w:eastAsia="de-DE"/>
              </w:rPr>
            </w:pPr>
            <w:r w:rsidRPr="00BD55BD">
              <w:rPr>
                <w:i/>
                <w:snapToGrid w:val="0"/>
                <w:sz w:val="16"/>
                <w:szCs w:val="16"/>
                <w:lang w:eastAsia="de-DE"/>
              </w:rPr>
              <w:t>vertical</w:t>
            </w:r>
          </w:p>
        </w:tc>
        <w:tc>
          <w:tcPr>
            <w:tcW w:w="851" w:type="dxa"/>
            <w:tcBorders>
              <w:left w:val="single" w:sz="12" w:space="0" w:color="auto"/>
              <w:right w:val="single" w:sz="2" w:space="0" w:color="000000"/>
            </w:tcBorders>
            <w:vAlign w:val="center"/>
          </w:tcPr>
          <w:p w14:paraId="0913352A" w14:textId="77777777" w:rsidR="003F5512" w:rsidRPr="00BD55BD" w:rsidRDefault="003F5512" w:rsidP="000840F9">
            <w:pPr>
              <w:spacing w:before="80" w:after="80" w:line="200" w:lineRule="exact"/>
              <w:ind w:left="57"/>
              <w:rPr>
                <w:i/>
                <w:snapToGrid w:val="0"/>
                <w:sz w:val="16"/>
                <w:szCs w:val="16"/>
                <w:lang w:eastAsia="de-DE"/>
              </w:rPr>
            </w:pPr>
            <w:r w:rsidRPr="00BD55BD">
              <w:rPr>
                <w:i/>
                <w:snapToGrid w:val="0"/>
                <w:sz w:val="16"/>
                <w:szCs w:val="16"/>
                <w:lang w:eastAsia="de-DE"/>
              </w:rPr>
              <w:t>horizontal</w:t>
            </w:r>
          </w:p>
        </w:tc>
        <w:tc>
          <w:tcPr>
            <w:tcW w:w="850" w:type="dxa"/>
            <w:tcBorders>
              <w:left w:val="single" w:sz="2" w:space="0" w:color="000000"/>
              <w:right w:val="single" w:sz="12" w:space="0" w:color="auto"/>
            </w:tcBorders>
            <w:vAlign w:val="center"/>
          </w:tcPr>
          <w:p w14:paraId="40EB3D09" w14:textId="77777777" w:rsidR="003F5512" w:rsidRPr="00BD55BD" w:rsidRDefault="003F5512" w:rsidP="000840F9">
            <w:pPr>
              <w:spacing w:before="80" w:after="80" w:line="200" w:lineRule="exact"/>
              <w:ind w:left="57"/>
              <w:rPr>
                <w:i/>
                <w:snapToGrid w:val="0"/>
                <w:sz w:val="16"/>
                <w:szCs w:val="16"/>
                <w:lang w:eastAsia="de-DE"/>
              </w:rPr>
            </w:pPr>
            <w:r w:rsidRPr="00BD55BD">
              <w:rPr>
                <w:i/>
                <w:snapToGrid w:val="0"/>
                <w:sz w:val="16"/>
                <w:szCs w:val="16"/>
                <w:lang w:eastAsia="de-DE"/>
              </w:rPr>
              <w:t>vertical</w:t>
            </w:r>
          </w:p>
        </w:tc>
      </w:tr>
      <w:tr w:rsidR="003F5512" w:rsidRPr="00BD55BD" w14:paraId="52FA8857" w14:textId="77777777" w:rsidTr="000840F9">
        <w:trPr>
          <w:cantSplit/>
          <w:trHeight w:hRule="exact" w:val="2021"/>
        </w:trPr>
        <w:tc>
          <w:tcPr>
            <w:tcW w:w="374" w:type="dxa"/>
            <w:tcBorders>
              <w:top w:val="single" w:sz="12" w:space="0" w:color="auto"/>
              <w:left w:val="single" w:sz="12" w:space="0" w:color="auto"/>
              <w:bottom w:val="double" w:sz="2" w:space="0" w:color="auto"/>
              <w:right w:val="single" w:sz="6" w:space="0" w:color="auto"/>
            </w:tcBorders>
            <w:vAlign w:val="center"/>
          </w:tcPr>
          <w:p w14:paraId="33F47F6C" w14:textId="77777777" w:rsidR="003F5512" w:rsidRPr="00BD55BD" w:rsidRDefault="003F5512" w:rsidP="000840F9">
            <w:pPr>
              <w:spacing w:before="40" w:after="40" w:line="220" w:lineRule="exact"/>
              <w:jc w:val="center"/>
              <w:rPr>
                <w:snapToGrid w:val="0"/>
                <w:sz w:val="18"/>
                <w:szCs w:val="18"/>
                <w:lang w:eastAsia="de-DE"/>
              </w:rPr>
            </w:pPr>
            <w:r w:rsidRPr="00BD55BD">
              <w:rPr>
                <w:snapToGrid w:val="0"/>
                <w:sz w:val="18"/>
                <w:szCs w:val="18"/>
                <w:lang w:eastAsia="de-DE"/>
              </w:rPr>
              <w:t>2.1.</w:t>
            </w:r>
          </w:p>
        </w:tc>
        <w:tc>
          <w:tcPr>
            <w:tcW w:w="2633" w:type="dxa"/>
            <w:tcBorders>
              <w:top w:val="single" w:sz="12" w:space="0" w:color="auto"/>
              <w:left w:val="single" w:sz="6" w:space="0" w:color="auto"/>
              <w:bottom w:val="double" w:sz="2" w:space="0" w:color="auto"/>
            </w:tcBorders>
            <w:vAlign w:val="center"/>
          </w:tcPr>
          <w:p w14:paraId="45C912F9" w14:textId="77777777" w:rsidR="003F5512" w:rsidRPr="003A0FD0" w:rsidRDefault="003F5512" w:rsidP="000840F9">
            <w:pPr>
              <w:spacing w:before="40" w:after="40" w:line="220" w:lineRule="exact"/>
              <w:ind w:left="6"/>
              <w:rPr>
                <w:snapToGrid w:val="0"/>
                <w:sz w:val="18"/>
                <w:szCs w:val="18"/>
                <w:vertAlign w:val="subscript"/>
                <w:lang w:val="en-US" w:eastAsia="de-DE"/>
              </w:rPr>
            </w:pPr>
            <w:r w:rsidRPr="003A0FD0">
              <w:rPr>
                <w:snapToGrid w:val="0"/>
                <w:sz w:val="18"/>
                <w:szCs w:val="18"/>
                <w:lang w:val="en-US" w:eastAsia="de-DE"/>
              </w:rPr>
              <w:t xml:space="preserve">Angular position / extend in deg </w:t>
            </w:r>
            <w:r w:rsidRPr="003A0FD0">
              <w:rPr>
                <w:snapToGrid w:val="0"/>
                <w:sz w:val="18"/>
                <w:szCs w:val="18"/>
                <w:lang w:val="en-US" w:eastAsia="de-DE"/>
              </w:rPr>
              <w:br/>
              <w:t>for segment I</w:t>
            </w:r>
            <w:r w:rsidRPr="003A0FD0">
              <w:rPr>
                <w:snapToGrid w:val="0"/>
                <w:sz w:val="18"/>
                <w:szCs w:val="18"/>
                <w:vertAlign w:val="subscript"/>
                <w:lang w:val="en-US" w:eastAsia="de-DE"/>
              </w:rPr>
              <w:t>max</w:t>
            </w:r>
          </w:p>
          <w:p w14:paraId="4DE9B1E6" w14:textId="77777777" w:rsidR="003F5512" w:rsidRDefault="003F5512" w:rsidP="000840F9">
            <w:pPr>
              <w:spacing w:line="220" w:lineRule="exact"/>
              <w:ind w:left="6"/>
              <w:rPr>
                <w:snapToGrid w:val="0"/>
                <w:sz w:val="18"/>
                <w:szCs w:val="18"/>
                <w:lang w:val="en-US" w:eastAsia="de-DE"/>
              </w:rPr>
            </w:pPr>
          </w:p>
          <w:p w14:paraId="195A9D6C" w14:textId="77777777" w:rsidR="003F5512" w:rsidRPr="003A0FD0" w:rsidRDefault="003F5512" w:rsidP="000840F9">
            <w:pPr>
              <w:spacing w:before="40" w:after="40" w:line="220" w:lineRule="exact"/>
              <w:ind w:left="6"/>
              <w:rPr>
                <w:b/>
                <w:snapToGrid w:val="0"/>
                <w:sz w:val="18"/>
                <w:szCs w:val="18"/>
                <w:lang w:val="en-US" w:eastAsia="de-DE"/>
              </w:rPr>
            </w:pPr>
            <w:r w:rsidRPr="003A0FD0">
              <w:rPr>
                <w:snapToGrid w:val="0"/>
                <w:sz w:val="18"/>
                <w:szCs w:val="18"/>
                <w:lang w:val="en-US" w:eastAsia="de-DE"/>
              </w:rPr>
              <w:t>The maximum luminous intensity in "Segment I</w:t>
            </w:r>
            <w:r w:rsidRPr="003A0FD0">
              <w:rPr>
                <w:snapToGrid w:val="0"/>
                <w:sz w:val="18"/>
                <w:szCs w:val="18"/>
                <w:vertAlign w:val="subscript"/>
                <w:lang w:val="en-US" w:eastAsia="de-DE"/>
              </w:rPr>
              <w:t>max</w:t>
            </w:r>
            <w:r w:rsidRPr="003A0FD0">
              <w:rPr>
                <w:snapToGrid w:val="0"/>
                <w:sz w:val="18"/>
                <w:szCs w:val="18"/>
                <w:lang w:val="en-US" w:eastAsia="de-DE"/>
              </w:rPr>
              <w:t>" as indicated in this table shall be within the limits as prescribed in Table 1, Line No. 18.</w:t>
            </w:r>
          </w:p>
        </w:tc>
        <w:tc>
          <w:tcPr>
            <w:tcW w:w="851" w:type="dxa"/>
            <w:tcBorders>
              <w:top w:val="single" w:sz="12" w:space="0" w:color="auto"/>
              <w:left w:val="single" w:sz="12" w:space="0" w:color="auto"/>
              <w:bottom w:val="double" w:sz="2" w:space="0" w:color="auto"/>
              <w:right w:val="single" w:sz="2" w:space="0" w:color="000000"/>
            </w:tcBorders>
            <w:vAlign w:val="center"/>
          </w:tcPr>
          <w:p w14:paraId="4455FC0B" w14:textId="77777777" w:rsidR="003F5512" w:rsidRPr="00BD55BD" w:rsidRDefault="003F5512" w:rsidP="000840F9">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5</w:t>
            </w:r>
            <w:r w:rsidRPr="00BD55BD">
              <w:rPr>
                <w:snapToGrid w:val="0"/>
                <w:sz w:val="18"/>
                <w:szCs w:val="18"/>
                <w:lang w:eastAsia="de-DE"/>
              </w:rPr>
              <w:t>L</w:t>
            </w:r>
          </w:p>
          <w:p w14:paraId="31B31A99" w14:textId="77777777" w:rsidR="003F5512" w:rsidRPr="00BD55BD" w:rsidRDefault="003F5512" w:rsidP="00716B90">
            <w:pPr>
              <w:spacing w:before="40" w:after="40" w:line="220" w:lineRule="exact"/>
              <w:ind w:left="57"/>
              <w:rPr>
                <w:snapToGrid w:val="0"/>
                <w:sz w:val="18"/>
                <w:szCs w:val="18"/>
                <w:lang w:eastAsia="de-DE"/>
              </w:rPr>
            </w:pPr>
            <w:r w:rsidRPr="00BD55BD">
              <w:rPr>
                <w:snapToGrid w:val="0"/>
                <w:sz w:val="18"/>
                <w:szCs w:val="18"/>
                <w:lang w:eastAsia="de-DE"/>
              </w:rPr>
              <w:t xml:space="preserve">to </w:t>
            </w:r>
            <w:r w:rsidRPr="00BD55BD">
              <w:rPr>
                <w:snapToGrid w:val="0"/>
                <w:spacing w:val="30"/>
                <w:sz w:val="18"/>
                <w:szCs w:val="18"/>
                <w:lang w:eastAsia="de-DE"/>
              </w:rPr>
              <w:t>3</w:t>
            </w:r>
            <w:r w:rsidRPr="00BD55BD">
              <w:rPr>
                <w:snapToGrid w:val="0"/>
                <w:sz w:val="18"/>
                <w:szCs w:val="18"/>
                <w:lang w:eastAsia="de-DE"/>
              </w:rPr>
              <w:t>R</w:t>
            </w:r>
          </w:p>
        </w:tc>
        <w:tc>
          <w:tcPr>
            <w:tcW w:w="850" w:type="dxa"/>
            <w:tcBorders>
              <w:top w:val="single" w:sz="12" w:space="0" w:color="auto"/>
              <w:left w:val="single" w:sz="2" w:space="0" w:color="000000"/>
              <w:bottom w:val="double" w:sz="2" w:space="0" w:color="auto"/>
              <w:right w:val="single" w:sz="12" w:space="0" w:color="auto"/>
            </w:tcBorders>
            <w:vAlign w:val="center"/>
          </w:tcPr>
          <w:p w14:paraId="3F1028F0" w14:textId="77777777" w:rsidR="003F5512" w:rsidRPr="00BD55BD" w:rsidRDefault="003F5512" w:rsidP="000840F9">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3</w:t>
            </w:r>
            <w:r w:rsidRPr="00BD55BD">
              <w:rPr>
                <w:snapToGrid w:val="0"/>
                <w:sz w:val="18"/>
                <w:szCs w:val="18"/>
                <w:lang w:eastAsia="de-DE"/>
              </w:rPr>
              <w:t>D</w:t>
            </w:r>
          </w:p>
          <w:p w14:paraId="69FF525B" w14:textId="77777777" w:rsidR="003F5512" w:rsidRPr="00BD55BD" w:rsidRDefault="003F5512" w:rsidP="00716B90">
            <w:pPr>
              <w:spacing w:before="40" w:after="40" w:line="220" w:lineRule="exact"/>
              <w:ind w:left="57"/>
              <w:rPr>
                <w:snapToGrid w:val="0"/>
                <w:sz w:val="18"/>
                <w:szCs w:val="18"/>
                <w:lang w:eastAsia="de-DE"/>
              </w:rPr>
            </w:pPr>
            <w:r w:rsidRPr="00BD55BD">
              <w:rPr>
                <w:snapToGrid w:val="0"/>
                <w:sz w:val="18"/>
                <w:szCs w:val="18"/>
                <w:lang w:eastAsia="de-DE"/>
              </w:rPr>
              <w:t>to 1.72D</w:t>
            </w:r>
          </w:p>
        </w:tc>
        <w:tc>
          <w:tcPr>
            <w:tcW w:w="851" w:type="dxa"/>
            <w:tcBorders>
              <w:top w:val="single" w:sz="12" w:space="0" w:color="auto"/>
              <w:left w:val="nil"/>
              <w:bottom w:val="double" w:sz="2" w:space="0" w:color="auto"/>
              <w:right w:val="single" w:sz="2" w:space="0" w:color="000000"/>
            </w:tcBorders>
            <w:vAlign w:val="center"/>
          </w:tcPr>
          <w:p w14:paraId="03075EBB" w14:textId="77777777" w:rsidR="003F5512" w:rsidRPr="00BD55BD" w:rsidRDefault="003F5512" w:rsidP="000840F9">
            <w:pPr>
              <w:spacing w:before="40" w:after="40" w:line="220" w:lineRule="exact"/>
              <w:ind w:left="57"/>
              <w:rPr>
                <w:snapToGrid w:val="0"/>
                <w:sz w:val="18"/>
                <w:szCs w:val="18"/>
                <w:lang w:eastAsia="de-DE"/>
              </w:rPr>
            </w:pPr>
          </w:p>
        </w:tc>
        <w:tc>
          <w:tcPr>
            <w:tcW w:w="850" w:type="dxa"/>
            <w:tcBorders>
              <w:top w:val="single" w:sz="12" w:space="0" w:color="auto"/>
              <w:left w:val="single" w:sz="2" w:space="0" w:color="000000"/>
              <w:bottom w:val="double" w:sz="2" w:space="0" w:color="auto"/>
            </w:tcBorders>
            <w:vAlign w:val="center"/>
          </w:tcPr>
          <w:p w14:paraId="4CC9CE1A" w14:textId="77777777" w:rsidR="003F5512" w:rsidRPr="00BD55BD" w:rsidRDefault="003F5512" w:rsidP="000840F9">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3</w:t>
            </w:r>
            <w:r w:rsidRPr="00BD55BD">
              <w:rPr>
                <w:snapToGrid w:val="0"/>
                <w:sz w:val="18"/>
                <w:szCs w:val="18"/>
                <w:lang w:eastAsia="de-DE"/>
              </w:rPr>
              <w:t>D</w:t>
            </w:r>
          </w:p>
          <w:p w14:paraId="74F48EB1" w14:textId="77777777" w:rsidR="003F5512" w:rsidRPr="00BD55BD" w:rsidRDefault="003F5512" w:rsidP="00716B90">
            <w:pPr>
              <w:spacing w:before="40" w:after="40" w:line="220" w:lineRule="exact"/>
              <w:ind w:left="57"/>
              <w:rPr>
                <w:snapToGrid w:val="0"/>
                <w:sz w:val="18"/>
                <w:szCs w:val="18"/>
                <w:lang w:eastAsia="de-DE"/>
              </w:rPr>
            </w:pPr>
            <w:r w:rsidRPr="00BD55BD">
              <w:rPr>
                <w:snapToGrid w:val="0"/>
                <w:sz w:val="18"/>
                <w:szCs w:val="18"/>
                <w:lang w:eastAsia="de-DE"/>
              </w:rPr>
              <w:t>to 1.72D</w:t>
            </w:r>
          </w:p>
        </w:tc>
        <w:tc>
          <w:tcPr>
            <w:tcW w:w="851" w:type="dxa"/>
            <w:tcBorders>
              <w:top w:val="single" w:sz="12" w:space="0" w:color="auto"/>
              <w:left w:val="single" w:sz="12" w:space="0" w:color="auto"/>
              <w:bottom w:val="double" w:sz="2" w:space="0" w:color="auto"/>
              <w:right w:val="single" w:sz="2" w:space="0" w:color="auto"/>
            </w:tcBorders>
            <w:vAlign w:val="center"/>
          </w:tcPr>
          <w:p w14:paraId="65130593" w14:textId="77777777" w:rsidR="003F5512" w:rsidRPr="00BD55BD" w:rsidRDefault="003F5512" w:rsidP="000840F9">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5</w:t>
            </w:r>
            <w:r w:rsidRPr="00BD55BD">
              <w:rPr>
                <w:snapToGrid w:val="0"/>
                <w:sz w:val="18"/>
                <w:szCs w:val="18"/>
                <w:lang w:eastAsia="de-DE"/>
              </w:rPr>
              <w:t>L</w:t>
            </w:r>
          </w:p>
          <w:p w14:paraId="25C9BA30" w14:textId="77777777" w:rsidR="003F5512" w:rsidRPr="00BD55BD" w:rsidRDefault="003F5512" w:rsidP="00716B90">
            <w:pPr>
              <w:spacing w:before="40" w:after="40" w:line="220" w:lineRule="exact"/>
              <w:ind w:left="57"/>
              <w:rPr>
                <w:snapToGrid w:val="0"/>
                <w:sz w:val="18"/>
                <w:szCs w:val="18"/>
                <w:lang w:eastAsia="de-DE"/>
              </w:rPr>
            </w:pPr>
            <w:r w:rsidRPr="00BD55BD">
              <w:rPr>
                <w:snapToGrid w:val="0"/>
                <w:sz w:val="18"/>
                <w:szCs w:val="18"/>
                <w:lang w:eastAsia="de-DE"/>
              </w:rPr>
              <w:t xml:space="preserve">to </w:t>
            </w:r>
            <w:r w:rsidRPr="00BD55BD">
              <w:rPr>
                <w:snapToGrid w:val="0"/>
                <w:spacing w:val="30"/>
                <w:sz w:val="18"/>
                <w:szCs w:val="18"/>
                <w:lang w:eastAsia="de-DE"/>
              </w:rPr>
              <w:t>3</w:t>
            </w:r>
            <w:r w:rsidRPr="00BD55BD">
              <w:rPr>
                <w:snapToGrid w:val="0"/>
                <w:sz w:val="18"/>
                <w:szCs w:val="18"/>
                <w:lang w:eastAsia="de-DE"/>
              </w:rPr>
              <w:t>R</w:t>
            </w:r>
          </w:p>
        </w:tc>
        <w:tc>
          <w:tcPr>
            <w:tcW w:w="850" w:type="dxa"/>
            <w:tcBorders>
              <w:top w:val="single" w:sz="12" w:space="0" w:color="auto"/>
              <w:left w:val="single" w:sz="2" w:space="0" w:color="auto"/>
              <w:bottom w:val="double" w:sz="2" w:space="0" w:color="auto"/>
            </w:tcBorders>
            <w:vAlign w:val="center"/>
          </w:tcPr>
          <w:p w14:paraId="46F8787D" w14:textId="445EEECD" w:rsidR="003F5512" w:rsidRPr="00BD55BD" w:rsidRDefault="003F5512" w:rsidP="000840F9">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1</w:t>
            </w:r>
            <w:r w:rsidRPr="00BD55BD">
              <w:rPr>
                <w:snapToGrid w:val="0"/>
                <w:sz w:val="18"/>
                <w:szCs w:val="18"/>
                <w:lang w:eastAsia="de-DE"/>
              </w:rPr>
              <w:t>D</w:t>
            </w:r>
          </w:p>
          <w:p w14:paraId="45331DF7" w14:textId="77777777" w:rsidR="003F5512" w:rsidRPr="00BD55BD" w:rsidRDefault="003F5512" w:rsidP="00716B90">
            <w:pPr>
              <w:spacing w:before="40" w:after="40" w:line="220" w:lineRule="exact"/>
              <w:ind w:left="57"/>
              <w:rPr>
                <w:snapToGrid w:val="0"/>
                <w:sz w:val="18"/>
                <w:szCs w:val="18"/>
                <w:lang w:eastAsia="de-DE"/>
              </w:rPr>
            </w:pPr>
            <w:r w:rsidRPr="00BD55BD">
              <w:rPr>
                <w:snapToGrid w:val="0"/>
                <w:sz w:val="18"/>
                <w:szCs w:val="18"/>
                <w:lang w:eastAsia="de-DE"/>
              </w:rPr>
              <w:t>to 1.72D</w:t>
            </w:r>
          </w:p>
        </w:tc>
        <w:tc>
          <w:tcPr>
            <w:tcW w:w="851" w:type="dxa"/>
            <w:tcBorders>
              <w:top w:val="single" w:sz="12" w:space="0" w:color="auto"/>
              <w:left w:val="single" w:sz="12" w:space="0" w:color="auto"/>
              <w:bottom w:val="double" w:sz="2" w:space="0" w:color="auto"/>
              <w:right w:val="single" w:sz="2" w:space="0" w:color="000000"/>
            </w:tcBorders>
            <w:vAlign w:val="center"/>
          </w:tcPr>
          <w:p w14:paraId="55115C4E" w14:textId="77777777" w:rsidR="003F5512" w:rsidRPr="00BD55BD" w:rsidRDefault="003F5512" w:rsidP="000840F9">
            <w:pPr>
              <w:spacing w:before="40" w:after="40" w:line="220" w:lineRule="exact"/>
              <w:ind w:left="57"/>
              <w:rPr>
                <w:snapToGrid w:val="0"/>
                <w:sz w:val="18"/>
                <w:szCs w:val="18"/>
                <w:lang w:eastAsia="de-DE"/>
              </w:rPr>
            </w:pPr>
            <w:r w:rsidRPr="00BD55BD">
              <w:rPr>
                <w:snapToGrid w:val="0"/>
                <w:sz w:val="18"/>
                <w:szCs w:val="18"/>
                <w:lang w:eastAsia="de-DE"/>
              </w:rPr>
              <w:t>0.</w:t>
            </w:r>
            <w:r w:rsidRPr="00BD55BD">
              <w:rPr>
                <w:snapToGrid w:val="0"/>
                <w:spacing w:val="30"/>
                <w:sz w:val="18"/>
                <w:szCs w:val="18"/>
                <w:lang w:eastAsia="de-DE"/>
              </w:rPr>
              <w:t>5</w:t>
            </w:r>
            <w:r w:rsidRPr="00BD55BD">
              <w:rPr>
                <w:snapToGrid w:val="0"/>
                <w:sz w:val="18"/>
                <w:szCs w:val="18"/>
                <w:lang w:eastAsia="de-DE"/>
              </w:rPr>
              <w:t>L</w:t>
            </w:r>
          </w:p>
          <w:p w14:paraId="160EF26E" w14:textId="77777777" w:rsidR="003F5512" w:rsidRPr="00BD55BD" w:rsidRDefault="003F5512" w:rsidP="00716B90">
            <w:pPr>
              <w:spacing w:before="40" w:after="40" w:line="220" w:lineRule="exact"/>
              <w:ind w:left="57"/>
              <w:rPr>
                <w:snapToGrid w:val="0"/>
                <w:sz w:val="18"/>
                <w:szCs w:val="18"/>
                <w:lang w:eastAsia="de-DE"/>
              </w:rPr>
            </w:pPr>
            <w:r w:rsidRPr="00BD55BD">
              <w:rPr>
                <w:snapToGrid w:val="0"/>
                <w:sz w:val="18"/>
                <w:szCs w:val="18"/>
                <w:lang w:eastAsia="de-DE"/>
              </w:rPr>
              <w:t xml:space="preserve">to </w:t>
            </w:r>
            <w:r w:rsidRPr="00BD55BD">
              <w:rPr>
                <w:snapToGrid w:val="0"/>
                <w:spacing w:val="30"/>
                <w:sz w:val="18"/>
                <w:szCs w:val="18"/>
                <w:lang w:eastAsia="de-DE"/>
              </w:rPr>
              <w:t>3</w:t>
            </w:r>
            <w:r w:rsidRPr="00BD55BD">
              <w:rPr>
                <w:snapToGrid w:val="0"/>
                <w:sz w:val="18"/>
                <w:szCs w:val="18"/>
                <w:lang w:eastAsia="de-DE"/>
              </w:rPr>
              <w:t>R</w:t>
            </w:r>
          </w:p>
        </w:tc>
        <w:tc>
          <w:tcPr>
            <w:tcW w:w="850" w:type="dxa"/>
            <w:tcBorders>
              <w:top w:val="single" w:sz="12" w:space="0" w:color="auto"/>
              <w:left w:val="single" w:sz="2" w:space="0" w:color="000000"/>
              <w:bottom w:val="double" w:sz="2" w:space="0" w:color="auto"/>
              <w:right w:val="single" w:sz="12" w:space="0" w:color="auto"/>
            </w:tcBorders>
            <w:vAlign w:val="center"/>
          </w:tcPr>
          <w:p w14:paraId="5677347C" w14:textId="77777777" w:rsidR="003F5512" w:rsidRPr="00BD55BD" w:rsidRDefault="003F5512" w:rsidP="000840F9">
            <w:pPr>
              <w:spacing w:before="40" w:after="40" w:line="220" w:lineRule="exact"/>
              <w:ind w:left="57"/>
              <w:rPr>
                <w:snapToGrid w:val="0"/>
                <w:sz w:val="18"/>
                <w:szCs w:val="18"/>
                <w:lang w:eastAsia="de-DE"/>
              </w:rPr>
            </w:pPr>
            <w:r w:rsidRPr="00BD55BD">
              <w:rPr>
                <w:snapToGrid w:val="0"/>
                <w:sz w:val="18"/>
                <w:szCs w:val="18"/>
                <w:lang w:eastAsia="de-DE"/>
              </w:rPr>
              <w:t>0.</w:t>
            </w:r>
            <w:r w:rsidRPr="00716B90">
              <w:rPr>
                <w:snapToGrid w:val="0"/>
                <w:sz w:val="18"/>
                <w:szCs w:val="18"/>
                <w:lang w:eastAsia="de-DE"/>
              </w:rPr>
              <w:t>3</w:t>
            </w:r>
            <w:r w:rsidRPr="00BD55BD">
              <w:rPr>
                <w:snapToGrid w:val="0"/>
                <w:sz w:val="18"/>
                <w:szCs w:val="18"/>
                <w:lang w:eastAsia="de-DE"/>
              </w:rPr>
              <w:t>D</w:t>
            </w:r>
          </w:p>
          <w:p w14:paraId="362560AC" w14:textId="77777777" w:rsidR="003F5512" w:rsidRPr="00BD55BD" w:rsidRDefault="003F5512" w:rsidP="00716B90">
            <w:pPr>
              <w:spacing w:before="40" w:after="40" w:line="220" w:lineRule="exact"/>
              <w:ind w:left="57"/>
              <w:rPr>
                <w:snapToGrid w:val="0"/>
                <w:sz w:val="18"/>
                <w:szCs w:val="18"/>
                <w:lang w:eastAsia="de-DE"/>
              </w:rPr>
            </w:pPr>
            <w:r w:rsidRPr="00BD55BD">
              <w:rPr>
                <w:snapToGrid w:val="0"/>
                <w:sz w:val="18"/>
                <w:szCs w:val="18"/>
                <w:lang w:eastAsia="de-DE"/>
              </w:rPr>
              <w:t>to 1.72D</w:t>
            </w:r>
          </w:p>
        </w:tc>
      </w:tr>
      <w:tr w:rsidR="003F5512" w:rsidRPr="00342A7F" w14:paraId="69927BF1" w14:textId="77777777" w:rsidTr="000840F9">
        <w:trPr>
          <w:cantSplit/>
          <w:trHeight w:hRule="exact" w:val="700"/>
        </w:trPr>
        <w:tc>
          <w:tcPr>
            <w:tcW w:w="374" w:type="dxa"/>
            <w:tcBorders>
              <w:left w:val="single" w:sz="12" w:space="0" w:color="auto"/>
              <w:right w:val="single" w:sz="4" w:space="0" w:color="auto"/>
            </w:tcBorders>
          </w:tcPr>
          <w:p w14:paraId="704D53FC" w14:textId="77777777" w:rsidR="003F5512" w:rsidRPr="00BD55BD" w:rsidRDefault="003F5512" w:rsidP="000840F9">
            <w:pPr>
              <w:spacing w:before="40" w:after="40" w:line="220" w:lineRule="exact"/>
              <w:jc w:val="center"/>
              <w:rPr>
                <w:snapToGrid w:val="0"/>
                <w:sz w:val="18"/>
                <w:szCs w:val="18"/>
                <w:lang w:eastAsia="de-DE"/>
              </w:rPr>
            </w:pPr>
            <w:r w:rsidRPr="00BD55BD">
              <w:rPr>
                <w:snapToGrid w:val="0"/>
                <w:sz w:val="18"/>
                <w:szCs w:val="18"/>
                <w:lang w:eastAsia="de-DE"/>
              </w:rPr>
              <w:t>2.2.</w:t>
            </w:r>
          </w:p>
        </w:tc>
        <w:tc>
          <w:tcPr>
            <w:tcW w:w="9437" w:type="dxa"/>
            <w:gridSpan w:val="9"/>
            <w:tcBorders>
              <w:top w:val="double" w:sz="2" w:space="0" w:color="auto"/>
              <w:left w:val="single" w:sz="4" w:space="0" w:color="auto"/>
              <w:bottom w:val="single" w:sz="4" w:space="0" w:color="auto"/>
              <w:right w:val="single" w:sz="12" w:space="0" w:color="auto"/>
            </w:tcBorders>
            <w:vAlign w:val="center"/>
          </w:tcPr>
          <w:p w14:paraId="619BD757" w14:textId="77777777" w:rsidR="003F5512" w:rsidRPr="003A0FD0" w:rsidRDefault="003F5512" w:rsidP="000840F9">
            <w:pPr>
              <w:spacing w:before="40" w:after="40" w:line="220" w:lineRule="exact"/>
              <w:rPr>
                <w:snapToGrid w:val="0"/>
                <w:sz w:val="18"/>
                <w:szCs w:val="18"/>
                <w:lang w:val="en-US" w:eastAsia="de-DE"/>
              </w:rPr>
            </w:pPr>
            <w:r w:rsidRPr="003A0FD0">
              <w:rPr>
                <w:snapToGrid w:val="0"/>
                <w:sz w:val="18"/>
                <w:szCs w:val="18"/>
                <w:lang w:val="en-US" w:eastAsia="de-DE"/>
              </w:rPr>
              <w:t>The "cut-off" and part(s) of shall:</w:t>
            </w:r>
          </w:p>
          <w:p w14:paraId="32A11AEB" w14:textId="77777777" w:rsidR="003F5512" w:rsidRPr="003A0FD0" w:rsidRDefault="003F5512" w:rsidP="000840F9">
            <w:pPr>
              <w:tabs>
                <w:tab w:val="left" w:pos="2939"/>
                <w:tab w:val="left" w:pos="3569"/>
              </w:tabs>
              <w:spacing w:before="40" w:after="40" w:line="220" w:lineRule="exact"/>
              <w:ind w:left="112"/>
              <w:rPr>
                <w:snapToGrid w:val="0"/>
                <w:sz w:val="18"/>
                <w:szCs w:val="18"/>
                <w:lang w:val="en-US" w:eastAsia="de-DE"/>
              </w:rPr>
            </w:pPr>
            <w:r w:rsidRPr="003A0FD0">
              <w:rPr>
                <w:snapToGrid w:val="0"/>
                <w:sz w:val="18"/>
                <w:szCs w:val="18"/>
                <w:lang w:val="en-US" w:eastAsia="de-DE"/>
              </w:rPr>
              <w:t xml:space="preserve">(a) comply with the requirements of paragraph 1. of Annex 8 to this Regulation and </w:t>
            </w:r>
          </w:p>
        </w:tc>
      </w:tr>
      <w:tr w:rsidR="003F5512" w:rsidRPr="00342A7F" w14:paraId="2FE9DD17" w14:textId="77777777" w:rsidTr="000840F9">
        <w:trPr>
          <w:cantSplit/>
          <w:trHeight w:hRule="exact" w:val="1545"/>
        </w:trPr>
        <w:tc>
          <w:tcPr>
            <w:tcW w:w="374" w:type="dxa"/>
            <w:tcBorders>
              <w:left w:val="single" w:sz="12" w:space="0" w:color="auto"/>
              <w:bottom w:val="single" w:sz="12" w:space="0" w:color="auto"/>
              <w:right w:val="single" w:sz="4" w:space="0" w:color="auto"/>
            </w:tcBorders>
          </w:tcPr>
          <w:p w14:paraId="33A9ACD6" w14:textId="77777777" w:rsidR="003F5512" w:rsidRPr="003A0FD0" w:rsidRDefault="003F5512" w:rsidP="000840F9">
            <w:pPr>
              <w:spacing w:before="40" w:after="40" w:line="220" w:lineRule="exact"/>
              <w:jc w:val="center"/>
              <w:rPr>
                <w:snapToGrid w:val="0"/>
                <w:sz w:val="18"/>
                <w:szCs w:val="18"/>
                <w:lang w:val="en-US" w:eastAsia="de-DE"/>
              </w:rPr>
            </w:pPr>
          </w:p>
        </w:tc>
        <w:tc>
          <w:tcPr>
            <w:tcW w:w="2633" w:type="dxa"/>
            <w:tcBorders>
              <w:left w:val="single" w:sz="4" w:space="0" w:color="auto"/>
              <w:bottom w:val="single" w:sz="12" w:space="0" w:color="auto"/>
            </w:tcBorders>
          </w:tcPr>
          <w:p w14:paraId="0F5850E2" w14:textId="77777777" w:rsidR="003F5512" w:rsidRPr="003A0FD0" w:rsidRDefault="003F5512" w:rsidP="000840F9">
            <w:pPr>
              <w:tabs>
                <w:tab w:val="left" w:pos="2939"/>
                <w:tab w:val="left" w:pos="3569"/>
              </w:tabs>
              <w:spacing w:before="40" w:after="40" w:line="220" w:lineRule="exact"/>
              <w:ind w:left="374" w:hanging="262"/>
              <w:rPr>
                <w:snapToGrid w:val="0"/>
                <w:sz w:val="18"/>
                <w:szCs w:val="18"/>
                <w:lang w:val="en-US" w:eastAsia="de-DE"/>
              </w:rPr>
            </w:pPr>
            <w:r w:rsidRPr="003A0FD0">
              <w:rPr>
                <w:snapToGrid w:val="0"/>
                <w:sz w:val="18"/>
                <w:szCs w:val="18"/>
                <w:lang w:val="en-US" w:eastAsia="de-DE"/>
              </w:rPr>
              <w:t>(b) be positioned with its "flat horizontal part"</w:t>
            </w:r>
          </w:p>
        </w:tc>
        <w:tc>
          <w:tcPr>
            <w:tcW w:w="851" w:type="dxa"/>
            <w:tcBorders>
              <w:left w:val="single" w:sz="12" w:space="0" w:color="auto"/>
              <w:bottom w:val="single" w:sz="12" w:space="0" w:color="auto"/>
              <w:right w:val="single" w:sz="2" w:space="0" w:color="000000"/>
            </w:tcBorders>
            <w:vAlign w:val="center"/>
          </w:tcPr>
          <w:p w14:paraId="4A2397FC" w14:textId="77777777" w:rsidR="003F5512" w:rsidRPr="003A0FD0" w:rsidRDefault="003F5512" w:rsidP="000840F9">
            <w:pPr>
              <w:spacing w:before="40" w:after="40" w:line="220" w:lineRule="exact"/>
              <w:ind w:left="57"/>
              <w:rPr>
                <w:snapToGrid w:val="0"/>
                <w:sz w:val="18"/>
                <w:szCs w:val="18"/>
                <w:lang w:val="en-US" w:eastAsia="de-DE"/>
              </w:rPr>
            </w:pPr>
          </w:p>
        </w:tc>
        <w:tc>
          <w:tcPr>
            <w:tcW w:w="850" w:type="dxa"/>
            <w:tcBorders>
              <w:left w:val="single" w:sz="2" w:space="0" w:color="000000"/>
              <w:bottom w:val="single" w:sz="12" w:space="0" w:color="auto"/>
              <w:right w:val="single" w:sz="12" w:space="0" w:color="auto"/>
            </w:tcBorders>
            <w:vAlign w:val="center"/>
          </w:tcPr>
          <w:p w14:paraId="528A8CFE" w14:textId="77777777" w:rsidR="003F5512" w:rsidRPr="00BD55BD" w:rsidRDefault="003F5512" w:rsidP="000840F9">
            <w:pPr>
              <w:tabs>
                <w:tab w:val="left" w:pos="293"/>
              </w:tabs>
              <w:spacing w:before="40" w:after="40" w:line="220" w:lineRule="exact"/>
              <w:ind w:left="57"/>
              <w:rPr>
                <w:snapToGrid w:val="0"/>
                <w:sz w:val="18"/>
                <w:szCs w:val="18"/>
                <w:lang w:eastAsia="de-DE"/>
              </w:rPr>
            </w:pPr>
            <w:r w:rsidRPr="00BD55BD">
              <w:rPr>
                <w:snapToGrid w:val="0"/>
                <w:sz w:val="18"/>
                <w:szCs w:val="18"/>
                <w:lang w:eastAsia="de-DE"/>
              </w:rPr>
              <w:t>at V = 0.57 D</w:t>
            </w:r>
          </w:p>
          <w:p w14:paraId="284FBC13" w14:textId="77777777" w:rsidR="003F5512" w:rsidRPr="00BD55BD" w:rsidRDefault="003F5512" w:rsidP="000840F9">
            <w:pPr>
              <w:tabs>
                <w:tab w:val="left" w:pos="293"/>
              </w:tabs>
              <w:spacing w:before="40" w:after="40" w:line="220" w:lineRule="exact"/>
              <w:ind w:left="57"/>
              <w:rPr>
                <w:snapToGrid w:val="0"/>
                <w:sz w:val="18"/>
                <w:szCs w:val="18"/>
                <w:lang w:eastAsia="de-DE"/>
              </w:rPr>
            </w:pPr>
          </w:p>
        </w:tc>
        <w:tc>
          <w:tcPr>
            <w:tcW w:w="851" w:type="dxa"/>
            <w:tcBorders>
              <w:left w:val="nil"/>
              <w:bottom w:val="single" w:sz="12" w:space="0" w:color="auto"/>
              <w:right w:val="single" w:sz="2" w:space="0" w:color="000000"/>
            </w:tcBorders>
            <w:vAlign w:val="center"/>
          </w:tcPr>
          <w:p w14:paraId="15EEE98A" w14:textId="77777777" w:rsidR="003F5512" w:rsidRPr="00BD55BD" w:rsidRDefault="003F5512" w:rsidP="000840F9">
            <w:pPr>
              <w:spacing w:before="40" w:after="40" w:line="220" w:lineRule="exact"/>
              <w:ind w:left="57"/>
              <w:rPr>
                <w:snapToGrid w:val="0"/>
                <w:sz w:val="18"/>
                <w:szCs w:val="18"/>
                <w:lang w:eastAsia="de-DE"/>
              </w:rPr>
            </w:pPr>
          </w:p>
        </w:tc>
        <w:tc>
          <w:tcPr>
            <w:tcW w:w="850" w:type="dxa"/>
            <w:tcBorders>
              <w:left w:val="single" w:sz="2" w:space="0" w:color="000000"/>
              <w:bottom w:val="single" w:sz="12" w:space="0" w:color="auto"/>
            </w:tcBorders>
            <w:vAlign w:val="center"/>
          </w:tcPr>
          <w:p w14:paraId="0982154C" w14:textId="77777777" w:rsidR="003F5512" w:rsidRPr="003A0FD0" w:rsidRDefault="003F5512" w:rsidP="000840F9">
            <w:pPr>
              <w:tabs>
                <w:tab w:val="left" w:pos="357"/>
                <w:tab w:val="left" w:pos="477"/>
              </w:tabs>
              <w:spacing w:before="40" w:after="40" w:line="220" w:lineRule="exact"/>
              <w:rPr>
                <w:snapToGrid w:val="0"/>
                <w:sz w:val="18"/>
                <w:szCs w:val="18"/>
                <w:lang w:val="en-US" w:eastAsia="de-DE"/>
              </w:rPr>
            </w:pPr>
            <w:r w:rsidRPr="003A0FD0">
              <w:rPr>
                <w:snapToGrid w:val="0"/>
                <w:spacing w:val="-2"/>
                <w:sz w:val="18"/>
                <w:szCs w:val="18"/>
                <w:lang w:val="en-US" w:eastAsia="de-DE"/>
              </w:rPr>
              <w:t>not above 0.57D</w:t>
            </w:r>
            <w:r w:rsidRPr="003A0FD0">
              <w:rPr>
                <w:snapToGrid w:val="0"/>
                <w:sz w:val="18"/>
                <w:szCs w:val="18"/>
                <w:lang w:val="en-US" w:eastAsia="de-DE"/>
              </w:rPr>
              <w:br/>
              <w:t>not below 1.3D</w:t>
            </w:r>
          </w:p>
        </w:tc>
        <w:tc>
          <w:tcPr>
            <w:tcW w:w="851" w:type="dxa"/>
            <w:tcBorders>
              <w:left w:val="single" w:sz="12" w:space="0" w:color="auto"/>
              <w:bottom w:val="single" w:sz="12" w:space="0" w:color="auto"/>
              <w:right w:val="single" w:sz="2" w:space="0" w:color="auto"/>
            </w:tcBorders>
            <w:vAlign w:val="center"/>
          </w:tcPr>
          <w:p w14:paraId="5E77C6FF" w14:textId="77777777" w:rsidR="003F5512" w:rsidRPr="003A0FD0" w:rsidRDefault="003F5512" w:rsidP="000840F9">
            <w:pPr>
              <w:tabs>
                <w:tab w:val="left" w:pos="357"/>
                <w:tab w:val="left" w:pos="477"/>
              </w:tabs>
              <w:spacing w:before="40" w:after="40" w:line="220" w:lineRule="exact"/>
              <w:ind w:left="57"/>
              <w:rPr>
                <w:snapToGrid w:val="0"/>
                <w:sz w:val="18"/>
                <w:szCs w:val="18"/>
                <w:lang w:val="en-US" w:eastAsia="de-DE"/>
              </w:rPr>
            </w:pPr>
          </w:p>
        </w:tc>
        <w:tc>
          <w:tcPr>
            <w:tcW w:w="850" w:type="dxa"/>
            <w:tcBorders>
              <w:left w:val="single" w:sz="2" w:space="0" w:color="auto"/>
              <w:bottom w:val="single" w:sz="12" w:space="0" w:color="auto"/>
            </w:tcBorders>
            <w:vAlign w:val="center"/>
          </w:tcPr>
          <w:p w14:paraId="3419FBEE" w14:textId="77777777" w:rsidR="003F5512" w:rsidRPr="003A0FD0" w:rsidRDefault="003F5512" w:rsidP="000840F9">
            <w:pPr>
              <w:tabs>
                <w:tab w:val="left" w:pos="357"/>
                <w:tab w:val="left" w:pos="477"/>
              </w:tabs>
              <w:spacing w:before="40" w:after="40" w:line="220" w:lineRule="exact"/>
              <w:ind w:right="-28"/>
              <w:rPr>
                <w:snapToGrid w:val="0"/>
                <w:sz w:val="18"/>
                <w:szCs w:val="18"/>
                <w:lang w:val="en-US" w:eastAsia="de-DE"/>
              </w:rPr>
            </w:pPr>
            <w:r w:rsidRPr="003A0FD0">
              <w:rPr>
                <w:snapToGrid w:val="0"/>
                <w:sz w:val="18"/>
                <w:szCs w:val="18"/>
                <w:lang w:val="en-US" w:eastAsia="de-DE"/>
              </w:rPr>
              <w:t>not above 0.23D</w:t>
            </w:r>
            <w:r w:rsidRPr="003A0FD0">
              <w:rPr>
                <w:snapToGrid w:val="0"/>
                <w:sz w:val="18"/>
                <w:szCs w:val="18"/>
                <w:vertAlign w:val="superscript"/>
                <w:lang w:val="en-US" w:eastAsia="de-DE"/>
              </w:rPr>
              <w:t xml:space="preserve">8 </w:t>
            </w:r>
            <w:r w:rsidRPr="003A0FD0">
              <w:rPr>
                <w:snapToGrid w:val="0"/>
                <w:sz w:val="18"/>
                <w:szCs w:val="18"/>
                <w:lang w:val="en-US" w:eastAsia="de-DE"/>
              </w:rPr>
              <w:t>not below 0.57D</w:t>
            </w:r>
          </w:p>
        </w:tc>
        <w:tc>
          <w:tcPr>
            <w:tcW w:w="851" w:type="dxa"/>
            <w:tcBorders>
              <w:left w:val="single" w:sz="12" w:space="0" w:color="auto"/>
              <w:bottom w:val="single" w:sz="12" w:space="0" w:color="auto"/>
              <w:right w:val="single" w:sz="2" w:space="0" w:color="000000"/>
            </w:tcBorders>
            <w:vAlign w:val="center"/>
          </w:tcPr>
          <w:p w14:paraId="63E2A463" w14:textId="77777777" w:rsidR="003F5512" w:rsidRPr="003A0FD0" w:rsidRDefault="003F5512" w:rsidP="000840F9">
            <w:pPr>
              <w:spacing w:before="40" w:after="40" w:line="220" w:lineRule="exact"/>
              <w:ind w:left="57"/>
              <w:rPr>
                <w:snapToGrid w:val="0"/>
                <w:sz w:val="18"/>
                <w:szCs w:val="18"/>
                <w:lang w:val="en-US" w:eastAsia="de-DE"/>
              </w:rPr>
            </w:pPr>
          </w:p>
        </w:tc>
        <w:tc>
          <w:tcPr>
            <w:tcW w:w="850" w:type="dxa"/>
            <w:tcBorders>
              <w:left w:val="single" w:sz="2" w:space="0" w:color="000000"/>
              <w:bottom w:val="single" w:sz="12" w:space="0" w:color="auto"/>
              <w:right w:val="single" w:sz="12" w:space="0" w:color="auto"/>
            </w:tcBorders>
            <w:vAlign w:val="center"/>
          </w:tcPr>
          <w:p w14:paraId="08C95C62" w14:textId="77777777" w:rsidR="003F5512" w:rsidRPr="003A0FD0" w:rsidRDefault="003F5512" w:rsidP="000840F9">
            <w:pPr>
              <w:tabs>
                <w:tab w:val="left" w:pos="357"/>
                <w:tab w:val="left" w:pos="477"/>
              </w:tabs>
              <w:spacing w:before="40" w:after="40" w:line="220" w:lineRule="exact"/>
              <w:ind w:right="-57"/>
              <w:rPr>
                <w:snapToGrid w:val="0"/>
                <w:sz w:val="18"/>
                <w:szCs w:val="18"/>
                <w:lang w:val="en-US" w:eastAsia="de-DE"/>
              </w:rPr>
            </w:pPr>
            <w:r w:rsidRPr="003A0FD0">
              <w:rPr>
                <w:snapToGrid w:val="0"/>
                <w:sz w:val="18"/>
                <w:szCs w:val="18"/>
                <w:lang w:val="en-US" w:eastAsia="de-DE"/>
              </w:rPr>
              <w:t xml:space="preserve">not above 0.23D </w:t>
            </w:r>
            <w:r w:rsidRPr="003A0FD0">
              <w:rPr>
                <w:snapToGrid w:val="0"/>
                <w:sz w:val="18"/>
                <w:szCs w:val="18"/>
                <w:lang w:val="en-US" w:eastAsia="de-DE"/>
              </w:rPr>
              <w:br/>
              <w:t>not below 0.57D</w:t>
            </w:r>
          </w:p>
        </w:tc>
      </w:tr>
      <w:tr w:rsidR="003F5512" w:rsidRPr="00342A7F" w14:paraId="75C07CE8" w14:textId="77777777" w:rsidTr="000840F9">
        <w:trPr>
          <w:cantSplit/>
          <w:trHeight w:val="280"/>
        </w:trPr>
        <w:tc>
          <w:tcPr>
            <w:tcW w:w="374" w:type="dxa"/>
            <w:vAlign w:val="center"/>
          </w:tcPr>
          <w:p w14:paraId="39D38BC1" w14:textId="77777777" w:rsidR="003F5512" w:rsidRPr="00BD55BD" w:rsidRDefault="003F5512" w:rsidP="000840F9">
            <w:pPr>
              <w:rPr>
                <w:snapToGrid w:val="0"/>
                <w:sz w:val="18"/>
                <w:szCs w:val="18"/>
                <w:vertAlign w:val="superscript"/>
                <w:lang w:eastAsia="de-DE"/>
              </w:rPr>
            </w:pPr>
            <w:r w:rsidRPr="003A0FD0">
              <w:rPr>
                <w:snapToGrid w:val="0"/>
                <w:sz w:val="18"/>
                <w:szCs w:val="18"/>
                <w:vertAlign w:val="superscript"/>
                <w:lang w:val="en-US" w:eastAsia="de-DE"/>
              </w:rPr>
              <w:t xml:space="preserve">  </w:t>
            </w:r>
            <w:r w:rsidRPr="00BD55BD">
              <w:rPr>
                <w:snapToGrid w:val="0"/>
                <w:sz w:val="18"/>
                <w:szCs w:val="18"/>
                <w:vertAlign w:val="superscript"/>
                <w:lang w:eastAsia="de-DE"/>
              </w:rPr>
              <w:t>8</w:t>
            </w:r>
          </w:p>
        </w:tc>
        <w:tc>
          <w:tcPr>
            <w:tcW w:w="9437" w:type="dxa"/>
            <w:gridSpan w:val="9"/>
            <w:vAlign w:val="center"/>
          </w:tcPr>
          <w:p w14:paraId="03A54123" w14:textId="77777777" w:rsidR="003F5512" w:rsidRPr="003A0FD0" w:rsidRDefault="003F5512" w:rsidP="000840F9">
            <w:pPr>
              <w:rPr>
                <w:snapToGrid w:val="0"/>
                <w:sz w:val="18"/>
                <w:szCs w:val="18"/>
                <w:u w:val="single"/>
                <w:lang w:val="en-US" w:eastAsia="de-DE"/>
              </w:rPr>
            </w:pPr>
            <w:r w:rsidRPr="003A0FD0">
              <w:rPr>
                <w:snapToGrid w:val="0"/>
                <w:sz w:val="18"/>
                <w:szCs w:val="18"/>
                <w:lang w:val="en-US" w:eastAsia="de-DE"/>
              </w:rPr>
              <w:t>Requirements according to the provisions indicated in Table 6 below apply in addition.</w:t>
            </w:r>
          </w:p>
        </w:tc>
      </w:tr>
    </w:tbl>
    <w:p w14:paraId="7484BC06" w14:textId="77777777" w:rsidR="003F5512" w:rsidRPr="00052475" w:rsidRDefault="003F5512" w:rsidP="003F5512">
      <w:pPr>
        <w:keepNext/>
        <w:keepLines/>
        <w:tabs>
          <w:tab w:val="left" w:pos="8505"/>
        </w:tabs>
        <w:spacing w:before="120" w:after="120"/>
        <w:ind w:left="2268" w:right="1134" w:hanging="1134"/>
        <w:jc w:val="right"/>
        <w:rPr>
          <w:lang w:val="en-US"/>
        </w:rPr>
      </w:pPr>
      <w:r w:rsidRPr="00052475">
        <w:rPr>
          <w:lang w:val="en-US"/>
        </w:rPr>
        <w:t>"</w:t>
      </w:r>
    </w:p>
    <w:p w14:paraId="232E3A2D" w14:textId="260DBBC8" w:rsidR="003F5512" w:rsidRDefault="003F5512" w:rsidP="003F5512">
      <w:pPr>
        <w:keepNext/>
        <w:keepLines/>
        <w:tabs>
          <w:tab w:val="left" w:pos="8505"/>
        </w:tabs>
        <w:spacing w:before="120" w:after="120"/>
        <w:ind w:left="2268" w:right="1134" w:hanging="1134"/>
        <w:rPr>
          <w:i/>
          <w:lang w:val="en-US"/>
        </w:rPr>
      </w:pPr>
      <w:r w:rsidRPr="00AB05E0">
        <w:rPr>
          <w:i/>
          <w:lang w:val="en-US"/>
        </w:rPr>
        <w:t xml:space="preserve">Annex 4 </w:t>
      </w:r>
    </w:p>
    <w:p w14:paraId="3F7A9DE6" w14:textId="77777777" w:rsidR="003F5512" w:rsidRPr="00AB05E0" w:rsidRDefault="003F5512" w:rsidP="003F5512">
      <w:pPr>
        <w:keepNext/>
        <w:keepLines/>
        <w:tabs>
          <w:tab w:val="left" w:pos="8505"/>
        </w:tabs>
        <w:spacing w:after="120"/>
        <w:ind w:left="2268" w:right="1134" w:hanging="1134"/>
        <w:rPr>
          <w:lang w:val="en-US"/>
        </w:rPr>
      </w:pPr>
      <w:r>
        <w:rPr>
          <w:i/>
          <w:lang w:val="en-US"/>
        </w:rPr>
        <w:t>Introductory part</w:t>
      </w:r>
      <w:r w:rsidRPr="00716B90">
        <w:rPr>
          <w:lang w:val="en-US"/>
        </w:rPr>
        <w:t>,</w:t>
      </w:r>
      <w:r w:rsidRPr="00AB05E0">
        <w:rPr>
          <w:i/>
          <w:lang w:val="en-US"/>
        </w:rPr>
        <w:t xml:space="preserve"> </w:t>
      </w:r>
      <w:r w:rsidRPr="00AB05E0">
        <w:rPr>
          <w:lang w:val="en-US"/>
        </w:rPr>
        <w:t>amend to read:</w:t>
      </w:r>
    </w:p>
    <w:p w14:paraId="5E085A51" w14:textId="77E9B474" w:rsidR="003F5512" w:rsidRPr="00AB05E0" w:rsidRDefault="003F5512" w:rsidP="003F5512">
      <w:pPr>
        <w:pStyle w:val="HChG"/>
        <w:rPr>
          <w:lang w:val="en-US"/>
        </w:rPr>
      </w:pPr>
      <w:r w:rsidRPr="00AB05E0">
        <w:rPr>
          <w:lang w:val="en-US"/>
        </w:rPr>
        <w:tab/>
      </w:r>
      <w:r w:rsidRPr="00AB05E0">
        <w:rPr>
          <w:lang w:val="en-US"/>
        </w:rPr>
        <w:tab/>
        <w:t xml:space="preserve">"Tests for stability of photometric performance of systems in operation </w:t>
      </w:r>
      <w:r w:rsidR="0088541D">
        <w:rPr>
          <w:lang w:val="en-US"/>
        </w:rPr>
        <w:softHyphen/>
      </w:r>
      <w:r w:rsidR="0088541D" w:rsidRPr="00AB05E0">
        <w:rPr>
          <w:lang w:val="en-US"/>
        </w:rPr>
        <w:t xml:space="preserve"> </w:t>
      </w:r>
      <w:r w:rsidRPr="00AB05E0">
        <w:rPr>
          <w:lang w:val="en-US"/>
        </w:rPr>
        <w:t>Tests on complete systems</w:t>
      </w:r>
      <w:r w:rsidRPr="00AB05E0">
        <w:rPr>
          <w:lang w:val="en-US"/>
        </w:rPr>
        <w:tab/>
      </w:r>
    </w:p>
    <w:p w14:paraId="017DC67F" w14:textId="77777777" w:rsidR="003F5512" w:rsidRPr="00AB05E0" w:rsidRDefault="003F5512" w:rsidP="003F5512">
      <w:pPr>
        <w:pStyle w:val="SingleTxtG"/>
        <w:ind w:left="1854" w:firstLine="414"/>
        <w:rPr>
          <w:lang w:val="en-US"/>
        </w:rPr>
      </w:pPr>
      <w:r w:rsidRPr="00AB05E0">
        <w:rPr>
          <w:lang w:val="en-US"/>
        </w:rPr>
        <w:t>Tests on complete systems</w:t>
      </w:r>
    </w:p>
    <w:p w14:paraId="5134AD49" w14:textId="77777777" w:rsidR="003F5512" w:rsidRDefault="003F5512" w:rsidP="003F5512">
      <w:pPr>
        <w:pStyle w:val="rxxxannex"/>
        <w:tabs>
          <w:tab w:val="left" w:pos="8505"/>
        </w:tabs>
        <w:spacing w:line="240" w:lineRule="atLeast"/>
        <w:ind w:left="2268" w:right="1134"/>
        <w:jc w:val="both"/>
        <w:rPr>
          <w:sz w:val="20"/>
        </w:rPr>
      </w:pPr>
      <w:r w:rsidRPr="00332659">
        <w:rPr>
          <w:sz w:val="20"/>
        </w:rPr>
        <w:t xml:space="preserve">Once the photometric values have been measured according to the prescriptions of this Regulation, in the point of </w:t>
      </w:r>
      <w:r>
        <w:rPr>
          <w:sz w:val="20"/>
        </w:rPr>
        <w:t>I</w:t>
      </w:r>
      <w:r w:rsidRPr="00AB05E0">
        <w:rPr>
          <w:sz w:val="20"/>
          <w:vertAlign w:val="subscript"/>
        </w:rPr>
        <w:t>max</w:t>
      </w:r>
      <w:r w:rsidRPr="00332659">
        <w:rPr>
          <w:sz w:val="20"/>
        </w:rPr>
        <w:t xml:space="preserve"> for driving beam and in points </w:t>
      </w:r>
      <w:r w:rsidRPr="00AB05E0">
        <w:rPr>
          <w:sz w:val="20"/>
        </w:rPr>
        <w:t>25L</w:t>
      </w:r>
      <w:r w:rsidRPr="00332659">
        <w:rPr>
          <w:sz w:val="20"/>
        </w:rPr>
        <w:t xml:space="preserve">, 50V and B50L </w:t>
      </w:r>
      <w:r w:rsidRPr="007964EF">
        <w:rPr>
          <w:sz w:val="20"/>
        </w:rPr>
        <w:t>(or R),</w:t>
      </w:r>
      <w:r w:rsidRPr="00332659">
        <w:rPr>
          <w:sz w:val="20"/>
        </w:rPr>
        <w:t xml:space="preserve"> whichever applies for passing beam, a complete system sample shall be tested for stability of photometric performance in operation.</w:t>
      </w:r>
    </w:p>
    <w:p w14:paraId="6CE8975E" w14:textId="77777777" w:rsidR="003F5512" w:rsidRPr="00AB05E0" w:rsidRDefault="003F5512" w:rsidP="003F5512">
      <w:pPr>
        <w:tabs>
          <w:tab w:val="left" w:pos="1134"/>
        </w:tabs>
        <w:spacing w:after="120"/>
        <w:ind w:left="2127" w:right="1134"/>
        <w:jc w:val="both"/>
        <w:rPr>
          <w:lang w:val="en-US"/>
        </w:rPr>
      </w:pPr>
      <w:r>
        <w:rPr>
          <w:lang w:val="en-US"/>
        </w:rPr>
        <w:tab/>
      </w:r>
      <w:r w:rsidRPr="00AB05E0">
        <w:rPr>
          <w:lang w:val="en-US"/>
        </w:rPr>
        <w:t>…"</w:t>
      </w:r>
    </w:p>
    <w:p w14:paraId="3203F240" w14:textId="77777777" w:rsidR="003F5512" w:rsidRPr="00D55AB8" w:rsidRDefault="003F5512" w:rsidP="003F5512">
      <w:pPr>
        <w:spacing w:after="120" w:line="240" w:lineRule="exact"/>
        <w:ind w:left="1134" w:right="1134"/>
        <w:jc w:val="both"/>
        <w:rPr>
          <w:bCs/>
          <w:i/>
          <w:lang w:val="en-US"/>
        </w:rPr>
      </w:pPr>
      <w:r>
        <w:rPr>
          <w:bCs/>
          <w:i/>
          <w:lang w:val="en-US"/>
        </w:rPr>
        <w:t>P</w:t>
      </w:r>
      <w:r w:rsidRPr="00D55AB8">
        <w:rPr>
          <w:bCs/>
          <w:i/>
          <w:lang w:val="en-US"/>
        </w:rPr>
        <w:t>aragraph 1.2.1.2.</w:t>
      </w:r>
      <w:r w:rsidRPr="0088541D">
        <w:rPr>
          <w:bCs/>
          <w:lang w:val="en-US"/>
        </w:rPr>
        <w:t>,</w:t>
      </w:r>
      <w:r w:rsidRPr="00D55AB8">
        <w:rPr>
          <w:b/>
          <w:bCs/>
          <w:i/>
          <w:lang w:val="en-US"/>
        </w:rPr>
        <w:t xml:space="preserve"> </w:t>
      </w:r>
      <w:r w:rsidRPr="00D55AB8">
        <w:rPr>
          <w:bCs/>
          <w:lang w:val="en-US"/>
        </w:rPr>
        <w:t>amend to read:</w:t>
      </w:r>
    </w:p>
    <w:p w14:paraId="5C7159E4" w14:textId="77777777" w:rsidR="003F5512" w:rsidRPr="00D55AB8" w:rsidRDefault="003F5512" w:rsidP="003F5512">
      <w:pPr>
        <w:spacing w:after="120"/>
        <w:ind w:left="2268" w:right="1134" w:hanging="1134"/>
        <w:jc w:val="both"/>
        <w:rPr>
          <w:rFonts w:eastAsia="Calibri"/>
          <w:lang w:val="en-US"/>
        </w:rPr>
      </w:pPr>
      <w:r>
        <w:rPr>
          <w:rFonts w:eastAsia="Calibri"/>
          <w:lang w:val="en-US"/>
        </w:rPr>
        <w:t>"</w:t>
      </w:r>
      <w:r w:rsidRPr="00D55AB8">
        <w:rPr>
          <w:rFonts w:eastAsia="Calibri"/>
          <w:lang w:val="en-US"/>
        </w:rPr>
        <w:t>1.2.1.2.</w:t>
      </w:r>
      <w:r w:rsidRPr="00D55AB8">
        <w:rPr>
          <w:rFonts w:eastAsia="Calibri"/>
          <w:lang w:val="en-US"/>
        </w:rPr>
        <w:tab/>
        <w:t>For a system or parts thereof with the outside lens in plastic material, the mixture of water and polluting agent to be applied to the test sample shall be composed of:</w:t>
      </w:r>
    </w:p>
    <w:p w14:paraId="0392551A" w14:textId="5BBCCD4F" w:rsidR="003F5512" w:rsidRPr="00D55AB8" w:rsidRDefault="003F5512" w:rsidP="003F5512">
      <w:pPr>
        <w:spacing w:after="120"/>
        <w:ind w:left="2835" w:right="1134" w:hanging="567"/>
        <w:jc w:val="both"/>
        <w:rPr>
          <w:rFonts w:eastAsia="Calibri"/>
          <w:lang w:val="en-US"/>
        </w:rPr>
      </w:pPr>
      <w:r w:rsidRPr="00D55AB8">
        <w:rPr>
          <w:rFonts w:eastAsia="Calibri"/>
          <w:lang w:val="en-US"/>
        </w:rPr>
        <w:t>(a)</w:t>
      </w:r>
      <w:r w:rsidRPr="00D55AB8">
        <w:rPr>
          <w:rFonts w:eastAsia="Calibri"/>
          <w:lang w:val="en-US"/>
        </w:rPr>
        <w:tab/>
        <w:t xml:space="preserve">9 parts by weight of silica sand with a particle size of 0-100 </w:t>
      </w:r>
      <w:r w:rsidRPr="002B73A5">
        <w:rPr>
          <w:rFonts w:eastAsia="Calibri"/>
        </w:rPr>
        <w:t>μ</w:t>
      </w:r>
      <w:r w:rsidRPr="00D55AB8">
        <w:rPr>
          <w:rFonts w:eastAsia="Calibri"/>
          <w:lang w:val="en-US"/>
        </w:rPr>
        <w:t>m</w:t>
      </w:r>
      <w:r w:rsidR="0088541D">
        <w:rPr>
          <w:rFonts w:eastAsia="Calibri"/>
          <w:lang w:val="en-US"/>
        </w:rPr>
        <w:t>;</w:t>
      </w:r>
    </w:p>
    <w:p w14:paraId="1FD76EAF" w14:textId="751D439C" w:rsidR="003F5512" w:rsidRPr="00D55AB8" w:rsidRDefault="003F5512" w:rsidP="003F5512">
      <w:pPr>
        <w:spacing w:after="120"/>
        <w:ind w:left="2835" w:right="1134" w:hanging="567"/>
        <w:jc w:val="both"/>
        <w:rPr>
          <w:rFonts w:eastAsia="Calibri"/>
          <w:lang w:val="en-US"/>
        </w:rPr>
      </w:pPr>
      <w:r w:rsidRPr="00D55AB8">
        <w:rPr>
          <w:rFonts w:eastAsia="Calibri"/>
          <w:lang w:val="en-US"/>
        </w:rPr>
        <w:t>(b)</w:t>
      </w:r>
      <w:r w:rsidRPr="00D55AB8">
        <w:rPr>
          <w:rFonts w:eastAsia="Calibri"/>
          <w:lang w:val="en-US"/>
        </w:rPr>
        <w:tab/>
        <w:t xml:space="preserve">1 part by weight of vegetal carbon dust produced from beech wood with a particle size of 0-100 </w:t>
      </w:r>
      <w:r w:rsidRPr="002B73A5">
        <w:rPr>
          <w:rFonts w:eastAsia="Calibri"/>
        </w:rPr>
        <w:t>μ</w:t>
      </w:r>
      <w:r w:rsidRPr="00D55AB8">
        <w:rPr>
          <w:rFonts w:eastAsia="Calibri"/>
          <w:lang w:val="en-US"/>
        </w:rPr>
        <w:t>m</w:t>
      </w:r>
      <w:r w:rsidR="0088541D">
        <w:rPr>
          <w:rFonts w:eastAsia="Calibri"/>
          <w:lang w:val="en-US"/>
        </w:rPr>
        <w:t>;</w:t>
      </w:r>
    </w:p>
    <w:p w14:paraId="26BDF7CF" w14:textId="7EB7B7CC" w:rsidR="003F5512" w:rsidRPr="00D55AB8" w:rsidRDefault="003F5512" w:rsidP="003F5512">
      <w:pPr>
        <w:spacing w:after="120"/>
        <w:ind w:left="2835" w:right="1134" w:hanging="567"/>
        <w:jc w:val="both"/>
        <w:rPr>
          <w:rFonts w:eastAsia="Calibri"/>
          <w:lang w:val="en-US"/>
        </w:rPr>
      </w:pPr>
      <w:r w:rsidRPr="00D55AB8">
        <w:rPr>
          <w:rFonts w:eastAsia="Calibri"/>
          <w:lang w:val="en-US"/>
        </w:rPr>
        <w:lastRenderedPageBreak/>
        <w:t>(c)</w:t>
      </w:r>
      <w:r w:rsidRPr="00D55AB8">
        <w:rPr>
          <w:rFonts w:eastAsia="Calibri"/>
          <w:lang w:val="en-US"/>
        </w:rPr>
        <w:tab/>
        <w:t>0.2 part by weight of NaCM</w:t>
      </w:r>
      <w:r w:rsidRPr="00D36BEE">
        <w:rPr>
          <w:rFonts w:eastAsia="Calibri"/>
          <w:spacing w:val="20"/>
          <w:lang w:val="en-US"/>
        </w:rPr>
        <w:t>C</w:t>
      </w:r>
      <w:r w:rsidRPr="00D55AB8">
        <w:rPr>
          <w:rFonts w:eastAsia="Calibri"/>
          <w:vertAlign w:val="superscript"/>
          <w:lang w:val="en-US"/>
        </w:rPr>
        <w:t>5</w:t>
      </w:r>
      <w:r w:rsidR="0088541D">
        <w:rPr>
          <w:rFonts w:eastAsia="Calibri"/>
          <w:lang w:val="en-US"/>
        </w:rPr>
        <w:t>;</w:t>
      </w:r>
    </w:p>
    <w:p w14:paraId="60D87792" w14:textId="6912FE53" w:rsidR="003F5512" w:rsidRPr="00D55AB8" w:rsidRDefault="003F5512" w:rsidP="003F5512">
      <w:pPr>
        <w:spacing w:after="120"/>
        <w:ind w:left="2835" w:right="1134" w:hanging="567"/>
        <w:jc w:val="both"/>
        <w:rPr>
          <w:rFonts w:eastAsia="Calibri"/>
          <w:lang w:val="en-US"/>
        </w:rPr>
      </w:pPr>
      <w:r w:rsidRPr="00D55AB8">
        <w:rPr>
          <w:rFonts w:eastAsia="Calibri"/>
          <w:lang w:val="en-US"/>
        </w:rPr>
        <w:t>(d)</w:t>
      </w:r>
      <w:r w:rsidRPr="00D55AB8">
        <w:rPr>
          <w:rFonts w:eastAsia="Calibri"/>
          <w:lang w:val="en-US"/>
        </w:rPr>
        <w:tab/>
        <w:t>5 parts by weight of sodium chloride (pure at 99 per cent)</w:t>
      </w:r>
      <w:r w:rsidR="0088541D">
        <w:rPr>
          <w:rFonts w:eastAsia="Calibri"/>
          <w:lang w:val="en-US"/>
        </w:rPr>
        <w:t>;</w:t>
      </w:r>
    </w:p>
    <w:p w14:paraId="6B6FFECB" w14:textId="3E4E366D" w:rsidR="003F5512" w:rsidRPr="00D55AB8" w:rsidRDefault="003F5512" w:rsidP="003F5512">
      <w:pPr>
        <w:spacing w:after="120"/>
        <w:ind w:left="2835" w:right="1134" w:hanging="567"/>
        <w:jc w:val="both"/>
        <w:rPr>
          <w:rFonts w:eastAsia="Calibri"/>
          <w:lang w:val="en-US"/>
        </w:rPr>
      </w:pPr>
      <w:r w:rsidRPr="00D55AB8">
        <w:rPr>
          <w:rFonts w:eastAsia="Calibri"/>
          <w:lang w:val="en-US"/>
        </w:rPr>
        <w:t>(e)</w:t>
      </w:r>
      <w:r w:rsidRPr="00D55AB8">
        <w:rPr>
          <w:rFonts w:eastAsia="Calibri"/>
          <w:lang w:val="en-US"/>
        </w:rPr>
        <w:tab/>
        <w:t xml:space="preserve">13 parts by weight of distilled water with a conductivity of less than </w:t>
      </w:r>
      <w:r w:rsidRPr="002B73A5">
        <w:sym w:font="Symbol" w:char="F0A3"/>
      </w:r>
      <w:r w:rsidRPr="00D55AB8">
        <w:rPr>
          <w:lang w:val="en-US"/>
        </w:rPr>
        <w:t> 1 mS/m</w:t>
      </w:r>
      <w:r w:rsidR="0088541D">
        <w:rPr>
          <w:rFonts w:eastAsia="Calibri"/>
          <w:lang w:val="en-US"/>
        </w:rPr>
        <w:t>;</w:t>
      </w:r>
    </w:p>
    <w:p w14:paraId="428E9B05" w14:textId="2A968619" w:rsidR="003F5512" w:rsidRPr="00AB05E0" w:rsidRDefault="003F5512" w:rsidP="003F5512">
      <w:pPr>
        <w:spacing w:after="120"/>
        <w:ind w:left="2835" w:right="1134" w:hanging="567"/>
        <w:jc w:val="both"/>
        <w:rPr>
          <w:rFonts w:eastAsia="Calibri"/>
          <w:vertAlign w:val="superscript"/>
          <w:lang w:val="en-US"/>
        </w:rPr>
      </w:pPr>
      <w:r w:rsidRPr="00AB05E0">
        <w:rPr>
          <w:rFonts w:eastAsia="Calibri"/>
          <w:lang w:val="en-US"/>
        </w:rPr>
        <w:t>(f)</w:t>
      </w:r>
      <w:r w:rsidRPr="00AB05E0">
        <w:rPr>
          <w:rFonts w:eastAsia="Calibri"/>
          <w:lang w:val="en-US"/>
        </w:rPr>
        <w:tab/>
        <w:t xml:space="preserve">2 ± 1 drops of </w:t>
      </w:r>
      <w:r w:rsidRPr="00AB05E0">
        <w:rPr>
          <w:lang w:val="en-US"/>
        </w:rPr>
        <w:t>surfactant</w:t>
      </w:r>
      <w:r w:rsidRPr="00AB05E0">
        <w:rPr>
          <w:rFonts w:eastAsia="Calibri"/>
          <w:vertAlign w:val="superscript"/>
          <w:lang w:val="en-US"/>
        </w:rPr>
        <w:t>6</w:t>
      </w:r>
      <w:r w:rsidR="0088541D">
        <w:rPr>
          <w:rFonts w:eastAsia="Calibri"/>
          <w:lang w:val="en-US"/>
        </w:rPr>
        <w:t>.</w:t>
      </w:r>
      <w:r w:rsidRPr="00AB05E0">
        <w:rPr>
          <w:rFonts w:eastAsia="Calibri"/>
          <w:vertAlign w:val="superscript"/>
          <w:lang w:val="en-US"/>
        </w:rPr>
        <w:t xml:space="preserve"> </w:t>
      </w:r>
      <w:r>
        <w:rPr>
          <w:rFonts w:eastAsia="Calibri"/>
          <w:lang w:val="en-US"/>
        </w:rPr>
        <w:t>"</w:t>
      </w:r>
    </w:p>
    <w:p w14:paraId="73DDF098" w14:textId="77777777" w:rsidR="003F5512" w:rsidRPr="00C12B42" w:rsidRDefault="003F5512" w:rsidP="003F5512">
      <w:pPr>
        <w:spacing w:after="120"/>
        <w:ind w:left="2268" w:right="1134" w:hanging="1134"/>
        <w:rPr>
          <w:lang w:val="en-US"/>
        </w:rPr>
      </w:pPr>
      <w:r w:rsidRPr="00C12B42">
        <w:rPr>
          <w:i/>
          <w:lang w:val="en-US"/>
        </w:rPr>
        <w:t>Paragraph 1.2.1.5.</w:t>
      </w:r>
      <w:r w:rsidRPr="0088541D">
        <w:rPr>
          <w:lang w:val="en-US"/>
        </w:rPr>
        <w:t>,</w:t>
      </w:r>
      <w:r w:rsidRPr="00C12B42">
        <w:rPr>
          <w:lang w:val="en-US"/>
        </w:rPr>
        <w:t xml:space="preserve"> amend to read:</w:t>
      </w:r>
    </w:p>
    <w:p w14:paraId="2463F8FF" w14:textId="77777777" w:rsidR="003F5512" w:rsidRPr="00C12B42" w:rsidRDefault="003F5512" w:rsidP="003F5512">
      <w:pPr>
        <w:spacing w:after="120"/>
        <w:ind w:left="2268" w:right="1134" w:hanging="1134"/>
        <w:jc w:val="both"/>
        <w:rPr>
          <w:lang w:val="en-US"/>
        </w:rPr>
      </w:pPr>
      <w:r w:rsidRPr="00C12B42">
        <w:rPr>
          <w:lang w:val="en-US"/>
        </w:rPr>
        <w:t>"1.2.1.5.</w:t>
      </w:r>
      <w:r w:rsidRPr="00C12B42">
        <w:rPr>
          <w:lang w:val="en-US"/>
        </w:rPr>
        <w:tab/>
        <w:t>Application of the test mixture to the test sample</w:t>
      </w:r>
    </w:p>
    <w:p w14:paraId="2A541931" w14:textId="77777777" w:rsidR="003F5512" w:rsidRPr="00C12B42" w:rsidRDefault="003F5512" w:rsidP="003F5512">
      <w:pPr>
        <w:spacing w:after="120"/>
        <w:ind w:left="2268" w:right="1134" w:hanging="1134"/>
        <w:jc w:val="both"/>
        <w:rPr>
          <w:lang w:val="en-US"/>
        </w:rPr>
      </w:pPr>
      <w:r w:rsidRPr="00C12B42">
        <w:rPr>
          <w:lang w:val="en-US"/>
        </w:rPr>
        <w:tab/>
        <w:t>The test mixture shall be uniformly applied to the entire light</w:t>
      </w:r>
      <w:r w:rsidRPr="00C12B42">
        <w:rPr>
          <w:lang w:val="en-US"/>
        </w:rPr>
        <w:noBreakHyphen/>
        <w:t>emitting surface</w:t>
      </w:r>
      <w:r w:rsidRPr="00C12B42">
        <w:rPr>
          <w:iCs/>
          <w:lang w:val="en-US"/>
        </w:rPr>
        <w:t>(s)</w:t>
      </w:r>
      <w:r w:rsidRPr="00C12B42">
        <w:rPr>
          <w:lang w:val="en-US"/>
        </w:rPr>
        <w:t xml:space="preserve"> of the test sample and then left to dry.  This procedure shall be repeated until the illuminating value has dropped to 15-20 per cent of the values measured for each following point under the conditions described in this annex:</w:t>
      </w:r>
    </w:p>
    <w:p w14:paraId="77573C5F" w14:textId="1B1E6634" w:rsidR="003F5512" w:rsidRPr="00C12B42" w:rsidRDefault="003F5512" w:rsidP="003F5512">
      <w:pPr>
        <w:spacing w:after="120"/>
        <w:ind w:left="2268" w:right="1134" w:hanging="1134"/>
        <w:jc w:val="both"/>
        <w:rPr>
          <w:lang w:val="en-US"/>
        </w:rPr>
      </w:pPr>
      <w:r w:rsidRPr="00C12B42">
        <w:rPr>
          <w:lang w:val="en-US"/>
        </w:rPr>
        <w:tab/>
      </w:r>
      <w:r w:rsidR="0088541D">
        <w:rPr>
          <w:lang w:val="en-US"/>
        </w:rPr>
        <w:t>P</w:t>
      </w:r>
      <w:r w:rsidRPr="00C12B42">
        <w:rPr>
          <w:lang w:val="en-US"/>
        </w:rPr>
        <w:t>oint I</w:t>
      </w:r>
      <w:r w:rsidRPr="00C12B42">
        <w:rPr>
          <w:vertAlign w:val="subscript"/>
          <w:lang w:val="en-US"/>
        </w:rPr>
        <w:t>max</w:t>
      </w:r>
      <w:r w:rsidRPr="00C12B42">
        <w:rPr>
          <w:lang w:val="en-US"/>
        </w:rPr>
        <w:t xml:space="preserve"> in driving beam,</w:t>
      </w:r>
      <w:r w:rsidR="00716B90">
        <w:rPr>
          <w:lang w:val="en-US"/>
        </w:rPr>
        <w:t xml:space="preserve"> under neutral state conditions;</w:t>
      </w:r>
    </w:p>
    <w:p w14:paraId="68B404F7" w14:textId="77777777" w:rsidR="003F5512" w:rsidRDefault="003F5512" w:rsidP="003F5512">
      <w:pPr>
        <w:spacing w:after="120"/>
        <w:ind w:left="2268" w:right="1134" w:hanging="1134"/>
        <w:jc w:val="both"/>
        <w:rPr>
          <w:lang w:val="en-US"/>
        </w:rPr>
      </w:pPr>
      <w:r w:rsidRPr="00C12B42">
        <w:rPr>
          <w:lang w:val="en-US"/>
        </w:rPr>
        <w:tab/>
        <w:t>50V for a</w:t>
      </w:r>
      <w:r w:rsidRPr="00C12B42">
        <w:rPr>
          <w:i/>
          <w:lang w:val="en-US"/>
        </w:rPr>
        <w:t xml:space="preserve"> </w:t>
      </w:r>
      <w:r w:rsidRPr="00C12B42">
        <w:rPr>
          <w:lang w:val="en-US"/>
        </w:rPr>
        <w:t>class C passing beam, and each specified passing beam mode."</w:t>
      </w:r>
    </w:p>
    <w:p w14:paraId="5D2F6CB1" w14:textId="7F221F75" w:rsidR="003F5512" w:rsidRPr="00EE3E75" w:rsidRDefault="003F5512" w:rsidP="003F5512">
      <w:pPr>
        <w:pStyle w:val="SingleTxtG"/>
        <w:rPr>
          <w:lang w:val="en-US"/>
        </w:rPr>
      </w:pPr>
      <w:r>
        <w:rPr>
          <w:i/>
          <w:iCs/>
          <w:lang w:val="en-US"/>
        </w:rPr>
        <w:t>P</w:t>
      </w:r>
      <w:r w:rsidRPr="00EE3E75">
        <w:rPr>
          <w:i/>
          <w:iCs/>
          <w:lang w:val="en-US"/>
        </w:rPr>
        <w:t>aragraphs 2.2.1. and 2.2.2</w:t>
      </w:r>
      <w:r w:rsidR="0088541D">
        <w:rPr>
          <w:i/>
          <w:iCs/>
          <w:lang w:val="en-US"/>
        </w:rPr>
        <w:t>.</w:t>
      </w:r>
      <w:r w:rsidRPr="0088541D">
        <w:rPr>
          <w:iCs/>
          <w:lang w:val="en-US"/>
        </w:rPr>
        <w:t>,</w:t>
      </w:r>
      <w:r w:rsidRPr="00EE3E75">
        <w:rPr>
          <w:lang w:val="en-US"/>
        </w:rPr>
        <w:t xml:space="preserve"> amend to read:</w:t>
      </w:r>
    </w:p>
    <w:p w14:paraId="7F69B0E4" w14:textId="77777777" w:rsidR="003F5512" w:rsidRPr="00EE3E75" w:rsidRDefault="003F5512" w:rsidP="003F5512">
      <w:pPr>
        <w:pStyle w:val="SingleTxtG"/>
        <w:ind w:left="2268" w:hanging="1134"/>
        <w:rPr>
          <w:lang w:val="en-US" w:eastAsia="ja-JP"/>
        </w:rPr>
      </w:pPr>
      <w:r w:rsidRPr="00EE3E75">
        <w:rPr>
          <w:lang w:val="en-US"/>
        </w:rPr>
        <w:t>"2.2.1.</w:t>
      </w:r>
      <w:r w:rsidRPr="00EE3E75">
        <w:rPr>
          <w:lang w:val="en-US"/>
        </w:rPr>
        <w:tab/>
        <w:t xml:space="preserve">The result expressed in milliradians (mrad) shall be considered as acceptable for a passing beam headlamp when the absolute value </w:t>
      </w:r>
      <w:r w:rsidRPr="008C0800">
        <w:sym w:font="Symbol" w:char="F044"/>
      </w:r>
      <w:r w:rsidRPr="00EE3E75">
        <w:rPr>
          <w:lang w:val="en-US"/>
        </w:rPr>
        <w:t xml:space="preserve"> r</w:t>
      </w:r>
      <w:r w:rsidRPr="00EE3E75">
        <w:rPr>
          <w:vertAlign w:val="subscript"/>
          <w:lang w:val="en-US"/>
        </w:rPr>
        <w:t>1</w:t>
      </w:r>
      <w:r w:rsidRPr="00EE3E75">
        <w:rPr>
          <w:lang w:val="en-US"/>
        </w:rPr>
        <w:t xml:space="preserve"> = </w:t>
      </w:r>
      <w:r w:rsidRPr="008C0800">
        <w:sym w:font="Symbol" w:char="F0BD"/>
      </w:r>
      <w:r w:rsidRPr="00EE3E75">
        <w:rPr>
          <w:lang w:val="en-US"/>
        </w:rPr>
        <w:t xml:space="preserve"> r</w:t>
      </w:r>
      <w:r w:rsidRPr="00EE3E75">
        <w:rPr>
          <w:vertAlign w:val="subscript"/>
          <w:lang w:val="en-US"/>
        </w:rPr>
        <w:t>3</w:t>
      </w:r>
      <w:r w:rsidRPr="00EE3E75">
        <w:rPr>
          <w:lang w:val="en-US"/>
        </w:rPr>
        <w:t xml:space="preserve"> – r</w:t>
      </w:r>
      <w:r w:rsidRPr="00EE3E75">
        <w:rPr>
          <w:vertAlign w:val="subscript"/>
          <w:lang w:val="en-US"/>
        </w:rPr>
        <w:t>60</w:t>
      </w:r>
      <w:r w:rsidRPr="00EE3E75">
        <w:rPr>
          <w:lang w:val="en-US"/>
        </w:rPr>
        <w:t xml:space="preserve"> </w:t>
      </w:r>
      <w:r w:rsidRPr="008C0800">
        <w:sym w:font="Symbol" w:char="F0BD"/>
      </w:r>
      <w:r w:rsidRPr="00EE3E75">
        <w:rPr>
          <w:lang w:val="en-US"/>
        </w:rPr>
        <w:t xml:space="preserve"> recorded on the headlamp is not more than 1.0 mrad (</w:t>
      </w:r>
      <w:r w:rsidRPr="008C0800">
        <w:sym w:font="Symbol" w:char="F044"/>
      </w:r>
      <w:r w:rsidRPr="00EE3E75">
        <w:rPr>
          <w:lang w:val="en-US"/>
        </w:rPr>
        <w:t xml:space="preserve"> r</w:t>
      </w:r>
      <w:r w:rsidRPr="00EE3E75">
        <w:rPr>
          <w:vertAlign w:val="subscript"/>
          <w:lang w:val="en-US"/>
        </w:rPr>
        <w:t>1</w:t>
      </w:r>
      <w:r w:rsidRPr="00EE3E75">
        <w:rPr>
          <w:lang w:val="en-US"/>
        </w:rPr>
        <w:t xml:space="preserve"> </w:t>
      </w:r>
      <w:r w:rsidRPr="008C0800">
        <w:sym w:font="Symbol" w:char="F0A3"/>
      </w:r>
      <w:r w:rsidRPr="00EE3E75">
        <w:rPr>
          <w:lang w:val="en-US"/>
        </w:rPr>
        <w:t xml:space="preserve"> 1.0 mrad)</w:t>
      </w:r>
      <w:r w:rsidRPr="00EE3E75">
        <w:rPr>
          <w:b/>
          <w:lang w:val="en-US" w:eastAsia="ja-JP"/>
        </w:rPr>
        <w:t xml:space="preserve"> </w:t>
      </w:r>
      <w:r w:rsidRPr="00EE3E75">
        <w:rPr>
          <w:lang w:val="en-US" w:eastAsia="ja-JP"/>
        </w:rPr>
        <w:t>upward and not more than 2.0 mrad (</w:t>
      </w:r>
      <w:r w:rsidRPr="008C0800">
        <w:sym w:font="Symbol" w:char="F044"/>
      </w:r>
      <w:r w:rsidRPr="00EE3E75">
        <w:rPr>
          <w:lang w:val="en-US"/>
        </w:rPr>
        <w:t xml:space="preserve"> r</w:t>
      </w:r>
      <w:r w:rsidRPr="00EE3E75">
        <w:rPr>
          <w:vertAlign w:val="subscript"/>
          <w:lang w:val="en-US"/>
        </w:rPr>
        <w:t>1</w:t>
      </w:r>
      <w:r w:rsidRPr="00EE3E75">
        <w:rPr>
          <w:lang w:val="en-US"/>
        </w:rPr>
        <w:t xml:space="preserve"> </w:t>
      </w:r>
      <w:r w:rsidRPr="008C0800">
        <w:sym w:font="Symbol" w:char="F0A3"/>
      </w:r>
      <w:r w:rsidRPr="00EE3E75">
        <w:rPr>
          <w:lang w:val="en-US"/>
        </w:rPr>
        <w:t xml:space="preserve"> </w:t>
      </w:r>
      <w:r w:rsidRPr="00EE3E75">
        <w:rPr>
          <w:lang w:val="en-US" w:eastAsia="ja-JP"/>
        </w:rPr>
        <w:t>2</w:t>
      </w:r>
      <w:r w:rsidRPr="00EE3E75">
        <w:rPr>
          <w:lang w:val="en-US"/>
        </w:rPr>
        <w:t>.0 mrad) downwards.</w:t>
      </w:r>
    </w:p>
    <w:p w14:paraId="14B41EEE" w14:textId="77777777" w:rsidR="003F5512" w:rsidRPr="00EE3E75" w:rsidRDefault="003F5512" w:rsidP="003F5512">
      <w:pPr>
        <w:pStyle w:val="SingleTxtG"/>
        <w:spacing w:after="240"/>
        <w:ind w:left="2268" w:hanging="1134"/>
        <w:rPr>
          <w:lang w:val="en-US" w:eastAsia="ja-JP"/>
        </w:rPr>
      </w:pPr>
      <w:r w:rsidRPr="00EE3E75">
        <w:rPr>
          <w:lang w:val="en-US"/>
        </w:rPr>
        <w:t>2.2.2.</w:t>
      </w:r>
      <w:r w:rsidRPr="00EE3E75">
        <w:rPr>
          <w:lang w:val="en-US"/>
        </w:rPr>
        <w:tab/>
        <w:t>However, if this value</w:t>
      </w:r>
      <w:r w:rsidRPr="00EE3E75">
        <w:rPr>
          <w:lang w:val="en-US" w:eastAsia="ja-JP"/>
        </w:rPr>
        <w:t xml:space="preserve"> </w:t>
      </w:r>
      <w:r w:rsidRPr="00EE3E75">
        <w:rPr>
          <w:lang w:val="en-US"/>
        </w:rPr>
        <w:t>is</w:t>
      </w:r>
      <w:r w:rsidRPr="00EE3E75">
        <w:rPr>
          <w:lang w:val="en-US" w:eastAsia="ja-JP"/>
        </w:rPr>
        <w:t>:</w:t>
      </w:r>
    </w:p>
    <w:tbl>
      <w:tblPr>
        <w:tblW w:w="6236" w:type="dxa"/>
        <w:tblInd w:w="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4252"/>
      </w:tblGrid>
      <w:tr w:rsidR="003F5512" w:rsidRPr="00F44C17" w14:paraId="342EB731" w14:textId="77777777" w:rsidTr="00C926A0">
        <w:tc>
          <w:tcPr>
            <w:tcW w:w="1984" w:type="dxa"/>
            <w:tcBorders>
              <w:top w:val="nil"/>
              <w:left w:val="nil"/>
              <w:bottom w:val="single" w:sz="12" w:space="0" w:color="auto"/>
              <w:right w:val="nil"/>
            </w:tcBorders>
          </w:tcPr>
          <w:p w14:paraId="5D134CED" w14:textId="77777777" w:rsidR="003F5512" w:rsidRPr="003D6AE4" w:rsidRDefault="003F5512" w:rsidP="00C926A0">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567"/>
              <w:rPr>
                <w:i/>
                <w:sz w:val="16"/>
                <w:szCs w:val="16"/>
                <w:lang w:eastAsia="ja-JP"/>
              </w:rPr>
            </w:pPr>
            <w:r w:rsidRPr="003D6AE4">
              <w:rPr>
                <w:i/>
                <w:sz w:val="16"/>
                <w:szCs w:val="16"/>
                <w:lang w:eastAsia="ja-JP"/>
              </w:rPr>
              <w:t>Movement</w:t>
            </w:r>
          </w:p>
        </w:tc>
        <w:tc>
          <w:tcPr>
            <w:tcW w:w="4252" w:type="dxa"/>
            <w:tcBorders>
              <w:top w:val="nil"/>
              <w:left w:val="nil"/>
              <w:bottom w:val="single" w:sz="12" w:space="0" w:color="auto"/>
              <w:right w:val="nil"/>
            </w:tcBorders>
          </w:tcPr>
          <w:p w14:paraId="487B1057" w14:textId="77777777" w:rsidR="003F5512" w:rsidRPr="00F44C17" w:rsidRDefault="003F5512" w:rsidP="000840F9">
            <w:pPr>
              <w:widowControl w:val="0"/>
              <w:tabs>
                <w:tab w:val="left" w:pos="1851"/>
                <w:tab w:val="left" w:pos="2268"/>
                <w:tab w:val="left" w:pos="2475"/>
                <w:tab w:val="left" w:pos="3627"/>
                <w:tab w:val="left" w:pos="4779"/>
                <w:tab w:val="left" w:pos="5931"/>
                <w:tab w:val="left" w:pos="7083"/>
                <w:tab w:val="left" w:pos="8235"/>
              </w:tabs>
              <w:spacing w:before="80" w:after="80" w:line="200" w:lineRule="exact"/>
              <w:ind w:right="1134"/>
              <w:jc w:val="both"/>
              <w:rPr>
                <w:lang w:eastAsia="ja-JP"/>
              </w:rPr>
            </w:pPr>
          </w:p>
        </w:tc>
      </w:tr>
      <w:tr w:rsidR="003F5512" w:rsidRPr="00F44C17" w14:paraId="27549D2A" w14:textId="77777777" w:rsidTr="00C926A0">
        <w:tc>
          <w:tcPr>
            <w:tcW w:w="1984" w:type="dxa"/>
            <w:tcBorders>
              <w:top w:val="single" w:sz="12" w:space="0" w:color="auto"/>
              <w:left w:val="nil"/>
              <w:bottom w:val="nil"/>
              <w:right w:val="nil"/>
            </w:tcBorders>
            <w:vAlign w:val="center"/>
          </w:tcPr>
          <w:p w14:paraId="7F36A79E" w14:textId="77777777" w:rsidR="003F5512" w:rsidRPr="00F44C17" w:rsidRDefault="003F5512" w:rsidP="00C926A0">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567"/>
              <w:rPr>
                <w:lang w:eastAsia="ja-JP"/>
              </w:rPr>
            </w:pPr>
            <w:r w:rsidRPr="00F44C17">
              <w:rPr>
                <w:lang w:eastAsia="ja-JP"/>
              </w:rPr>
              <w:t>Upward</w:t>
            </w:r>
          </w:p>
        </w:tc>
        <w:tc>
          <w:tcPr>
            <w:tcW w:w="4252" w:type="dxa"/>
            <w:tcBorders>
              <w:top w:val="single" w:sz="12" w:space="0" w:color="auto"/>
              <w:left w:val="nil"/>
              <w:bottom w:val="nil"/>
              <w:right w:val="nil"/>
            </w:tcBorders>
          </w:tcPr>
          <w:p w14:paraId="6EC949EA" w14:textId="77777777" w:rsidR="003F5512" w:rsidRPr="00F44C17" w:rsidRDefault="003F5512" w:rsidP="000840F9">
            <w:pPr>
              <w:widowControl w:val="0"/>
              <w:tabs>
                <w:tab w:val="left" w:pos="1851"/>
                <w:tab w:val="left" w:pos="2268"/>
                <w:tab w:val="left" w:pos="2475"/>
                <w:tab w:val="left" w:pos="5931"/>
                <w:tab w:val="left" w:pos="7083"/>
                <w:tab w:val="left" w:pos="8235"/>
              </w:tabs>
              <w:spacing w:before="40" w:after="40" w:line="220" w:lineRule="exact"/>
              <w:rPr>
                <w:lang w:val="en-US" w:eastAsia="ja-JP"/>
              </w:rPr>
            </w:pPr>
            <w:r w:rsidRPr="00F44C17">
              <w:rPr>
                <w:lang w:val="en-US"/>
              </w:rPr>
              <w:t>more than 1.0 mrad but not more than 1.5 mrad</w:t>
            </w:r>
          </w:p>
          <w:p w14:paraId="3B25770A" w14:textId="77777777" w:rsidR="003F5512" w:rsidRPr="00F44C17" w:rsidRDefault="003F5512" w:rsidP="000840F9">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(1.0 mrad &lt; Δr</w:t>
            </w:r>
            <w:r w:rsidRPr="00F44C17">
              <w:rPr>
                <w:vertAlign w:val="subscript"/>
              </w:rPr>
              <w:t>I</w:t>
            </w:r>
            <w:r w:rsidRPr="00F44C17">
              <w:t xml:space="preserve"> </w:t>
            </w:r>
            <w:r w:rsidRPr="00F44C17">
              <w:rPr>
                <w:u w:val="single"/>
              </w:rPr>
              <w:t>&lt;</w:t>
            </w:r>
            <w:r w:rsidRPr="00F44C17">
              <w:t xml:space="preserve"> 1.5 mrad)</w:t>
            </w:r>
          </w:p>
        </w:tc>
      </w:tr>
      <w:tr w:rsidR="003F5512" w:rsidRPr="00F44C17" w14:paraId="68A2AB28" w14:textId="77777777" w:rsidTr="00C926A0">
        <w:tc>
          <w:tcPr>
            <w:tcW w:w="1984" w:type="dxa"/>
            <w:tcBorders>
              <w:top w:val="nil"/>
              <w:left w:val="nil"/>
              <w:bottom w:val="single" w:sz="12" w:space="0" w:color="auto"/>
              <w:right w:val="nil"/>
            </w:tcBorders>
            <w:vAlign w:val="center"/>
          </w:tcPr>
          <w:p w14:paraId="741E28A0" w14:textId="77777777" w:rsidR="003F5512" w:rsidRPr="00F44C17" w:rsidRDefault="003F5512" w:rsidP="00C926A0">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567"/>
              <w:rPr>
                <w:lang w:eastAsia="ja-JP"/>
              </w:rPr>
            </w:pPr>
            <w:r w:rsidRPr="00F44C17">
              <w:rPr>
                <w:lang w:eastAsia="ja-JP"/>
              </w:rPr>
              <w:t>Downward</w:t>
            </w:r>
          </w:p>
        </w:tc>
        <w:tc>
          <w:tcPr>
            <w:tcW w:w="4252" w:type="dxa"/>
            <w:tcBorders>
              <w:top w:val="nil"/>
              <w:left w:val="nil"/>
              <w:bottom w:val="single" w:sz="12" w:space="0" w:color="auto"/>
              <w:right w:val="nil"/>
            </w:tcBorders>
          </w:tcPr>
          <w:p w14:paraId="44097032" w14:textId="77777777" w:rsidR="003F5512" w:rsidRPr="00F44C17" w:rsidRDefault="003F5512" w:rsidP="000840F9">
            <w:pPr>
              <w:widowControl w:val="0"/>
              <w:tabs>
                <w:tab w:val="left" w:pos="1851"/>
                <w:tab w:val="left" w:pos="2268"/>
                <w:tab w:val="left" w:pos="2475"/>
                <w:tab w:val="left" w:pos="3627"/>
                <w:tab w:val="left" w:pos="4144"/>
                <w:tab w:val="left" w:pos="4779"/>
                <w:tab w:val="left" w:pos="5931"/>
                <w:tab w:val="left" w:pos="7083"/>
                <w:tab w:val="left" w:pos="8235"/>
              </w:tabs>
              <w:spacing w:before="40" w:after="40" w:line="220" w:lineRule="exact"/>
              <w:ind w:right="188"/>
              <w:rPr>
                <w:lang w:val="en-US" w:eastAsia="ja-JP"/>
              </w:rPr>
            </w:pPr>
            <w:r w:rsidRPr="00F44C17">
              <w:rPr>
                <w:lang w:val="en-US"/>
              </w:rPr>
              <w:t>more than</w:t>
            </w:r>
            <w:r w:rsidRPr="00F44C17">
              <w:rPr>
                <w:lang w:val="en-US" w:eastAsia="ja-JP"/>
              </w:rPr>
              <w:t xml:space="preserve"> 2</w:t>
            </w:r>
            <w:r w:rsidRPr="00F44C17">
              <w:rPr>
                <w:lang w:val="en-US"/>
              </w:rPr>
              <w:t xml:space="preserve">.0 mrad but not more than </w:t>
            </w:r>
            <w:r w:rsidRPr="00F44C17">
              <w:rPr>
                <w:lang w:val="en-US" w:eastAsia="ja-JP"/>
              </w:rPr>
              <w:t>3</w:t>
            </w:r>
            <w:r w:rsidRPr="00F44C17">
              <w:rPr>
                <w:lang w:val="en-US"/>
              </w:rPr>
              <w:t>.</w:t>
            </w:r>
            <w:r w:rsidRPr="00F44C17">
              <w:rPr>
                <w:lang w:val="en-US" w:eastAsia="ja-JP"/>
              </w:rPr>
              <w:t>0</w:t>
            </w:r>
            <w:r w:rsidRPr="00F44C17">
              <w:rPr>
                <w:lang w:val="en-US"/>
              </w:rPr>
              <w:t xml:space="preserve"> mrad</w:t>
            </w:r>
          </w:p>
          <w:p w14:paraId="3922018F" w14:textId="77777777" w:rsidR="003F5512" w:rsidRPr="00F44C17" w:rsidRDefault="003F5512" w:rsidP="000840F9">
            <w:pPr>
              <w:widowControl w:val="0"/>
              <w:tabs>
                <w:tab w:val="left" w:pos="1851"/>
                <w:tab w:val="left" w:pos="2268"/>
                <w:tab w:val="left" w:pos="2475"/>
                <w:tab w:val="left" w:pos="3627"/>
                <w:tab w:val="left" w:pos="4779"/>
                <w:tab w:val="left" w:pos="5931"/>
                <w:tab w:val="left" w:pos="7083"/>
                <w:tab w:val="left" w:pos="8235"/>
              </w:tabs>
              <w:spacing w:before="40" w:after="40" w:line="220" w:lineRule="exact"/>
              <w:ind w:right="1134"/>
              <w:rPr>
                <w:lang w:eastAsia="ja-JP"/>
              </w:rPr>
            </w:pPr>
            <w:r w:rsidRPr="00F44C17">
              <w:t>(</w:t>
            </w:r>
            <w:r w:rsidRPr="00F44C17">
              <w:rPr>
                <w:lang w:eastAsia="ja-JP"/>
              </w:rPr>
              <w:t>2</w:t>
            </w:r>
            <w:r w:rsidRPr="00F44C17">
              <w:t>.0 mrad &lt; Δr</w:t>
            </w:r>
            <w:r w:rsidRPr="00F44C17">
              <w:rPr>
                <w:vertAlign w:val="subscript"/>
              </w:rPr>
              <w:t>I</w:t>
            </w:r>
            <w:r w:rsidRPr="00F44C17">
              <w:t xml:space="preserve"> </w:t>
            </w:r>
            <w:r w:rsidRPr="00F44C17">
              <w:rPr>
                <w:u w:val="single"/>
              </w:rPr>
              <w:t>&lt;</w:t>
            </w:r>
            <w:r w:rsidRPr="00F44C17">
              <w:t xml:space="preserve"> </w:t>
            </w:r>
            <w:r w:rsidRPr="00F44C17">
              <w:rPr>
                <w:lang w:eastAsia="ja-JP"/>
              </w:rPr>
              <w:t>3</w:t>
            </w:r>
            <w:r w:rsidRPr="00F44C17">
              <w:t>.</w:t>
            </w:r>
            <w:r w:rsidRPr="00F44C17">
              <w:rPr>
                <w:lang w:eastAsia="ja-JP"/>
              </w:rPr>
              <w:t>0</w:t>
            </w:r>
            <w:r w:rsidRPr="00F44C17">
              <w:t xml:space="preserve"> mrad)</w:t>
            </w:r>
          </w:p>
        </w:tc>
      </w:tr>
    </w:tbl>
    <w:p w14:paraId="438D0010" w14:textId="3AE16B6A" w:rsidR="003F5512" w:rsidRPr="00EE3E75" w:rsidRDefault="0088541D" w:rsidP="003F5512">
      <w:pPr>
        <w:widowControl w:val="0"/>
        <w:autoSpaceDE w:val="0"/>
        <w:autoSpaceDN w:val="0"/>
        <w:adjustRightInd w:val="0"/>
        <w:spacing w:before="120" w:after="120"/>
        <w:ind w:left="2268" w:right="1134"/>
        <w:jc w:val="both"/>
        <w:rPr>
          <w:lang w:val="en-US" w:eastAsia="ja-JP"/>
        </w:rPr>
      </w:pPr>
      <w:r>
        <w:rPr>
          <w:lang w:val="en-US" w:eastAsia="ja-JP"/>
        </w:rPr>
        <w:t>A</w:t>
      </w:r>
      <w:r w:rsidR="003F5512" w:rsidRPr="00EE3E75">
        <w:rPr>
          <w:lang w:val="en-US" w:eastAsia="ja-JP"/>
        </w:rPr>
        <w:t xml:space="preserve"> further sample of a headlamp mounted on a test fixture representative of the correct installation on the vehicle shall be tested as described in paragraph</w:t>
      </w:r>
      <w:r>
        <w:rPr>
          <w:lang w:val="en-US" w:eastAsia="ja-JP"/>
        </w:rPr>
        <w:t> </w:t>
      </w:r>
      <w:r w:rsidR="003F5512" w:rsidRPr="00EE3E75">
        <w:rPr>
          <w:lang w:val="en-US" w:eastAsia="ja-JP"/>
        </w:rPr>
        <w:t xml:space="preserve">2.1. after being subjected three consecutive times to the cycle as described below, in order to stabilize the position of mechanical parts of the headlamp: </w:t>
      </w:r>
    </w:p>
    <w:p w14:paraId="13483A2F" w14:textId="77777777" w:rsidR="003F5512" w:rsidRPr="00EE3E75" w:rsidRDefault="003F5512" w:rsidP="003F5512">
      <w:pPr>
        <w:widowControl w:val="0"/>
        <w:autoSpaceDE w:val="0"/>
        <w:autoSpaceDN w:val="0"/>
        <w:adjustRightInd w:val="0"/>
        <w:spacing w:after="120"/>
        <w:ind w:left="2835" w:right="1134" w:hanging="567"/>
        <w:jc w:val="both"/>
        <w:rPr>
          <w:lang w:val="en-US" w:eastAsia="ja-JP"/>
        </w:rPr>
      </w:pPr>
      <w:r w:rsidRPr="00EE3E75">
        <w:rPr>
          <w:lang w:val="en-US" w:eastAsia="ja-JP"/>
        </w:rPr>
        <w:t>(a)</w:t>
      </w:r>
      <w:r w:rsidRPr="00EE3E75">
        <w:rPr>
          <w:lang w:val="en-US" w:eastAsia="ja-JP"/>
        </w:rPr>
        <w:tab/>
        <w:t>Operation of the passing beam for one hour (the voltage shall be adjusted as specified in paragraph 1.1.1.2.);</w:t>
      </w:r>
    </w:p>
    <w:p w14:paraId="54ECE4C8" w14:textId="77777777" w:rsidR="003F5512" w:rsidRPr="00EE3E75" w:rsidRDefault="003F5512" w:rsidP="003F5512">
      <w:pPr>
        <w:widowControl w:val="0"/>
        <w:autoSpaceDE w:val="0"/>
        <w:autoSpaceDN w:val="0"/>
        <w:adjustRightInd w:val="0"/>
        <w:spacing w:after="120"/>
        <w:ind w:left="2268" w:right="1134"/>
        <w:jc w:val="both"/>
        <w:rPr>
          <w:lang w:val="en-US" w:eastAsia="ja-JP"/>
        </w:rPr>
      </w:pPr>
      <w:r w:rsidRPr="00EE3E75">
        <w:rPr>
          <w:lang w:val="en-US" w:eastAsia="ja-JP"/>
        </w:rPr>
        <w:t>(b)</w:t>
      </w:r>
      <w:r w:rsidRPr="00EE3E75">
        <w:rPr>
          <w:lang w:val="en-US" w:eastAsia="ja-JP"/>
        </w:rPr>
        <w:tab/>
        <w:t>One hour period with the lamp switched off.</w:t>
      </w:r>
    </w:p>
    <w:p w14:paraId="1F119FFB" w14:textId="77777777" w:rsidR="003F5512" w:rsidRPr="00EE3E75" w:rsidRDefault="003F5512" w:rsidP="003F5512">
      <w:pPr>
        <w:widowControl w:val="0"/>
        <w:autoSpaceDE w:val="0"/>
        <w:autoSpaceDN w:val="0"/>
        <w:adjustRightInd w:val="0"/>
        <w:spacing w:after="120"/>
        <w:ind w:left="2268" w:right="1134"/>
        <w:jc w:val="both"/>
        <w:rPr>
          <w:rFonts w:eastAsia="MS Mincho"/>
          <w:sz w:val="24"/>
          <w:szCs w:val="24"/>
          <w:lang w:val="en-US"/>
        </w:rPr>
      </w:pPr>
      <w:r w:rsidRPr="00EE3E75">
        <w:rPr>
          <w:rFonts w:eastAsia="MS Mincho"/>
          <w:bCs/>
          <w:lang w:val="en-US"/>
        </w:rPr>
        <w:t xml:space="preserve">After these three cycles, the headlamp type shall be considered as acceptable if the absolute values </w:t>
      </w:r>
      <w:r w:rsidRPr="00EE3E75">
        <w:rPr>
          <w:rFonts w:eastAsia="MS Mincho"/>
          <w:bCs/>
        </w:rPr>
        <w:t>Δ</w:t>
      </w:r>
      <w:r w:rsidRPr="00EE3E75">
        <w:rPr>
          <w:rFonts w:eastAsia="MS Mincho"/>
          <w:bCs/>
          <w:lang w:val="en-US"/>
        </w:rPr>
        <w:t>r measured according to paragraph 2.1. above on this further sample meet the requirements in paragraph 2.2.1. above</w:t>
      </w:r>
      <w:r w:rsidRPr="00EE3E75">
        <w:rPr>
          <w:rFonts w:eastAsia="MS Mincho"/>
          <w:lang w:val="en-US"/>
        </w:rPr>
        <w:t>."</w:t>
      </w:r>
    </w:p>
    <w:p w14:paraId="02331310" w14:textId="74E29A25" w:rsidR="003F5512" w:rsidRDefault="003F5512" w:rsidP="003F5512">
      <w:pPr>
        <w:tabs>
          <w:tab w:val="left" w:pos="8505"/>
        </w:tabs>
        <w:spacing w:after="120"/>
        <w:ind w:left="2268" w:right="1134" w:hanging="1134"/>
        <w:rPr>
          <w:i/>
          <w:lang w:val="en-US"/>
        </w:rPr>
      </w:pPr>
      <w:r w:rsidRPr="007964EF">
        <w:rPr>
          <w:i/>
          <w:lang w:val="en-US"/>
        </w:rPr>
        <w:t xml:space="preserve">Annex </w:t>
      </w:r>
      <w:r w:rsidRPr="00AB05E0">
        <w:rPr>
          <w:i/>
          <w:lang w:val="en-US"/>
        </w:rPr>
        <w:t>5</w:t>
      </w:r>
      <w:r w:rsidRPr="007964EF">
        <w:rPr>
          <w:i/>
          <w:lang w:val="en-US"/>
        </w:rPr>
        <w:t xml:space="preserve"> </w:t>
      </w:r>
    </w:p>
    <w:p w14:paraId="7C6F0D19" w14:textId="77777777" w:rsidR="003F5512" w:rsidRPr="00E07F0E" w:rsidRDefault="003F5512" w:rsidP="003F5512">
      <w:pPr>
        <w:tabs>
          <w:tab w:val="left" w:pos="8505"/>
        </w:tabs>
        <w:spacing w:after="120"/>
        <w:ind w:left="2268" w:right="1134" w:hanging="1134"/>
        <w:rPr>
          <w:lang w:val="en-US"/>
        </w:rPr>
      </w:pPr>
      <w:r w:rsidRPr="00AB05E0">
        <w:rPr>
          <w:i/>
          <w:lang w:val="en-US"/>
        </w:rPr>
        <w:t>Paragraph 1.2</w:t>
      </w:r>
      <w:r w:rsidRPr="007964EF">
        <w:rPr>
          <w:i/>
          <w:lang w:val="en-US"/>
        </w:rPr>
        <w:t>.1.1.</w:t>
      </w:r>
      <w:r w:rsidRPr="0088541D">
        <w:rPr>
          <w:lang w:val="en-US"/>
        </w:rPr>
        <w:t>,</w:t>
      </w:r>
      <w:r w:rsidRPr="007964EF">
        <w:rPr>
          <w:i/>
          <w:lang w:val="en-US"/>
        </w:rPr>
        <w:t xml:space="preserve"> </w:t>
      </w:r>
      <w:r w:rsidRPr="007964EF">
        <w:rPr>
          <w:lang w:val="en-US"/>
        </w:rPr>
        <w:t>amend to read:</w:t>
      </w:r>
      <w:r>
        <w:rPr>
          <w:color w:val="FF0000"/>
          <w:lang w:val="en-US"/>
        </w:rPr>
        <w:t xml:space="preserve"> </w:t>
      </w:r>
    </w:p>
    <w:p w14:paraId="4B567271" w14:textId="77777777" w:rsidR="003F5512" w:rsidRPr="007964EF" w:rsidRDefault="003F5512" w:rsidP="003F5512">
      <w:pPr>
        <w:pStyle w:val="rxxxannex1"/>
        <w:tabs>
          <w:tab w:val="left" w:pos="8505"/>
        </w:tabs>
        <w:spacing w:line="240" w:lineRule="atLeast"/>
        <w:ind w:left="2268" w:right="1134" w:hanging="1134"/>
        <w:jc w:val="both"/>
        <w:rPr>
          <w:i/>
          <w:sz w:val="20"/>
        </w:rPr>
      </w:pPr>
      <w:r>
        <w:rPr>
          <w:sz w:val="20"/>
          <w:lang w:val="en-US"/>
        </w:rPr>
        <w:t>"</w:t>
      </w:r>
      <w:r w:rsidRPr="007964EF">
        <w:rPr>
          <w:sz w:val="20"/>
          <w:lang w:val="en-US"/>
        </w:rPr>
        <w:t>1.2.1.1.</w:t>
      </w:r>
      <w:r w:rsidRPr="007964EF">
        <w:rPr>
          <w:sz w:val="20"/>
          <w:lang w:val="en-US"/>
        </w:rPr>
        <w:tab/>
      </w:r>
      <w:r w:rsidRPr="007964EF">
        <w:rPr>
          <w:sz w:val="20"/>
        </w:rPr>
        <w:t xml:space="preserve">For the following values </w:t>
      </w:r>
      <w:r w:rsidRPr="007964EF">
        <w:rPr>
          <w:rFonts w:hint="eastAsia"/>
          <w:sz w:val="20"/>
        </w:rPr>
        <w:t>of the passing beam</w:t>
      </w:r>
      <w:r w:rsidRPr="007964EF">
        <w:rPr>
          <w:sz w:val="20"/>
        </w:rPr>
        <w:t xml:space="preserve"> and its modes, the maximum unfavourable deviation may be respectively:</w:t>
      </w:r>
      <w:r w:rsidRPr="007964EF">
        <w:rPr>
          <w:i/>
          <w:sz w:val="20"/>
        </w:rPr>
        <w:t xml:space="preserve"> </w:t>
      </w:r>
    </w:p>
    <w:p w14:paraId="4E713B48" w14:textId="34407913" w:rsidR="003F5512" w:rsidRPr="007964EF" w:rsidRDefault="003F5512" w:rsidP="003F5512">
      <w:pPr>
        <w:pStyle w:val="rxxxannex1"/>
        <w:numPr>
          <w:ilvl w:val="0"/>
          <w:numId w:val="7"/>
        </w:numPr>
        <w:tabs>
          <w:tab w:val="left" w:pos="8505"/>
        </w:tabs>
        <w:spacing w:line="240" w:lineRule="atLeast"/>
        <w:ind w:left="2835" w:right="1134" w:hanging="576"/>
        <w:jc w:val="both"/>
        <w:rPr>
          <w:sz w:val="20"/>
        </w:rPr>
      </w:pPr>
      <w:r>
        <w:rPr>
          <w:sz w:val="20"/>
        </w:rPr>
        <w:lastRenderedPageBreak/>
        <w:t>M</w:t>
      </w:r>
      <w:r w:rsidRPr="007964EF">
        <w:rPr>
          <w:sz w:val="20"/>
        </w:rPr>
        <w:t xml:space="preserve">aximum values at point B50L </w:t>
      </w:r>
      <w:r w:rsidRPr="007964EF">
        <w:rPr>
          <w:rFonts w:hint="eastAsia"/>
          <w:sz w:val="20"/>
          <w:lang w:eastAsia="zh-CN"/>
        </w:rPr>
        <w:t>170 cd</w:t>
      </w:r>
      <w:r w:rsidRPr="007964EF">
        <w:rPr>
          <w:sz w:val="20"/>
        </w:rPr>
        <w:t xml:space="preserve"> equivalent 20 per cent and </w:t>
      </w:r>
      <w:r w:rsidRPr="007964EF">
        <w:rPr>
          <w:rFonts w:hint="eastAsia"/>
          <w:sz w:val="20"/>
          <w:lang w:eastAsia="zh-CN"/>
        </w:rPr>
        <w:t>255</w:t>
      </w:r>
      <w:r w:rsidR="0088541D">
        <w:rPr>
          <w:sz w:val="20"/>
          <w:lang w:eastAsia="zh-CN"/>
        </w:rPr>
        <w:t> </w:t>
      </w:r>
      <w:r w:rsidRPr="007964EF">
        <w:rPr>
          <w:rFonts w:hint="eastAsia"/>
          <w:sz w:val="20"/>
          <w:lang w:eastAsia="zh-CN"/>
        </w:rPr>
        <w:t xml:space="preserve">cd </w:t>
      </w:r>
      <w:r w:rsidRPr="007964EF">
        <w:rPr>
          <w:sz w:val="20"/>
        </w:rPr>
        <w:t xml:space="preserve">equivalent 30 per cent; </w:t>
      </w:r>
    </w:p>
    <w:p w14:paraId="68FC1803" w14:textId="28719CA7" w:rsidR="003F5512" w:rsidRPr="007964EF" w:rsidRDefault="003F5512" w:rsidP="003F5512">
      <w:pPr>
        <w:pStyle w:val="rxxxannex1"/>
        <w:numPr>
          <w:ilvl w:val="0"/>
          <w:numId w:val="7"/>
        </w:numPr>
        <w:tabs>
          <w:tab w:val="left" w:pos="8505"/>
        </w:tabs>
        <w:spacing w:line="240" w:lineRule="atLeast"/>
        <w:ind w:left="2835" w:right="1134" w:hanging="576"/>
        <w:jc w:val="both"/>
        <w:rPr>
          <w:sz w:val="20"/>
        </w:rPr>
      </w:pPr>
      <w:r>
        <w:rPr>
          <w:sz w:val="20"/>
        </w:rPr>
        <w:t>M</w:t>
      </w:r>
      <w:r w:rsidRPr="007964EF">
        <w:rPr>
          <w:sz w:val="20"/>
        </w:rPr>
        <w:t xml:space="preserve">aximum values at zone III and segment BLL: </w:t>
      </w:r>
      <w:r w:rsidRPr="007964EF">
        <w:rPr>
          <w:rFonts w:hint="eastAsia"/>
          <w:sz w:val="20"/>
          <w:lang w:eastAsia="zh-CN"/>
        </w:rPr>
        <w:t>255 cd</w:t>
      </w:r>
      <w:r w:rsidRPr="007964EF">
        <w:rPr>
          <w:sz w:val="20"/>
        </w:rPr>
        <w:t xml:space="preserve"> equivalent 20</w:t>
      </w:r>
      <w:r w:rsidR="0088541D">
        <w:rPr>
          <w:sz w:val="20"/>
        </w:rPr>
        <w:t> </w:t>
      </w:r>
      <w:r w:rsidRPr="007964EF">
        <w:rPr>
          <w:sz w:val="20"/>
        </w:rPr>
        <w:t xml:space="preserve">per cent and </w:t>
      </w:r>
      <w:r w:rsidRPr="007964EF">
        <w:rPr>
          <w:rFonts w:hint="eastAsia"/>
          <w:sz w:val="20"/>
          <w:lang w:eastAsia="zh-CN"/>
        </w:rPr>
        <w:t>380 cd</w:t>
      </w:r>
      <w:r w:rsidRPr="007964EF">
        <w:rPr>
          <w:sz w:val="20"/>
        </w:rPr>
        <w:t xml:space="preserve"> equivalent 30 per cent;</w:t>
      </w:r>
    </w:p>
    <w:p w14:paraId="2A3229A5" w14:textId="299388D6" w:rsidR="003F5512" w:rsidRPr="007964EF" w:rsidRDefault="003F5512" w:rsidP="003F5512">
      <w:pPr>
        <w:pStyle w:val="rxxxannex1"/>
        <w:numPr>
          <w:ilvl w:val="0"/>
          <w:numId w:val="7"/>
        </w:numPr>
        <w:tabs>
          <w:tab w:val="left" w:pos="8505"/>
        </w:tabs>
        <w:spacing w:line="240" w:lineRule="atLeast"/>
        <w:ind w:left="2835" w:right="1134" w:hanging="576"/>
        <w:jc w:val="both"/>
        <w:rPr>
          <w:sz w:val="20"/>
        </w:rPr>
      </w:pPr>
      <w:r>
        <w:rPr>
          <w:sz w:val="20"/>
        </w:rPr>
        <w:t>M</w:t>
      </w:r>
      <w:r w:rsidRPr="007964EF">
        <w:rPr>
          <w:sz w:val="20"/>
        </w:rPr>
        <w:t xml:space="preserve">aximum values at segments E, F1, F2 and F3: </w:t>
      </w:r>
      <w:r w:rsidRPr="007964EF">
        <w:rPr>
          <w:rFonts w:hint="eastAsia"/>
          <w:sz w:val="20"/>
          <w:lang w:eastAsia="zh-CN"/>
        </w:rPr>
        <w:t>170 cd</w:t>
      </w:r>
      <w:r w:rsidRPr="007964EF">
        <w:rPr>
          <w:sz w:val="20"/>
        </w:rPr>
        <w:t xml:space="preserve"> equivalent 20</w:t>
      </w:r>
      <w:r w:rsidR="0088541D">
        <w:rPr>
          <w:sz w:val="20"/>
        </w:rPr>
        <w:t> </w:t>
      </w:r>
      <w:r w:rsidRPr="007964EF">
        <w:rPr>
          <w:sz w:val="20"/>
        </w:rPr>
        <w:t xml:space="preserve">per cent and </w:t>
      </w:r>
      <w:r w:rsidRPr="007964EF">
        <w:rPr>
          <w:rFonts w:hint="eastAsia"/>
          <w:sz w:val="20"/>
          <w:lang w:eastAsia="zh-CN"/>
        </w:rPr>
        <w:t xml:space="preserve">255 cd </w:t>
      </w:r>
      <w:r w:rsidRPr="007964EF">
        <w:rPr>
          <w:sz w:val="20"/>
        </w:rPr>
        <w:t>equivalent 30 per cent;</w:t>
      </w:r>
    </w:p>
    <w:p w14:paraId="617470C3" w14:textId="1BF54F3D" w:rsidR="003F5512" w:rsidRPr="007964EF" w:rsidRDefault="003F5512" w:rsidP="003F5512">
      <w:pPr>
        <w:pStyle w:val="para"/>
        <w:numPr>
          <w:ilvl w:val="0"/>
          <w:numId w:val="7"/>
        </w:numPr>
        <w:tabs>
          <w:tab w:val="left" w:pos="8505"/>
        </w:tabs>
        <w:ind w:left="2835" w:hanging="576"/>
        <w:rPr>
          <w:b/>
          <w:lang w:val="en-US"/>
        </w:rPr>
      </w:pPr>
      <w:r>
        <w:rPr>
          <w:lang w:val="en-US"/>
        </w:rPr>
        <w:t>M</w:t>
      </w:r>
      <w:r w:rsidRPr="007964EF">
        <w:rPr>
          <w:lang w:val="en-US"/>
        </w:rPr>
        <w:t xml:space="preserve">inimum values at BR, P, </w:t>
      </w:r>
      <w:r w:rsidRPr="007964EF">
        <w:rPr>
          <w:rFonts w:hint="eastAsia"/>
          <w:lang w:val="en-US" w:eastAsia="zh-CN"/>
        </w:rPr>
        <w:t xml:space="preserve">at the groups </w:t>
      </w:r>
      <w:r w:rsidRPr="007964EF">
        <w:rPr>
          <w:lang w:val="en-US"/>
        </w:rPr>
        <w:t>S 50</w:t>
      </w:r>
      <w:r w:rsidRPr="007964EF">
        <w:rPr>
          <w:rFonts w:hint="eastAsia"/>
          <w:lang w:val="en-US" w:eastAsia="zh-CN"/>
        </w:rPr>
        <w:t>+</w:t>
      </w:r>
      <w:r w:rsidRPr="007964EF">
        <w:rPr>
          <w:lang w:val="en-US"/>
        </w:rPr>
        <w:t xml:space="preserve"> S 50LL</w:t>
      </w:r>
      <w:r w:rsidRPr="007964EF">
        <w:rPr>
          <w:rFonts w:hint="eastAsia"/>
          <w:lang w:val="en-US" w:eastAsia="zh-CN"/>
        </w:rPr>
        <w:t>+</w:t>
      </w:r>
      <w:r w:rsidRPr="007964EF">
        <w:rPr>
          <w:lang w:val="en-US"/>
        </w:rPr>
        <w:t xml:space="preserve"> S 50RR, S</w:t>
      </w:r>
      <w:r w:rsidR="0088541D">
        <w:rPr>
          <w:lang w:val="en-US"/>
        </w:rPr>
        <w:t> </w:t>
      </w:r>
      <w:r w:rsidRPr="007964EF">
        <w:rPr>
          <w:lang w:val="en-US"/>
        </w:rPr>
        <w:t>100</w:t>
      </w:r>
      <w:r w:rsidRPr="007964EF">
        <w:rPr>
          <w:rFonts w:hint="eastAsia"/>
          <w:lang w:val="en-US" w:eastAsia="zh-CN"/>
        </w:rPr>
        <w:t>+</w:t>
      </w:r>
      <w:r w:rsidRPr="007964EF">
        <w:rPr>
          <w:lang w:val="en-US"/>
        </w:rPr>
        <w:t xml:space="preserve"> S 100LL</w:t>
      </w:r>
      <w:r w:rsidRPr="007964EF">
        <w:rPr>
          <w:rFonts w:hint="eastAsia"/>
          <w:lang w:val="en-US" w:eastAsia="zh-CN"/>
        </w:rPr>
        <w:t>+</w:t>
      </w:r>
      <w:r w:rsidRPr="007964EF">
        <w:rPr>
          <w:lang w:val="en-US"/>
        </w:rPr>
        <w:t xml:space="preserve"> S 100RR,</w:t>
      </w:r>
      <w:r w:rsidR="009C4E51">
        <w:rPr>
          <w:lang w:val="en-US"/>
        </w:rPr>
        <w:t xml:space="preserve"> and those required by footnote </w:t>
      </w:r>
      <w:r w:rsidRPr="00D36BEE">
        <w:rPr>
          <w:vertAlign w:val="superscript"/>
          <w:lang w:val="en-US"/>
        </w:rPr>
        <w:t>4</w:t>
      </w:r>
      <w:r w:rsidRPr="007964EF">
        <w:rPr>
          <w:lang w:val="en-US"/>
        </w:rPr>
        <w:t xml:space="preserve"> of Table 1 in Annex 3 of this Regulation (B50L, BR, BRR, BLL): half of the required value equivalent 20 per cent and three quarter of the required value equivalent 30 per cent</w:t>
      </w:r>
      <w:r>
        <w:rPr>
          <w:lang w:val="en-US"/>
        </w:rPr>
        <w:t>."</w:t>
      </w:r>
    </w:p>
    <w:p w14:paraId="4B16D02A" w14:textId="77777777" w:rsidR="003F5512" w:rsidRPr="00C56DA7" w:rsidRDefault="003F5512" w:rsidP="003F5512">
      <w:pPr>
        <w:tabs>
          <w:tab w:val="left" w:pos="8505"/>
        </w:tabs>
        <w:spacing w:after="120"/>
        <w:ind w:left="2268" w:right="1134" w:hanging="1134"/>
        <w:rPr>
          <w:lang w:val="en-US"/>
        </w:rPr>
      </w:pPr>
      <w:r>
        <w:rPr>
          <w:i/>
          <w:lang w:val="en-US"/>
        </w:rPr>
        <w:t>P</w:t>
      </w:r>
      <w:r w:rsidRPr="00AB05E0">
        <w:rPr>
          <w:i/>
          <w:lang w:val="en-US"/>
        </w:rPr>
        <w:t>aragraph 2</w:t>
      </w:r>
      <w:r w:rsidRPr="002053D7">
        <w:rPr>
          <w:i/>
          <w:lang w:val="en-US"/>
        </w:rPr>
        <w:t>.4.</w:t>
      </w:r>
      <w:r w:rsidRPr="0088541D">
        <w:rPr>
          <w:lang w:val="en-US"/>
        </w:rPr>
        <w:t>,</w:t>
      </w:r>
      <w:r w:rsidRPr="00C56DA7">
        <w:rPr>
          <w:i/>
          <w:lang w:val="en-US"/>
        </w:rPr>
        <w:t xml:space="preserve"> </w:t>
      </w:r>
      <w:r w:rsidRPr="00C56DA7">
        <w:rPr>
          <w:lang w:val="en-US"/>
        </w:rPr>
        <w:t>amend to read:</w:t>
      </w:r>
    </w:p>
    <w:p w14:paraId="453CC79B" w14:textId="77777777" w:rsidR="003F5512" w:rsidRPr="002053D7" w:rsidRDefault="003F5512" w:rsidP="003F5512">
      <w:pPr>
        <w:spacing w:after="120"/>
        <w:ind w:left="2268" w:right="1134" w:hanging="1134"/>
        <w:jc w:val="both"/>
        <w:rPr>
          <w:lang w:val="en-US"/>
        </w:rPr>
      </w:pPr>
      <w:r>
        <w:rPr>
          <w:lang w:val="en-US"/>
        </w:rPr>
        <w:t>"</w:t>
      </w:r>
      <w:r w:rsidRPr="002053D7">
        <w:rPr>
          <w:lang w:val="en-US"/>
        </w:rPr>
        <w:t>2.4.</w:t>
      </w:r>
      <w:r w:rsidRPr="002053D7">
        <w:rPr>
          <w:lang w:val="en-US"/>
        </w:rPr>
        <w:tab/>
      </w:r>
      <w:r>
        <w:rPr>
          <w:lang w:val="en-US"/>
        </w:rPr>
        <w:tab/>
      </w:r>
      <w:r w:rsidRPr="002053D7">
        <w:rPr>
          <w:lang w:val="en-US"/>
        </w:rPr>
        <w:t>Measured and recorded photometric characteristics</w:t>
      </w:r>
    </w:p>
    <w:p w14:paraId="47C251CF" w14:textId="77777777" w:rsidR="003F5512" w:rsidRPr="005F4295" w:rsidRDefault="003F5512" w:rsidP="003F5512">
      <w:pPr>
        <w:pStyle w:val="rxxxannex1"/>
        <w:tabs>
          <w:tab w:val="left" w:pos="8505"/>
        </w:tabs>
        <w:spacing w:line="240" w:lineRule="atLeast"/>
        <w:ind w:left="2268" w:right="1134" w:firstLine="0"/>
        <w:jc w:val="both"/>
        <w:rPr>
          <w:sz w:val="20"/>
        </w:rPr>
      </w:pPr>
      <w:r w:rsidRPr="005F4295">
        <w:rPr>
          <w:sz w:val="20"/>
        </w:rPr>
        <w:t>The sampled headlamps shall be subjected to photometric measurements at the points provided for in the Regulation, the reading being limited:</w:t>
      </w:r>
    </w:p>
    <w:p w14:paraId="04C95D80" w14:textId="51C578B9" w:rsidR="003F5512" w:rsidRPr="005F4295" w:rsidRDefault="003F5512" w:rsidP="003F5512">
      <w:pPr>
        <w:pStyle w:val="rxxxannex1"/>
        <w:tabs>
          <w:tab w:val="left" w:pos="8505"/>
        </w:tabs>
        <w:spacing w:line="240" w:lineRule="atLeast"/>
        <w:ind w:left="2268" w:right="1134" w:firstLine="0"/>
        <w:jc w:val="both"/>
        <w:rPr>
          <w:sz w:val="20"/>
        </w:rPr>
      </w:pPr>
      <w:r>
        <w:rPr>
          <w:sz w:val="20"/>
        </w:rPr>
        <w:t>T</w:t>
      </w:r>
      <w:r w:rsidRPr="005F4295">
        <w:rPr>
          <w:rFonts w:hint="eastAsia"/>
          <w:sz w:val="20"/>
        </w:rPr>
        <w:t xml:space="preserve">o </w:t>
      </w:r>
      <w:r w:rsidRPr="005F4295">
        <w:rPr>
          <w:sz w:val="20"/>
        </w:rPr>
        <w:t xml:space="preserve">points </w:t>
      </w:r>
      <w:r>
        <w:rPr>
          <w:sz w:val="20"/>
        </w:rPr>
        <w:t>I</w:t>
      </w:r>
      <w:r w:rsidRPr="00DF1697">
        <w:rPr>
          <w:sz w:val="20"/>
          <w:vertAlign w:val="subscript"/>
        </w:rPr>
        <w:t>max</w:t>
      </w:r>
      <w:r w:rsidRPr="005F4295">
        <w:rPr>
          <w:sz w:val="20"/>
        </w:rPr>
        <w:t>, HV </w:t>
      </w:r>
      <w:r w:rsidRPr="004E2CE3">
        <w:rPr>
          <w:sz w:val="20"/>
          <w:vertAlign w:val="superscript"/>
        </w:rPr>
        <w:t>1</w:t>
      </w:r>
      <w:r w:rsidRPr="005F4295">
        <w:rPr>
          <w:sz w:val="20"/>
        </w:rPr>
        <w:t>, "HL" and "HR" </w:t>
      </w:r>
      <w:r w:rsidRPr="004E2CE3">
        <w:rPr>
          <w:sz w:val="20"/>
          <w:vertAlign w:val="superscript"/>
        </w:rPr>
        <w:t>2</w:t>
      </w:r>
      <w:r w:rsidRPr="005F4295">
        <w:rPr>
          <w:sz w:val="20"/>
        </w:rPr>
        <w:t xml:space="preserve"> in the case of a </w:t>
      </w:r>
      <w:r w:rsidRPr="005F4295">
        <w:rPr>
          <w:rFonts w:hint="eastAsia"/>
          <w:sz w:val="20"/>
        </w:rPr>
        <w:t>driving beam</w:t>
      </w:r>
      <w:r w:rsidR="00716B90">
        <w:rPr>
          <w:sz w:val="20"/>
        </w:rPr>
        <w:t>;</w:t>
      </w:r>
    </w:p>
    <w:p w14:paraId="3C14AF2C" w14:textId="77777777" w:rsidR="003F5512" w:rsidRPr="007964EF" w:rsidRDefault="003F5512" w:rsidP="003F5512">
      <w:pPr>
        <w:pStyle w:val="para"/>
        <w:tabs>
          <w:tab w:val="left" w:pos="8505"/>
        </w:tabs>
        <w:ind w:firstLine="0"/>
        <w:rPr>
          <w:lang w:val="en-US"/>
        </w:rPr>
      </w:pPr>
      <w:r>
        <w:rPr>
          <w:lang w:val="en-US"/>
        </w:rPr>
        <w:t>T</w:t>
      </w:r>
      <w:r w:rsidRPr="005F4295">
        <w:rPr>
          <w:lang w:val="en-US"/>
        </w:rPr>
        <w:t xml:space="preserve">o points B50L, </w:t>
      </w:r>
      <w:r w:rsidRPr="00AB05E0">
        <w:rPr>
          <w:lang w:val="en-US"/>
        </w:rPr>
        <w:t>50L,</w:t>
      </w:r>
      <w:r w:rsidRPr="005F4295">
        <w:rPr>
          <w:lang w:val="en-US"/>
        </w:rPr>
        <w:t xml:space="preserve"> 50V, 75R </w:t>
      </w:r>
      <w:r w:rsidRPr="005F4295">
        <w:rPr>
          <w:rFonts w:hint="eastAsia"/>
          <w:lang w:val="en-US"/>
        </w:rPr>
        <w:t>if applicable</w:t>
      </w:r>
      <w:r w:rsidRPr="005F4295">
        <w:rPr>
          <w:lang w:val="en-US"/>
        </w:rPr>
        <w:t>, and 25LL in the case of the passing beam</w:t>
      </w:r>
      <w:r w:rsidRPr="005F4295">
        <w:rPr>
          <w:iCs/>
          <w:lang w:val="en-US"/>
        </w:rPr>
        <w:t>(s)</w:t>
      </w:r>
      <w:r w:rsidRPr="005F4295">
        <w:rPr>
          <w:lang w:val="en-US"/>
        </w:rPr>
        <w:t xml:space="preserve"> </w:t>
      </w:r>
      <w:r w:rsidRPr="002053D7">
        <w:rPr>
          <w:lang w:val="en-US"/>
        </w:rPr>
        <w:t>(</w:t>
      </w:r>
      <w:r w:rsidRPr="007964EF">
        <w:rPr>
          <w:lang w:val="en-US"/>
        </w:rPr>
        <w:t xml:space="preserve">see </w:t>
      </w:r>
      <w:r>
        <w:rPr>
          <w:lang w:val="en-US"/>
        </w:rPr>
        <w:t>F</w:t>
      </w:r>
      <w:r w:rsidRPr="007964EF">
        <w:rPr>
          <w:lang w:val="en-US"/>
        </w:rPr>
        <w:t>igure</w:t>
      </w:r>
      <w:r>
        <w:rPr>
          <w:lang w:val="en-US"/>
        </w:rPr>
        <w:t xml:space="preserve"> 1</w:t>
      </w:r>
      <w:r w:rsidRPr="007964EF">
        <w:rPr>
          <w:lang w:val="en-US"/>
        </w:rPr>
        <w:t xml:space="preserve"> in Annex 3).</w:t>
      </w:r>
      <w:r>
        <w:rPr>
          <w:lang w:val="en-US"/>
        </w:rPr>
        <w:t>"</w:t>
      </w:r>
    </w:p>
    <w:p w14:paraId="00910341" w14:textId="2CED944E" w:rsidR="003F5512" w:rsidRDefault="003F5512" w:rsidP="003F5512">
      <w:pPr>
        <w:spacing w:after="120"/>
        <w:ind w:left="2268" w:right="1134" w:hanging="1134"/>
        <w:rPr>
          <w:i/>
          <w:lang w:val="en-US"/>
        </w:rPr>
      </w:pPr>
      <w:r w:rsidRPr="00C12B42">
        <w:rPr>
          <w:i/>
          <w:lang w:val="en-US"/>
        </w:rPr>
        <w:t xml:space="preserve">Annex 6 </w:t>
      </w:r>
    </w:p>
    <w:p w14:paraId="5636870A" w14:textId="77777777" w:rsidR="003F5512" w:rsidRPr="00C12B42" w:rsidRDefault="003F5512" w:rsidP="003F5512">
      <w:pPr>
        <w:spacing w:after="120"/>
        <w:ind w:left="2268" w:right="1134" w:hanging="1134"/>
        <w:rPr>
          <w:lang w:val="en-US"/>
        </w:rPr>
      </w:pPr>
      <w:r>
        <w:rPr>
          <w:i/>
          <w:lang w:val="en-US"/>
        </w:rPr>
        <w:t>P</w:t>
      </w:r>
      <w:r w:rsidRPr="00C12B42">
        <w:rPr>
          <w:i/>
          <w:lang w:val="en-US"/>
        </w:rPr>
        <w:t>aragraph 2.1.2.1.</w:t>
      </w:r>
      <w:r w:rsidRPr="0088541D">
        <w:rPr>
          <w:lang w:val="en-US"/>
        </w:rPr>
        <w:t>,</w:t>
      </w:r>
      <w:r w:rsidRPr="00C12B42">
        <w:rPr>
          <w:lang w:val="en-US"/>
        </w:rPr>
        <w:t xml:space="preserve"> amend to read:</w:t>
      </w:r>
    </w:p>
    <w:p w14:paraId="04E76DD8" w14:textId="77777777" w:rsidR="003F5512" w:rsidRPr="00C12B42" w:rsidRDefault="003F5512" w:rsidP="003F5512">
      <w:pPr>
        <w:spacing w:after="120"/>
        <w:ind w:left="2268" w:right="1134" w:hanging="1134"/>
        <w:jc w:val="both"/>
        <w:rPr>
          <w:lang w:val="en-US"/>
        </w:rPr>
      </w:pPr>
      <w:r w:rsidRPr="00C12B42">
        <w:rPr>
          <w:lang w:val="en-US"/>
        </w:rPr>
        <w:t>"2.1.2.1.</w:t>
      </w:r>
      <w:r w:rsidRPr="00C12B42">
        <w:rPr>
          <w:lang w:val="en-US"/>
        </w:rPr>
        <w:tab/>
        <w:t>Method</w:t>
      </w:r>
    </w:p>
    <w:p w14:paraId="3D6DA2ED" w14:textId="77777777" w:rsidR="003F5512" w:rsidRPr="00C12B42" w:rsidRDefault="003F5512" w:rsidP="003F5512">
      <w:pPr>
        <w:spacing w:after="120"/>
        <w:ind w:left="2268" w:right="1134" w:hanging="1134"/>
        <w:jc w:val="both"/>
        <w:rPr>
          <w:lang w:val="en-US"/>
        </w:rPr>
      </w:pPr>
      <w:r w:rsidRPr="00C12B42">
        <w:rPr>
          <w:lang w:val="en-US"/>
        </w:rPr>
        <w:tab/>
        <w:t>Photometric measurements shall be carried out on the samples before and after the test.</w:t>
      </w:r>
    </w:p>
    <w:p w14:paraId="3210456D" w14:textId="77777777" w:rsidR="003F5512" w:rsidRPr="00C12B42" w:rsidRDefault="003F5512" w:rsidP="003F5512">
      <w:pPr>
        <w:spacing w:after="120"/>
        <w:ind w:left="2268" w:right="1134" w:hanging="1134"/>
        <w:jc w:val="both"/>
        <w:rPr>
          <w:lang w:val="en-US"/>
        </w:rPr>
      </w:pPr>
      <w:r w:rsidRPr="00C12B42">
        <w:rPr>
          <w:lang w:val="en-US"/>
        </w:rPr>
        <w:tab/>
        <w:t>These measurements shall be made according to Annex 9 to this Regulation, at the following points:</w:t>
      </w:r>
    </w:p>
    <w:p w14:paraId="35442C95" w14:textId="77777777" w:rsidR="003F5512" w:rsidRPr="00C12B42" w:rsidRDefault="003F5512" w:rsidP="003F5512">
      <w:pPr>
        <w:spacing w:after="120"/>
        <w:ind w:left="2268" w:right="1134" w:hanging="1134"/>
        <w:jc w:val="both"/>
        <w:rPr>
          <w:lang w:val="en-US"/>
        </w:rPr>
      </w:pPr>
      <w:r w:rsidRPr="00C12B42">
        <w:rPr>
          <w:lang w:val="en-US"/>
        </w:rPr>
        <w:tab/>
        <w:t>B50L and 50V for the class C</w:t>
      </w:r>
      <w:r w:rsidRPr="00C12B42">
        <w:rPr>
          <w:i/>
          <w:lang w:val="en-US"/>
        </w:rPr>
        <w:t xml:space="preserve"> </w:t>
      </w:r>
      <w:r w:rsidRPr="00C12B42">
        <w:rPr>
          <w:lang w:val="en-US"/>
        </w:rPr>
        <w:t>passing beam lighting;</w:t>
      </w:r>
    </w:p>
    <w:p w14:paraId="136F1CA2" w14:textId="77777777" w:rsidR="003F5512" w:rsidRPr="00C12B42" w:rsidRDefault="003F5512" w:rsidP="003F5512">
      <w:pPr>
        <w:tabs>
          <w:tab w:val="left" w:pos="8505"/>
        </w:tabs>
        <w:spacing w:after="120"/>
        <w:ind w:left="2268" w:right="1134" w:hanging="1134"/>
        <w:rPr>
          <w:i/>
          <w:lang w:val="en-US"/>
        </w:rPr>
      </w:pPr>
      <w:r w:rsidRPr="00C12B42">
        <w:rPr>
          <w:lang w:val="en-US"/>
        </w:rPr>
        <w:tab/>
        <w:t>I</w:t>
      </w:r>
      <w:r w:rsidRPr="00C12B42">
        <w:rPr>
          <w:vertAlign w:val="subscript"/>
          <w:lang w:val="en-US"/>
        </w:rPr>
        <w:t>max</w:t>
      </w:r>
      <w:r w:rsidRPr="00C12B42">
        <w:rPr>
          <w:lang w:val="en-US"/>
        </w:rPr>
        <w:t xml:space="preserve"> for the driving beam of a system."</w:t>
      </w:r>
    </w:p>
    <w:p w14:paraId="28AA37CA" w14:textId="77777777" w:rsidR="003F5512" w:rsidRPr="00C56DA7" w:rsidRDefault="003F5512" w:rsidP="003F5512">
      <w:pPr>
        <w:tabs>
          <w:tab w:val="left" w:pos="8505"/>
        </w:tabs>
        <w:spacing w:after="120"/>
        <w:ind w:left="2268" w:right="1134" w:hanging="1134"/>
        <w:rPr>
          <w:lang w:val="en-US"/>
        </w:rPr>
      </w:pPr>
      <w:r>
        <w:rPr>
          <w:i/>
          <w:lang w:val="en-US"/>
        </w:rPr>
        <w:t>P</w:t>
      </w:r>
      <w:r w:rsidRPr="00AB05E0">
        <w:rPr>
          <w:i/>
          <w:lang w:val="en-US"/>
        </w:rPr>
        <w:t>aragraph 2.6</w:t>
      </w:r>
      <w:r w:rsidRPr="007964EF">
        <w:rPr>
          <w:i/>
          <w:lang w:val="en-US"/>
        </w:rPr>
        <w:t>.1.2</w:t>
      </w:r>
      <w:r>
        <w:rPr>
          <w:i/>
          <w:lang w:val="en-US"/>
        </w:rPr>
        <w:t>.</w:t>
      </w:r>
      <w:r w:rsidRPr="0088541D">
        <w:rPr>
          <w:lang w:val="en-US"/>
        </w:rPr>
        <w:t>,</w:t>
      </w:r>
      <w:r w:rsidRPr="007964EF">
        <w:rPr>
          <w:i/>
          <w:lang w:val="en-US"/>
        </w:rPr>
        <w:t xml:space="preserve"> </w:t>
      </w:r>
      <w:r w:rsidRPr="007964EF">
        <w:rPr>
          <w:lang w:val="en-US"/>
        </w:rPr>
        <w:t>amend</w:t>
      </w:r>
      <w:r w:rsidRPr="00C56DA7">
        <w:rPr>
          <w:lang w:val="en-US"/>
        </w:rPr>
        <w:t xml:space="preserve"> to read:</w:t>
      </w:r>
    </w:p>
    <w:p w14:paraId="252AF80E" w14:textId="77777777" w:rsidR="003F5512" w:rsidRPr="005F4295" w:rsidRDefault="003F5512" w:rsidP="003F5512">
      <w:pPr>
        <w:pStyle w:val="rxxxannex1"/>
        <w:tabs>
          <w:tab w:val="left" w:pos="8505"/>
        </w:tabs>
        <w:spacing w:line="240" w:lineRule="atLeast"/>
        <w:ind w:left="2268" w:right="1134" w:hanging="1134"/>
        <w:jc w:val="both"/>
        <w:rPr>
          <w:sz w:val="20"/>
        </w:rPr>
      </w:pPr>
      <w:r>
        <w:rPr>
          <w:sz w:val="20"/>
        </w:rPr>
        <w:t>"</w:t>
      </w:r>
      <w:r w:rsidRPr="005F4295">
        <w:rPr>
          <w:sz w:val="20"/>
        </w:rPr>
        <w:t>2.6.1.2.</w:t>
      </w:r>
      <w:r w:rsidRPr="005F4295">
        <w:rPr>
          <w:sz w:val="20"/>
        </w:rPr>
        <w:tab/>
      </w:r>
      <w:r w:rsidRPr="00E07F0E">
        <w:rPr>
          <w:sz w:val="20"/>
        </w:rPr>
        <w:t>Results</w:t>
      </w:r>
    </w:p>
    <w:p w14:paraId="7C7B0959" w14:textId="77777777" w:rsidR="003F5512" w:rsidRPr="005F4295" w:rsidRDefault="003F5512" w:rsidP="003F5512">
      <w:pPr>
        <w:pStyle w:val="rxxxannex1"/>
        <w:tabs>
          <w:tab w:val="left" w:pos="8505"/>
        </w:tabs>
        <w:spacing w:line="240" w:lineRule="atLeast"/>
        <w:ind w:left="2268" w:right="1134" w:hanging="1134"/>
        <w:jc w:val="both"/>
        <w:rPr>
          <w:sz w:val="20"/>
        </w:rPr>
      </w:pPr>
      <w:r w:rsidRPr="005F4295">
        <w:rPr>
          <w:sz w:val="20"/>
        </w:rPr>
        <w:tab/>
        <w:t>After the test, the results of photometric measurements carried out on the system or part thereof</w:t>
      </w:r>
      <w:r w:rsidRPr="005F4295">
        <w:rPr>
          <w:i/>
          <w:sz w:val="20"/>
        </w:rPr>
        <w:t xml:space="preserve"> </w:t>
      </w:r>
      <w:r w:rsidRPr="005F4295">
        <w:rPr>
          <w:sz w:val="20"/>
        </w:rPr>
        <w:t>in accordance with this Regulation shall not exceed by more than 30 per cent the maximum values prescribed at point B50L and not be more than 10 per cent below the minimum values prescribed at point 75R, if applicable.</w:t>
      </w:r>
      <w:r>
        <w:rPr>
          <w:sz w:val="20"/>
        </w:rPr>
        <w:t>"</w:t>
      </w:r>
    </w:p>
    <w:p w14:paraId="17229A7D" w14:textId="77777777" w:rsidR="003F5512" w:rsidRPr="00E07F0E" w:rsidRDefault="003F5512" w:rsidP="003F5512">
      <w:pPr>
        <w:tabs>
          <w:tab w:val="left" w:pos="8505"/>
        </w:tabs>
        <w:spacing w:after="120"/>
        <w:ind w:left="2268" w:right="1134" w:hanging="1134"/>
        <w:rPr>
          <w:lang w:val="en-US"/>
        </w:rPr>
      </w:pPr>
      <w:r w:rsidRPr="007964EF">
        <w:rPr>
          <w:i/>
          <w:lang w:val="en-US"/>
        </w:rPr>
        <w:t xml:space="preserve">Annex </w:t>
      </w:r>
      <w:r w:rsidRPr="00AB05E0">
        <w:rPr>
          <w:i/>
          <w:lang w:val="en-US"/>
        </w:rPr>
        <w:t>7</w:t>
      </w:r>
      <w:r w:rsidRPr="007964EF">
        <w:rPr>
          <w:i/>
          <w:lang w:val="en-US"/>
        </w:rPr>
        <w:t xml:space="preserve">, </w:t>
      </w:r>
      <w:r w:rsidRPr="00AB05E0">
        <w:rPr>
          <w:i/>
          <w:lang w:val="en-US"/>
        </w:rPr>
        <w:t>paragraph 1.2.1.1.</w:t>
      </w:r>
      <w:r w:rsidRPr="0088541D">
        <w:rPr>
          <w:lang w:val="en-US"/>
        </w:rPr>
        <w:t>,</w:t>
      </w:r>
      <w:r w:rsidRPr="007964EF">
        <w:rPr>
          <w:i/>
          <w:lang w:val="en-US"/>
        </w:rPr>
        <w:t xml:space="preserve"> </w:t>
      </w:r>
      <w:r w:rsidRPr="007964EF">
        <w:rPr>
          <w:lang w:val="en-US"/>
        </w:rPr>
        <w:t>amend to read</w:t>
      </w:r>
      <w:r w:rsidRPr="00E07F0E">
        <w:rPr>
          <w:lang w:val="en-US"/>
        </w:rPr>
        <w:t xml:space="preserve">: </w:t>
      </w:r>
    </w:p>
    <w:p w14:paraId="258D6A54" w14:textId="77777777" w:rsidR="003F5512" w:rsidRPr="007964EF" w:rsidRDefault="003F5512" w:rsidP="003F5512">
      <w:pPr>
        <w:pStyle w:val="rxxxannex1"/>
        <w:tabs>
          <w:tab w:val="left" w:pos="8505"/>
        </w:tabs>
        <w:spacing w:line="240" w:lineRule="atLeast"/>
        <w:ind w:left="2268" w:right="1134" w:hanging="1134"/>
        <w:jc w:val="both"/>
        <w:rPr>
          <w:sz w:val="20"/>
        </w:rPr>
      </w:pPr>
      <w:r>
        <w:rPr>
          <w:sz w:val="20"/>
          <w:lang w:val="en-US"/>
        </w:rPr>
        <w:t>"</w:t>
      </w:r>
      <w:r w:rsidRPr="007964EF">
        <w:rPr>
          <w:sz w:val="20"/>
        </w:rPr>
        <w:t>1.2.1.1.</w:t>
      </w:r>
      <w:r w:rsidRPr="007964EF">
        <w:rPr>
          <w:sz w:val="20"/>
        </w:rPr>
        <w:tab/>
        <w:t xml:space="preserve">For the following values </w:t>
      </w:r>
      <w:r w:rsidRPr="007964EF">
        <w:rPr>
          <w:rFonts w:hint="eastAsia"/>
          <w:sz w:val="20"/>
        </w:rPr>
        <w:t>of the passing beam</w:t>
      </w:r>
      <w:r w:rsidRPr="007964EF">
        <w:rPr>
          <w:sz w:val="20"/>
        </w:rPr>
        <w:t xml:space="preserve"> and its modes, the maximum unfavourable deviation may be respectively: </w:t>
      </w:r>
    </w:p>
    <w:p w14:paraId="3D34E5D8" w14:textId="315F3034" w:rsidR="003F5512" w:rsidRPr="007964EF" w:rsidRDefault="003F5512" w:rsidP="003F5512">
      <w:pPr>
        <w:pStyle w:val="rxxxannex1"/>
        <w:numPr>
          <w:ilvl w:val="0"/>
          <w:numId w:val="8"/>
        </w:numPr>
        <w:tabs>
          <w:tab w:val="clear" w:pos="1134"/>
          <w:tab w:val="left" w:pos="851"/>
          <w:tab w:val="left" w:pos="8505"/>
        </w:tabs>
        <w:spacing w:line="240" w:lineRule="atLeast"/>
        <w:ind w:left="2835" w:right="1134" w:hanging="576"/>
        <w:jc w:val="both"/>
        <w:rPr>
          <w:sz w:val="20"/>
        </w:rPr>
      </w:pPr>
      <w:r>
        <w:rPr>
          <w:sz w:val="20"/>
        </w:rPr>
        <w:t>M</w:t>
      </w:r>
      <w:r w:rsidRPr="007964EF">
        <w:rPr>
          <w:sz w:val="20"/>
        </w:rPr>
        <w:t xml:space="preserve">aximum values at point B50L 170 cd equivalent 20 per cent and </w:t>
      </w:r>
      <w:r w:rsidRPr="007964EF">
        <w:rPr>
          <w:rFonts w:hint="eastAsia"/>
          <w:sz w:val="20"/>
          <w:lang w:eastAsia="zh-CN"/>
        </w:rPr>
        <w:t>255</w:t>
      </w:r>
      <w:r w:rsidR="0088541D">
        <w:rPr>
          <w:sz w:val="20"/>
          <w:lang w:eastAsia="zh-CN"/>
        </w:rPr>
        <w:t> </w:t>
      </w:r>
      <w:r w:rsidRPr="007964EF">
        <w:rPr>
          <w:rFonts w:hint="eastAsia"/>
          <w:sz w:val="20"/>
          <w:lang w:eastAsia="zh-CN"/>
        </w:rPr>
        <w:t xml:space="preserve">cd </w:t>
      </w:r>
      <w:r w:rsidRPr="007964EF">
        <w:rPr>
          <w:sz w:val="20"/>
        </w:rPr>
        <w:t xml:space="preserve">equivalent 30 per cent; </w:t>
      </w:r>
    </w:p>
    <w:p w14:paraId="31625454" w14:textId="2BC919C0" w:rsidR="003F5512" w:rsidRPr="007964EF" w:rsidRDefault="003F5512" w:rsidP="003F5512">
      <w:pPr>
        <w:pStyle w:val="rxxxannex1"/>
        <w:numPr>
          <w:ilvl w:val="0"/>
          <w:numId w:val="8"/>
        </w:numPr>
        <w:tabs>
          <w:tab w:val="clear" w:pos="1134"/>
          <w:tab w:val="left" w:pos="851"/>
          <w:tab w:val="left" w:pos="8505"/>
        </w:tabs>
        <w:spacing w:line="240" w:lineRule="atLeast"/>
        <w:ind w:left="2835" w:right="1134" w:hanging="576"/>
        <w:jc w:val="both"/>
        <w:rPr>
          <w:sz w:val="20"/>
        </w:rPr>
      </w:pPr>
      <w:r>
        <w:rPr>
          <w:sz w:val="20"/>
        </w:rPr>
        <w:t>M</w:t>
      </w:r>
      <w:r w:rsidRPr="007964EF">
        <w:rPr>
          <w:sz w:val="20"/>
        </w:rPr>
        <w:t>aximum values at zone III</w:t>
      </w:r>
      <w:r>
        <w:rPr>
          <w:sz w:val="20"/>
        </w:rPr>
        <w:t xml:space="preserve"> </w:t>
      </w:r>
      <w:r w:rsidRPr="007964EF">
        <w:rPr>
          <w:sz w:val="20"/>
        </w:rPr>
        <w:t>and segment BLL: 255 cd equivalent 20</w:t>
      </w:r>
      <w:r w:rsidR="0088541D">
        <w:rPr>
          <w:sz w:val="20"/>
        </w:rPr>
        <w:t> </w:t>
      </w:r>
      <w:r w:rsidRPr="007964EF">
        <w:rPr>
          <w:sz w:val="20"/>
        </w:rPr>
        <w:t xml:space="preserve">per cent and </w:t>
      </w:r>
      <w:r w:rsidRPr="007964EF">
        <w:rPr>
          <w:rFonts w:hint="eastAsia"/>
          <w:sz w:val="20"/>
          <w:lang w:eastAsia="zh-CN"/>
        </w:rPr>
        <w:t xml:space="preserve">380 cd </w:t>
      </w:r>
      <w:r w:rsidRPr="007964EF">
        <w:rPr>
          <w:sz w:val="20"/>
        </w:rPr>
        <w:t>equivalent 30 per cent;</w:t>
      </w:r>
    </w:p>
    <w:p w14:paraId="2449F196" w14:textId="5CEDB2F0" w:rsidR="003F5512" w:rsidRPr="007964EF" w:rsidRDefault="003F5512" w:rsidP="003F5512">
      <w:pPr>
        <w:pStyle w:val="rxxxannex1"/>
        <w:numPr>
          <w:ilvl w:val="0"/>
          <w:numId w:val="8"/>
        </w:numPr>
        <w:tabs>
          <w:tab w:val="clear" w:pos="1134"/>
          <w:tab w:val="left" w:pos="851"/>
          <w:tab w:val="left" w:pos="8505"/>
        </w:tabs>
        <w:spacing w:line="240" w:lineRule="atLeast"/>
        <w:ind w:left="2835" w:right="1134" w:hanging="576"/>
        <w:jc w:val="both"/>
        <w:rPr>
          <w:sz w:val="20"/>
        </w:rPr>
      </w:pPr>
      <w:r>
        <w:rPr>
          <w:sz w:val="20"/>
        </w:rPr>
        <w:lastRenderedPageBreak/>
        <w:t>M</w:t>
      </w:r>
      <w:r w:rsidRPr="007964EF">
        <w:rPr>
          <w:sz w:val="20"/>
        </w:rPr>
        <w:t xml:space="preserve">aximum values at segments E, F1, F2 and F3: </w:t>
      </w:r>
      <w:r w:rsidRPr="007964EF">
        <w:rPr>
          <w:rFonts w:hint="eastAsia"/>
          <w:sz w:val="20"/>
          <w:lang w:eastAsia="zh-CN"/>
        </w:rPr>
        <w:t xml:space="preserve"> </w:t>
      </w:r>
      <w:r w:rsidRPr="007964EF">
        <w:rPr>
          <w:sz w:val="20"/>
        </w:rPr>
        <w:t>170 cd equivalent 20</w:t>
      </w:r>
      <w:r w:rsidR="0088541D">
        <w:rPr>
          <w:sz w:val="20"/>
        </w:rPr>
        <w:t> </w:t>
      </w:r>
      <w:r w:rsidRPr="007964EF">
        <w:rPr>
          <w:sz w:val="20"/>
        </w:rPr>
        <w:t xml:space="preserve">per cent and </w:t>
      </w:r>
      <w:r w:rsidRPr="007964EF">
        <w:rPr>
          <w:rFonts w:hint="eastAsia"/>
          <w:sz w:val="20"/>
          <w:lang w:eastAsia="zh-CN"/>
        </w:rPr>
        <w:t xml:space="preserve"> </w:t>
      </w:r>
      <w:r w:rsidRPr="007964EF">
        <w:rPr>
          <w:sz w:val="20"/>
        </w:rPr>
        <w:t>255 cd equivalent 30 per cent;</w:t>
      </w:r>
    </w:p>
    <w:p w14:paraId="43C5BD84" w14:textId="64D3B261" w:rsidR="003F5512" w:rsidRPr="007964EF" w:rsidRDefault="003F5512" w:rsidP="003F5512">
      <w:pPr>
        <w:pStyle w:val="rxxxannex1"/>
        <w:numPr>
          <w:ilvl w:val="0"/>
          <w:numId w:val="8"/>
        </w:numPr>
        <w:tabs>
          <w:tab w:val="clear" w:pos="1134"/>
          <w:tab w:val="left" w:pos="851"/>
          <w:tab w:val="left" w:pos="8505"/>
        </w:tabs>
        <w:spacing w:line="240" w:lineRule="atLeast"/>
        <w:ind w:left="2835" w:right="1134" w:hanging="576"/>
        <w:jc w:val="both"/>
        <w:rPr>
          <w:sz w:val="20"/>
        </w:rPr>
      </w:pPr>
      <w:r>
        <w:rPr>
          <w:sz w:val="20"/>
        </w:rPr>
        <w:t>M</w:t>
      </w:r>
      <w:r w:rsidRPr="007964EF">
        <w:rPr>
          <w:sz w:val="20"/>
        </w:rPr>
        <w:t xml:space="preserve">inimum values at BR, P, </w:t>
      </w:r>
      <w:r w:rsidRPr="007964EF">
        <w:rPr>
          <w:rFonts w:hint="eastAsia"/>
          <w:sz w:val="20"/>
          <w:lang w:eastAsia="zh-CN"/>
        </w:rPr>
        <w:t xml:space="preserve">at the groups </w:t>
      </w:r>
      <w:r w:rsidRPr="007964EF">
        <w:rPr>
          <w:sz w:val="20"/>
        </w:rPr>
        <w:t>S50</w:t>
      </w:r>
      <w:r w:rsidRPr="007964EF">
        <w:rPr>
          <w:rFonts w:hint="eastAsia"/>
          <w:sz w:val="20"/>
          <w:lang w:eastAsia="zh-CN"/>
        </w:rPr>
        <w:t>+</w:t>
      </w:r>
      <w:r w:rsidRPr="007964EF">
        <w:rPr>
          <w:sz w:val="20"/>
        </w:rPr>
        <w:t>S50LL</w:t>
      </w:r>
      <w:r w:rsidRPr="007964EF">
        <w:rPr>
          <w:rFonts w:hint="eastAsia"/>
          <w:sz w:val="20"/>
          <w:lang w:eastAsia="zh-CN"/>
        </w:rPr>
        <w:t>+</w:t>
      </w:r>
      <w:r w:rsidRPr="007964EF">
        <w:rPr>
          <w:sz w:val="20"/>
        </w:rPr>
        <w:t>S50RR, S100</w:t>
      </w:r>
      <w:r w:rsidRPr="007964EF">
        <w:rPr>
          <w:rFonts w:hint="eastAsia"/>
          <w:sz w:val="20"/>
          <w:lang w:eastAsia="zh-CN"/>
        </w:rPr>
        <w:t>+</w:t>
      </w:r>
      <w:r w:rsidRPr="007964EF">
        <w:rPr>
          <w:sz w:val="20"/>
        </w:rPr>
        <w:t>S100LL</w:t>
      </w:r>
      <w:r w:rsidRPr="007964EF">
        <w:rPr>
          <w:rFonts w:hint="eastAsia"/>
          <w:sz w:val="20"/>
          <w:lang w:eastAsia="zh-CN"/>
        </w:rPr>
        <w:t>+</w:t>
      </w:r>
      <w:r w:rsidRPr="007964EF">
        <w:rPr>
          <w:sz w:val="20"/>
        </w:rPr>
        <w:t>S100RR</w:t>
      </w:r>
      <w:r w:rsidR="00C926A0">
        <w:rPr>
          <w:sz w:val="20"/>
        </w:rPr>
        <w:t>,and those required by footnote</w:t>
      </w:r>
      <w:r w:rsidR="009C4E51">
        <w:rPr>
          <w:sz w:val="20"/>
        </w:rPr>
        <w:t xml:space="preserve"> </w:t>
      </w:r>
      <w:r w:rsidRPr="00D36BEE">
        <w:rPr>
          <w:sz w:val="20"/>
          <w:vertAlign w:val="superscript"/>
        </w:rPr>
        <w:t>4</w:t>
      </w:r>
      <w:r w:rsidRPr="007964EF">
        <w:rPr>
          <w:sz w:val="20"/>
        </w:rPr>
        <w:t xml:space="preserve"> of Table 1 in Annex 3 of this Regulation (B50L, BR, BRR, BLL): half of the required value is equivalent to 20 per cent and three quarters of the required value equivalent to 30 per cent</w:t>
      </w:r>
      <w:r>
        <w:rPr>
          <w:sz w:val="20"/>
        </w:rPr>
        <w:t>."</w:t>
      </w:r>
    </w:p>
    <w:p w14:paraId="49A9DE37" w14:textId="25F69960" w:rsidR="00E416CD" w:rsidRPr="00AF2205" w:rsidRDefault="003F5512" w:rsidP="0088541D">
      <w:pPr>
        <w:spacing w:before="240"/>
        <w:ind w:left="1134" w:right="1134"/>
        <w:jc w:val="center"/>
        <w:rPr>
          <w:u w:val="single"/>
        </w:rPr>
      </w:pPr>
      <w:bookmarkStart w:id="2" w:name="_GoBack"/>
      <w:bookmarkEnd w:id="2"/>
      <w:r w:rsidRPr="00EB72C9">
        <w:rPr>
          <w:u w:val="single"/>
        </w:rPr>
        <w:tab/>
      </w:r>
      <w:r w:rsidRPr="00EB72C9">
        <w:rPr>
          <w:u w:val="single"/>
        </w:rPr>
        <w:tab/>
      </w:r>
      <w:r w:rsidRPr="00EB72C9">
        <w:rPr>
          <w:u w:val="single"/>
        </w:rPr>
        <w:tab/>
      </w:r>
    </w:p>
    <w:sectPr w:rsidR="00E416CD" w:rsidRPr="00AF2205"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E7A0D9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40CB3">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353E47F3"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40CB3">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373508D4" w14:textId="77777777" w:rsidR="0088541D" w:rsidRDefault="0088541D" w:rsidP="0088541D">
      <w:pPr>
        <w:pStyle w:val="FootnoteText"/>
      </w:pPr>
      <w:r>
        <w:tab/>
      </w:r>
      <w:r>
        <w:rPr>
          <w:rStyle w:val="FootnoteReference"/>
          <w:sz w:val="20"/>
        </w:rPr>
        <w:t>*</w:t>
      </w:r>
      <w:r>
        <w:rPr>
          <w:sz w:val="20"/>
        </w:rPr>
        <w:tab/>
      </w:r>
      <w:r>
        <w:t>Former titles of the Agreement:</w:t>
      </w:r>
    </w:p>
    <w:p w14:paraId="08A08463" w14:textId="77777777" w:rsidR="0088541D" w:rsidRDefault="0088541D" w:rsidP="0088541D">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11037580" w14:textId="77777777" w:rsidR="0088541D" w:rsidRDefault="0088541D" w:rsidP="0088541D">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1F11DAB" w:rsidR="00B701B3" w:rsidRDefault="00B701B3">
    <w:pPr>
      <w:pStyle w:val="Header"/>
    </w:pPr>
    <w:r w:rsidRPr="00D623A7">
      <w:t>E/ECE/324</w:t>
    </w:r>
    <w:r w:rsidRPr="00841EB5">
      <w:t>/Rev.</w:t>
    </w:r>
    <w:r w:rsidR="00552067">
      <w:t>2</w:t>
    </w:r>
    <w:r w:rsidRPr="00841EB5">
      <w:t>/</w:t>
    </w:r>
    <w:r w:rsidR="004D2C93" w:rsidRPr="00D623A7">
      <w:t>Add.</w:t>
    </w:r>
    <w:r w:rsidR="00425B9D">
      <w:t>1</w:t>
    </w:r>
    <w:r w:rsidR="003F5512">
      <w:t>22</w:t>
    </w:r>
    <w:r w:rsidR="004D2C93" w:rsidRPr="00D623A7">
      <w:t>/Rev.</w:t>
    </w:r>
    <w:r w:rsidR="003F5512">
      <w:t>2</w:t>
    </w:r>
    <w:r w:rsidR="004D2C93" w:rsidRPr="00D623A7">
      <w:t>/Amend.</w:t>
    </w:r>
    <w:r w:rsidR="003F5512">
      <w:t>4</w:t>
    </w:r>
    <w:r>
      <w:br/>
    </w:r>
    <w:r w:rsidRPr="00D623A7">
      <w:t>E/ECE/TRANS/505</w:t>
    </w:r>
    <w:r w:rsidRPr="00841EB5">
      <w:t>/</w:t>
    </w:r>
    <w:r w:rsidR="0001071D" w:rsidRPr="00841EB5">
      <w:t>Rev.</w:t>
    </w:r>
    <w:r w:rsidR="00552067">
      <w:t>2</w:t>
    </w:r>
    <w:r w:rsidR="00CC4838" w:rsidRPr="00841EB5">
      <w:t>/</w:t>
    </w:r>
    <w:r w:rsidR="00CC4838" w:rsidRPr="00D623A7">
      <w:t>Add.</w:t>
    </w:r>
    <w:r w:rsidR="00425B9D">
      <w:t>1</w:t>
    </w:r>
    <w:r w:rsidR="003F5512">
      <w:t>22</w:t>
    </w:r>
    <w:r w:rsidR="00CC4838" w:rsidRPr="00D623A7">
      <w:t>/Rev.</w:t>
    </w:r>
    <w:r w:rsidR="003F5512">
      <w:t>2</w:t>
    </w:r>
    <w:r w:rsidR="00E511B0">
      <w:t>/</w:t>
    </w:r>
    <w:r w:rsidR="00CC4838" w:rsidRPr="00D623A7">
      <w:t>Amend.</w:t>
    </w:r>
    <w:r w:rsidR="003F5512">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34C240E" w:rsidR="00B701B3" w:rsidRDefault="00B701B3" w:rsidP="00776D12">
    <w:pPr>
      <w:pStyle w:val="Header"/>
      <w:jc w:val="right"/>
    </w:pPr>
    <w:r w:rsidRPr="00D623A7">
      <w:t>E/ECE/324/</w:t>
    </w:r>
    <w:r w:rsidR="0001071D">
      <w:t>Rev.</w:t>
    </w:r>
    <w:r w:rsidR="00552067">
      <w:t>2</w:t>
    </w:r>
    <w:r w:rsidR="0001071D">
      <w:t>/</w:t>
    </w:r>
    <w:r w:rsidR="00CC4838" w:rsidRPr="00D623A7">
      <w:t>Add.</w:t>
    </w:r>
    <w:r w:rsidR="00425B9D">
      <w:t>1</w:t>
    </w:r>
    <w:r w:rsidR="003F5512">
      <w:t>22</w:t>
    </w:r>
    <w:r w:rsidR="00A7202C">
      <w:t>/Rev.</w:t>
    </w:r>
    <w:r w:rsidR="003F5512">
      <w:t>2</w:t>
    </w:r>
    <w:r w:rsidR="00CC4838" w:rsidRPr="00D623A7">
      <w:t>/Amend.</w:t>
    </w:r>
    <w:r w:rsidR="003F5512">
      <w:t>4</w:t>
    </w:r>
    <w:r>
      <w:br/>
    </w:r>
    <w:r w:rsidRPr="00D623A7">
      <w:t>E/ECE/TRANS/505/</w:t>
    </w:r>
    <w:r w:rsidR="0001071D">
      <w:t>Rev.</w:t>
    </w:r>
    <w:r w:rsidR="00552067">
      <w:t>2</w:t>
    </w:r>
    <w:r w:rsidR="00CC4838">
      <w:t>/</w:t>
    </w:r>
    <w:r w:rsidR="00CC4838" w:rsidRPr="00D623A7">
      <w:t>Add.</w:t>
    </w:r>
    <w:r w:rsidR="00425B9D">
      <w:t>1</w:t>
    </w:r>
    <w:r w:rsidR="003F5512">
      <w:t>22</w:t>
    </w:r>
    <w:r w:rsidR="00CC4838" w:rsidRPr="00D623A7">
      <w:t>/Rev.</w:t>
    </w:r>
    <w:r w:rsidR="003F5512">
      <w:t>2</w:t>
    </w:r>
    <w:r w:rsidR="00CC4838" w:rsidRPr="00D623A7">
      <w:t>/Amend.</w:t>
    </w:r>
    <w:r w:rsidR="003F5512">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4"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5340C"/>
    <w:rsid w:val="00072C8C"/>
    <w:rsid w:val="00086287"/>
    <w:rsid w:val="000931C0"/>
    <w:rsid w:val="000B175B"/>
    <w:rsid w:val="000B3A0F"/>
    <w:rsid w:val="000C3BA6"/>
    <w:rsid w:val="000D3A4F"/>
    <w:rsid w:val="000E0415"/>
    <w:rsid w:val="000F580C"/>
    <w:rsid w:val="001220B8"/>
    <w:rsid w:val="00134B40"/>
    <w:rsid w:val="001352D9"/>
    <w:rsid w:val="00165E82"/>
    <w:rsid w:val="001710A9"/>
    <w:rsid w:val="001B4B04"/>
    <w:rsid w:val="001C6663"/>
    <w:rsid w:val="001C7895"/>
    <w:rsid w:val="001D26DF"/>
    <w:rsid w:val="001F7E72"/>
    <w:rsid w:val="0020139A"/>
    <w:rsid w:val="002070FE"/>
    <w:rsid w:val="00211E0B"/>
    <w:rsid w:val="002405A7"/>
    <w:rsid w:val="00271A7F"/>
    <w:rsid w:val="00295CB5"/>
    <w:rsid w:val="002A1E3A"/>
    <w:rsid w:val="002A7FC2"/>
    <w:rsid w:val="002D1113"/>
    <w:rsid w:val="003107FA"/>
    <w:rsid w:val="00312914"/>
    <w:rsid w:val="00312E48"/>
    <w:rsid w:val="003229D8"/>
    <w:rsid w:val="00324746"/>
    <w:rsid w:val="0033745A"/>
    <w:rsid w:val="00381313"/>
    <w:rsid w:val="003852F5"/>
    <w:rsid w:val="0039277A"/>
    <w:rsid w:val="003972E0"/>
    <w:rsid w:val="003C2CC4"/>
    <w:rsid w:val="003C3936"/>
    <w:rsid w:val="003D4B23"/>
    <w:rsid w:val="003F1ED3"/>
    <w:rsid w:val="003F5512"/>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61D71"/>
    <w:rsid w:val="00582B38"/>
    <w:rsid w:val="005B3DB3"/>
    <w:rsid w:val="005E1409"/>
    <w:rsid w:val="00611FC4"/>
    <w:rsid w:val="006176FB"/>
    <w:rsid w:val="00627ED0"/>
    <w:rsid w:val="00640B26"/>
    <w:rsid w:val="0064636E"/>
    <w:rsid w:val="00651737"/>
    <w:rsid w:val="00665595"/>
    <w:rsid w:val="006802AA"/>
    <w:rsid w:val="0069341E"/>
    <w:rsid w:val="00694209"/>
    <w:rsid w:val="006A67EF"/>
    <w:rsid w:val="006A7392"/>
    <w:rsid w:val="006D00FE"/>
    <w:rsid w:val="006D65E5"/>
    <w:rsid w:val="006E564B"/>
    <w:rsid w:val="006E5E36"/>
    <w:rsid w:val="006F5576"/>
    <w:rsid w:val="00713BD8"/>
    <w:rsid w:val="00716B90"/>
    <w:rsid w:val="0072632A"/>
    <w:rsid w:val="00740CB3"/>
    <w:rsid w:val="00743CD6"/>
    <w:rsid w:val="00750602"/>
    <w:rsid w:val="00760C4D"/>
    <w:rsid w:val="00773197"/>
    <w:rsid w:val="00776D12"/>
    <w:rsid w:val="00784B94"/>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8541D"/>
    <w:rsid w:val="008979B1"/>
    <w:rsid w:val="008A6B25"/>
    <w:rsid w:val="008A6C4F"/>
    <w:rsid w:val="008A7277"/>
    <w:rsid w:val="008C3804"/>
    <w:rsid w:val="008E0E46"/>
    <w:rsid w:val="00907AD2"/>
    <w:rsid w:val="00963CBA"/>
    <w:rsid w:val="009672A1"/>
    <w:rsid w:val="00974A8D"/>
    <w:rsid w:val="00991261"/>
    <w:rsid w:val="009952F1"/>
    <w:rsid w:val="009C4E51"/>
    <w:rsid w:val="009F015A"/>
    <w:rsid w:val="009F3A17"/>
    <w:rsid w:val="00A034CA"/>
    <w:rsid w:val="00A1427D"/>
    <w:rsid w:val="00A22277"/>
    <w:rsid w:val="00A41529"/>
    <w:rsid w:val="00A569D6"/>
    <w:rsid w:val="00A7202C"/>
    <w:rsid w:val="00A72F22"/>
    <w:rsid w:val="00A748A6"/>
    <w:rsid w:val="00A85956"/>
    <w:rsid w:val="00A879A4"/>
    <w:rsid w:val="00B1438E"/>
    <w:rsid w:val="00B26CCF"/>
    <w:rsid w:val="00B30179"/>
    <w:rsid w:val="00B32121"/>
    <w:rsid w:val="00B33EC0"/>
    <w:rsid w:val="00B701B3"/>
    <w:rsid w:val="00B81E12"/>
    <w:rsid w:val="00BA5143"/>
    <w:rsid w:val="00BC2683"/>
    <w:rsid w:val="00BC358D"/>
    <w:rsid w:val="00BC74E9"/>
    <w:rsid w:val="00BD2146"/>
    <w:rsid w:val="00BD221C"/>
    <w:rsid w:val="00BD538F"/>
    <w:rsid w:val="00BE398A"/>
    <w:rsid w:val="00BE4F74"/>
    <w:rsid w:val="00BE618E"/>
    <w:rsid w:val="00BF4A36"/>
    <w:rsid w:val="00C17699"/>
    <w:rsid w:val="00C41A28"/>
    <w:rsid w:val="00C463DD"/>
    <w:rsid w:val="00C711C7"/>
    <w:rsid w:val="00C71A58"/>
    <w:rsid w:val="00C745C3"/>
    <w:rsid w:val="00C84414"/>
    <w:rsid w:val="00C926A0"/>
    <w:rsid w:val="00CC4838"/>
    <w:rsid w:val="00CD6208"/>
    <w:rsid w:val="00CE4A8F"/>
    <w:rsid w:val="00CE4B13"/>
    <w:rsid w:val="00CE5E33"/>
    <w:rsid w:val="00CF4C18"/>
    <w:rsid w:val="00D2031B"/>
    <w:rsid w:val="00D25FE2"/>
    <w:rsid w:val="00D317BB"/>
    <w:rsid w:val="00D36BEE"/>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313A7"/>
    <w:rsid w:val="00E416CD"/>
    <w:rsid w:val="00E506F0"/>
    <w:rsid w:val="00E511B0"/>
    <w:rsid w:val="00E53330"/>
    <w:rsid w:val="00E7260F"/>
    <w:rsid w:val="00E77FF9"/>
    <w:rsid w:val="00E87921"/>
    <w:rsid w:val="00E96630"/>
    <w:rsid w:val="00EA0ED6"/>
    <w:rsid w:val="00EA264E"/>
    <w:rsid w:val="00EB0695"/>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styleId="Strong">
    <w:name w:val="Strong"/>
    <w:uiPriority w:val="22"/>
    <w:qFormat/>
    <w:rsid w:val="003F5512"/>
    <w:rPr>
      <w:b/>
      <w:bCs/>
    </w:rPr>
  </w:style>
  <w:style w:type="paragraph" w:customStyle="1" w:styleId="Regelungneu2-0times">
    <w:name w:val="Regelung neu 2-0 times"/>
    <w:basedOn w:val="Normal"/>
    <w:rsid w:val="003F5512"/>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3F5512"/>
    <w:pPr>
      <w:spacing w:after="120" w:line="240" w:lineRule="auto"/>
    </w:pPr>
    <w:rPr>
      <w:rFonts w:eastAsia="SimSun"/>
      <w:sz w:val="24"/>
      <w:lang w:val="it-IT"/>
    </w:rPr>
  </w:style>
  <w:style w:type="paragraph" w:customStyle="1" w:styleId="rxxxannex1">
    <w:name w:val="rxxx annex (1)"/>
    <w:basedOn w:val="rxxxannex"/>
    <w:rsid w:val="003F5512"/>
    <w:pPr>
      <w:tabs>
        <w:tab w:val="left" w:pos="1134"/>
      </w:tabs>
      <w:ind w:left="851" w:hanging="851"/>
    </w:pPr>
  </w:style>
  <w:style w:type="character" w:customStyle="1" w:styleId="FootnoteTextChar1">
    <w:name w:val="Footnote Text Char1"/>
    <w:aliases w:val="5_G Char1,PP Char1"/>
    <w:uiPriority w:val="99"/>
    <w:locked/>
    <w:rsid w:val="0088541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8</TotalTime>
  <Pages>7</Pages>
  <Words>1875</Words>
  <Characters>9209</Characters>
  <Application>Microsoft Office Word</Application>
  <DocSecurity>0</DocSecurity>
  <Lines>279</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4</cp:revision>
  <cp:lastPrinted>2017-12-11T08:33:00Z</cp:lastPrinted>
  <dcterms:created xsi:type="dcterms:W3CDTF">2017-12-04T10:20:00Z</dcterms:created>
  <dcterms:modified xsi:type="dcterms:W3CDTF">2017-12-11T08:35:00Z</dcterms:modified>
</cp:coreProperties>
</file>