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5540"/>
        <w:gridCol w:w="2819"/>
      </w:tblGrid>
      <w:tr w:rsidR="0070750C" w:rsidRPr="0079325C" w:rsidTr="00807B5D">
        <w:trPr>
          <w:trHeight w:hRule="exact" w:val="851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70750C" w:rsidRPr="0079325C" w:rsidRDefault="0070750C" w:rsidP="00FE47AD">
            <w:pPr>
              <w:jc w:val="right"/>
            </w:pPr>
            <w:bookmarkStart w:id="0" w:name="_GoBack"/>
            <w:bookmarkEnd w:id="0"/>
            <w:r w:rsidRPr="0079325C">
              <w:rPr>
                <w:sz w:val="40"/>
                <w:szCs w:val="40"/>
              </w:rPr>
              <w:t>E</w:t>
            </w:r>
            <w:r w:rsidRPr="0079325C">
              <w:t>/</w:t>
            </w:r>
            <w:r w:rsidR="00044E17">
              <w:fldChar w:fldCharType="begin"/>
            </w:r>
            <w:r w:rsidR="00044E17">
              <w:instrText xml:space="preserve"> FILLIN  "Введите символ после Е/"  \* MERGEFORMAT </w:instrText>
            </w:r>
            <w:r w:rsidR="00044E17">
              <w:fldChar w:fldCharType="separate"/>
            </w:r>
            <w:r w:rsidRPr="0079325C">
              <w:t>ECE/324/Rev.2/Add.117/Rev.1/Amend.2–</w:t>
            </w:r>
            <w:r w:rsidRPr="0079325C">
              <w:rPr>
                <w:sz w:val="40"/>
                <w:szCs w:val="40"/>
              </w:rPr>
              <w:t>E</w:t>
            </w:r>
            <w:r w:rsidRPr="0079325C">
              <w:t>/ECE/TRANS/505/Rev.2/Add.117/Rev.1/Amend.2</w:t>
            </w:r>
            <w:r w:rsidR="00044E17">
              <w:fldChar w:fldCharType="end"/>
            </w:r>
            <w:r w:rsidR="0079325C" w:rsidRPr="0079325C">
              <w:t xml:space="preserve">     </w:t>
            </w:r>
          </w:p>
        </w:tc>
      </w:tr>
      <w:tr w:rsidR="0049372E" w:rsidRPr="0079325C" w:rsidTr="00FE47A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49372E" w:rsidRPr="0079325C" w:rsidRDefault="0049372E" w:rsidP="00FE47AD">
            <w:pPr>
              <w:spacing w:before="120"/>
              <w:jc w:val="center"/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49372E" w:rsidRPr="0079325C" w:rsidRDefault="0049372E" w:rsidP="00FE47AD">
            <w:pPr>
              <w:spacing w:before="120" w:line="460" w:lineRule="exact"/>
              <w:rPr>
                <w:b/>
                <w:sz w:val="40"/>
                <w:szCs w:val="40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9325C" w:rsidRDefault="0079325C" w:rsidP="00FE47AD">
            <w:pPr>
              <w:rPr>
                <w:lang w:val="en-US"/>
              </w:rPr>
            </w:pPr>
          </w:p>
          <w:p w:rsidR="00410B4E" w:rsidRDefault="00410B4E" w:rsidP="00FE47AD">
            <w:pPr>
              <w:rPr>
                <w:lang w:val="en-US"/>
              </w:rPr>
            </w:pPr>
          </w:p>
          <w:p w:rsidR="00410B4E" w:rsidRDefault="00410B4E" w:rsidP="00FE47AD">
            <w:pPr>
              <w:rPr>
                <w:lang w:val="en-US"/>
              </w:rPr>
            </w:pPr>
          </w:p>
          <w:p w:rsidR="0049372E" w:rsidRPr="0079325C" w:rsidRDefault="0049372E" w:rsidP="00FE47AD">
            <w:fldSimple w:instr=" FILLIN  &quot;Введите дату документа&quot; \* MERGEFORMAT ">
              <w:r w:rsidR="00C842FF" w:rsidRPr="0079325C">
                <w:t>28 October 2016</w:t>
              </w:r>
            </w:fldSimple>
          </w:p>
          <w:p w:rsidR="0049372E" w:rsidRPr="0079325C" w:rsidRDefault="0049372E" w:rsidP="00CC7889"/>
        </w:tc>
      </w:tr>
    </w:tbl>
    <w:p w:rsidR="00CC7889" w:rsidRPr="0079325C" w:rsidRDefault="00CC7889" w:rsidP="00AA4D90">
      <w:pPr>
        <w:pStyle w:val="HChGR"/>
        <w:spacing w:before="240" w:after="200" w:line="220" w:lineRule="exact"/>
      </w:pPr>
      <w:r w:rsidRPr="0079325C">
        <w:tab/>
      </w:r>
      <w:r w:rsidRPr="0079325C">
        <w:tab/>
        <w:t>Соглашение</w:t>
      </w:r>
    </w:p>
    <w:p w:rsidR="00CC7889" w:rsidRPr="0079325C" w:rsidRDefault="00CC7889" w:rsidP="00504E28">
      <w:pPr>
        <w:pStyle w:val="H1GR"/>
        <w:spacing w:before="240" w:after="200" w:line="240" w:lineRule="exact"/>
        <w:rPr>
          <w:bCs/>
        </w:rPr>
      </w:pPr>
      <w:r w:rsidRPr="0079325C">
        <w:tab/>
      </w:r>
      <w:r w:rsidRPr="0079325C">
        <w:tab/>
      </w:r>
      <w:r w:rsidRPr="008F5276">
        <w:rPr>
          <w:spacing w:val="2"/>
        </w:rPr>
        <w:t xml:space="preserve">О </w:t>
      </w:r>
      <w:r w:rsidRPr="0079325C">
        <w:rPr>
          <w:spacing w:val="2"/>
        </w:rPr>
        <w:t>принятии</w:t>
      </w:r>
      <w:r w:rsidRPr="008F5276">
        <w:rPr>
          <w:spacing w:val="2"/>
        </w:rPr>
        <w:t xml:space="preserve"> единообраз</w:t>
      </w:r>
      <w:r w:rsidR="0079325C" w:rsidRPr="008F5276">
        <w:rPr>
          <w:spacing w:val="2"/>
        </w:rPr>
        <w:t>ных технических предписаний для</w:t>
      </w:r>
      <w:r w:rsidR="008F5276" w:rsidRPr="008F5276">
        <w:rPr>
          <w:spacing w:val="2"/>
        </w:rPr>
        <w:t xml:space="preserve"> </w:t>
      </w:r>
      <w:r w:rsidRPr="008F5276">
        <w:rPr>
          <w:spacing w:val="2"/>
        </w:rPr>
        <w:t>колесных транспортных ср</w:t>
      </w:r>
      <w:r w:rsidR="008F5276" w:rsidRPr="008F5276">
        <w:rPr>
          <w:spacing w:val="2"/>
        </w:rPr>
        <w:t>едств, предметов оборудования и </w:t>
      </w:r>
      <w:r w:rsidRPr="008F5276">
        <w:rPr>
          <w:spacing w:val="2"/>
        </w:rPr>
        <w:t>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</w:t>
      </w:r>
      <w:r w:rsidRPr="0079325C">
        <w:t>й</w:t>
      </w:r>
      <w:r w:rsidRPr="0079325C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>*</w:t>
      </w:r>
    </w:p>
    <w:p w:rsidR="00CC7889" w:rsidRPr="0079325C" w:rsidRDefault="00CC7889" w:rsidP="00383EAD">
      <w:pPr>
        <w:pStyle w:val="SingleTxtGR"/>
        <w:spacing w:after="80" w:line="230" w:lineRule="atLeast"/>
      </w:pPr>
      <w:r w:rsidRPr="0079325C">
        <w:t>(Пересмотр 2, включающий поправки, вступившие в силу 16 октября 1995 года)</w:t>
      </w:r>
    </w:p>
    <w:p w:rsidR="008B5A96" w:rsidRPr="0079325C" w:rsidRDefault="008B5A96" w:rsidP="008B5A96">
      <w:pPr>
        <w:spacing w:line="220" w:lineRule="atLeast"/>
        <w:jc w:val="center"/>
        <w:rPr>
          <w:u w:val="single"/>
        </w:rPr>
      </w:pPr>
      <w:r w:rsidRPr="0079325C">
        <w:rPr>
          <w:u w:val="single"/>
        </w:rPr>
        <w:tab/>
      </w:r>
      <w:r w:rsidRPr="0079325C">
        <w:rPr>
          <w:u w:val="single"/>
        </w:rPr>
        <w:tab/>
      </w:r>
    </w:p>
    <w:p w:rsidR="00CC7889" w:rsidRPr="0079325C" w:rsidRDefault="00CC7889" w:rsidP="008B5A96">
      <w:pPr>
        <w:pStyle w:val="H1GR"/>
        <w:spacing w:before="240" w:after="200" w:line="240" w:lineRule="exact"/>
      </w:pPr>
      <w:r w:rsidRPr="0079325C">
        <w:tab/>
      </w:r>
      <w:r w:rsidRPr="0079325C">
        <w:tab/>
      </w:r>
      <w:r w:rsidRPr="0079325C">
        <w:rPr>
          <w:spacing w:val="2"/>
        </w:rPr>
        <w:t>Добавление</w:t>
      </w:r>
      <w:r w:rsidRPr="0079325C">
        <w:t xml:space="preserve"> 117 − Правила № 118</w:t>
      </w:r>
    </w:p>
    <w:p w:rsidR="00CC7889" w:rsidRPr="0079325C" w:rsidRDefault="00CC7889" w:rsidP="00B22DEA">
      <w:pPr>
        <w:pStyle w:val="H1GR"/>
        <w:spacing w:before="240" w:after="200" w:line="220" w:lineRule="exact"/>
      </w:pPr>
      <w:r w:rsidRPr="0079325C">
        <w:tab/>
      </w:r>
      <w:r w:rsidRPr="0079325C">
        <w:tab/>
        <w:t>Пересмотр 1 − Поправка 2</w:t>
      </w:r>
    </w:p>
    <w:p w:rsidR="00CC7889" w:rsidRPr="0079325C" w:rsidRDefault="00CC7889" w:rsidP="00D4292F">
      <w:pPr>
        <w:pStyle w:val="SingleTxtGR"/>
        <w:spacing w:after="80" w:line="220" w:lineRule="atLeast"/>
      </w:pPr>
      <w:r w:rsidRPr="0079325C">
        <w:rPr>
          <w:spacing w:val="0"/>
          <w:w w:val="102"/>
        </w:rPr>
        <w:t>Дополнение</w:t>
      </w:r>
      <w:r w:rsidRPr="0079325C">
        <w:t xml:space="preserve"> 2 к поправкам серии 02 − Дата вступления в силу: 8 октября 2016</w:t>
      </w:r>
      <w:r w:rsidR="00122464">
        <w:rPr>
          <w:lang w:val="en-US"/>
        </w:rPr>
        <w:t> </w:t>
      </w:r>
      <w:r w:rsidRPr="0079325C">
        <w:t>года</w:t>
      </w:r>
    </w:p>
    <w:p w:rsidR="00CC7889" w:rsidRPr="0079325C" w:rsidRDefault="00CC7889" w:rsidP="000D2BFF">
      <w:pPr>
        <w:pStyle w:val="H1GR"/>
        <w:spacing w:before="240" w:after="200" w:line="240" w:lineRule="exact"/>
      </w:pPr>
      <w:r w:rsidRPr="0079325C">
        <w:tab/>
      </w:r>
      <w:r w:rsidRPr="0079325C">
        <w:tab/>
        <w:t>Единообразные предписания, касающиеся характеристик горения и/или бензо- или маслоотталкивающих свойств материалов, используемых в конструкции автотранспортных средств определенных категорий</w:t>
      </w:r>
    </w:p>
    <w:p w:rsidR="00CC7889" w:rsidRPr="0079325C" w:rsidRDefault="00CC7889" w:rsidP="00857D55">
      <w:pPr>
        <w:pStyle w:val="SingleTxtGR"/>
        <w:spacing w:after="0" w:line="220" w:lineRule="exact"/>
      </w:pPr>
      <w:r w:rsidRPr="0079325C"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ECE/TRANS/WP.29/2016/14.</w:t>
      </w:r>
    </w:p>
    <w:p w:rsidR="00080850" w:rsidRPr="0079325C" w:rsidRDefault="00080850" w:rsidP="00080850">
      <w:pPr>
        <w:spacing w:after="60" w:line="160" w:lineRule="atLeast"/>
        <w:jc w:val="center"/>
        <w:rPr>
          <w:u w:val="single"/>
        </w:rPr>
      </w:pPr>
      <w:r w:rsidRPr="0079325C">
        <w:rPr>
          <w:u w:val="single"/>
        </w:rPr>
        <w:tab/>
      </w:r>
      <w:r w:rsidRPr="0079325C">
        <w:rPr>
          <w:u w:val="single"/>
        </w:rPr>
        <w:tab/>
      </w:r>
    </w:p>
    <w:p w:rsidR="00080850" w:rsidRPr="0079325C" w:rsidRDefault="00080850" w:rsidP="00080850">
      <w:pPr>
        <w:spacing w:after="40" w:line="230" w:lineRule="atLeast"/>
        <w:jc w:val="center"/>
      </w:pPr>
      <w:r w:rsidRPr="0079325C">
        <w:rPr>
          <w:b/>
          <w:noProof/>
          <w:sz w:val="24"/>
          <w:lang w:val="en-GB" w:eastAsia="en-GB"/>
        </w:rPr>
        <w:drawing>
          <wp:inline distT="0" distB="0" distL="0" distR="0" wp14:anchorId="008B1791" wp14:editId="7313CFBE">
            <wp:extent cx="785612" cy="631401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12" cy="631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0850" w:rsidRPr="0079325C" w:rsidRDefault="00080850" w:rsidP="00080850">
      <w:pPr>
        <w:pStyle w:val="SingleTxtGR"/>
        <w:jc w:val="center"/>
      </w:pPr>
      <w:r w:rsidRPr="0079325C">
        <w:rPr>
          <w:b/>
          <w:bCs/>
          <w:sz w:val="24"/>
          <w:szCs w:val="24"/>
        </w:rPr>
        <w:t>ОРГАНИЗАЦИЯ ОБЪЕДИНЕННЫХ НАЦИЙ</w:t>
      </w:r>
    </w:p>
    <w:p w:rsidR="00CC7889" w:rsidRPr="0079325C" w:rsidRDefault="00CC7889" w:rsidP="00CC7889">
      <w:pPr>
        <w:pStyle w:val="SingleTxtGR"/>
      </w:pPr>
      <w:r w:rsidRPr="0079325C">
        <w:br w:type="page"/>
      </w:r>
      <w:r w:rsidRPr="0079325C">
        <w:rPr>
          <w:i/>
        </w:rPr>
        <w:lastRenderedPageBreak/>
        <w:t>Содержание, пункт 5</w:t>
      </w:r>
      <w:r w:rsidRPr="0079325C">
        <w:t xml:space="preserve"> изменить следующим образом:</w:t>
      </w:r>
    </w:p>
    <w:p w:rsidR="00CC7889" w:rsidRPr="0079325C" w:rsidRDefault="00CC7889" w:rsidP="00630862">
      <w:pPr>
        <w:pStyle w:val="SingleTxtGR"/>
        <w:tabs>
          <w:tab w:val="clear" w:pos="1701"/>
        </w:tabs>
        <w:ind w:left="2268" w:hanging="1134"/>
      </w:pPr>
      <w:r w:rsidRPr="0079325C">
        <w:t>«5.</w:t>
      </w:r>
      <w:r w:rsidRPr="0079325C">
        <w:tab/>
        <w:t>Часть I: Официальное утверждение типа транспортного средства в отношении характеристик горения элементов оборудования, используемых во внутреннем отделении, моторном отсеке и любом отдельном отопительном отсеке, а также в отношении характеристик горения электропроводки и кабельных муфт или кабелепроводов, используемых в транспортном средстве, и/или бензо- или маслоотталкивающих свойств изоляционных материалов, используемых в моторном отсеке и любом отдельном отопительном отсеке».</w:t>
      </w:r>
    </w:p>
    <w:p w:rsidR="00CC7889" w:rsidRPr="0079325C" w:rsidRDefault="00CC7889" w:rsidP="00CC7889">
      <w:pPr>
        <w:pStyle w:val="SingleTxtGR"/>
      </w:pPr>
      <w:r w:rsidRPr="0079325C">
        <w:rPr>
          <w:i/>
        </w:rPr>
        <w:t>Пункты 1.2 и 1.3</w:t>
      </w:r>
      <w:r w:rsidRPr="0079325C">
        <w:t xml:space="preserve"> изменить следующим образом:</w:t>
      </w:r>
    </w:p>
    <w:p w:rsidR="00CC7889" w:rsidRPr="0079325C" w:rsidRDefault="00CC7889" w:rsidP="00630862">
      <w:pPr>
        <w:pStyle w:val="SingleTxtGR"/>
        <w:tabs>
          <w:tab w:val="clear" w:pos="1701"/>
        </w:tabs>
        <w:ind w:left="2268" w:hanging="1134"/>
      </w:pPr>
      <w:r w:rsidRPr="0079325C">
        <w:t>«1.2</w:t>
      </w:r>
      <w:r w:rsidRPr="0079325C">
        <w:tab/>
        <w:t>Часть I – Официальное утверждение типа транспортного средства в отношении характеристик горения и/или бензо- или маслоотталкивающих свойств элементов оборудования, используемых во внутреннем отделении, моторном отсеке и любом отдельном отопительном отсеке, а также в отношении характеристик горения электропроводки и кабельных муфт или кабелепроводов, используемых в транспортном средстве.</w:t>
      </w:r>
    </w:p>
    <w:p w:rsidR="00CC7889" w:rsidRPr="0079325C" w:rsidRDefault="00CC7889" w:rsidP="00630862">
      <w:pPr>
        <w:pStyle w:val="SingleTxtGR"/>
        <w:tabs>
          <w:tab w:val="clear" w:pos="1701"/>
        </w:tabs>
        <w:ind w:left="2268" w:hanging="1134"/>
      </w:pPr>
      <w:r w:rsidRPr="0079325C">
        <w:t>1.3</w:t>
      </w:r>
      <w:r w:rsidRPr="0079325C">
        <w:tab/>
        <w:t>Часть II – Официальное утверждение элемента оборудования в отношении его характеристик горения и/или его бензо- или маслоотталкивающих свойств».</w:t>
      </w:r>
    </w:p>
    <w:p w:rsidR="00CC7889" w:rsidRPr="0079325C" w:rsidRDefault="00CC7889" w:rsidP="00CC7889">
      <w:pPr>
        <w:pStyle w:val="SingleTxtGR"/>
      </w:pPr>
      <w:r w:rsidRPr="0079325C">
        <w:rPr>
          <w:i/>
        </w:rPr>
        <w:t>Пункты 5.2−5.2.2</w:t>
      </w:r>
      <w:r w:rsidRPr="0079325C">
        <w:t xml:space="preserve"> изменить следующим образом:</w:t>
      </w:r>
    </w:p>
    <w:p w:rsidR="00CC7889" w:rsidRPr="0079325C" w:rsidRDefault="00CC7889" w:rsidP="00630862">
      <w:pPr>
        <w:pStyle w:val="SingleTxtGR"/>
        <w:tabs>
          <w:tab w:val="clear" w:pos="1701"/>
        </w:tabs>
        <w:ind w:left="2268" w:hanging="1134"/>
      </w:pPr>
      <w:r w:rsidRPr="0079325C">
        <w:t>«5.2</w:t>
      </w:r>
      <w:r w:rsidRPr="0079325C">
        <w:tab/>
        <w:t>Технические требования</w:t>
      </w:r>
    </w:p>
    <w:p w:rsidR="00CC7889" w:rsidRPr="0079325C" w:rsidRDefault="00CC7889" w:rsidP="00630862">
      <w:pPr>
        <w:pStyle w:val="SingleTxtGR"/>
        <w:tabs>
          <w:tab w:val="clear" w:pos="1701"/>
        </w:tabs>
        <w:ind w:left="2268" w:hanging="1134"/>
      </w:pPr>
      <w:r w:rsidRPr="0079325C">
        <w:t>5.2.1</w:t>
      </w:r>
      <w:r w:rsidRPr="0079325C">
        <w:tab/>
        <w:t>Материалы, находящиеся внутри и в пределах не более чем 13 мм от внутреннего отделения, материалы моторного отсека, материалы любого отдельного отопительного отсека, а также электропроводка, используемые в транспортном средстве, подлежащем официальному утверждению по типу конструкции, должны отвечать требованиям части II настоящих Правил.</w:t>
      </w:r>
    </w:p>
    <w:p w:rsidR="00CC7889" w:rsidRPr="0079325C" w:rsidRDefault="00CC7889" w:rsidP="00630862">
      <w:pPr>
        <w:pStyle w:val="SingleTxtGR"/>
        <w:tabs>
          <w:tab w:val="clear" w:pos="1701"/>
        </w:tabs>
        <w:ind w:left="2268" w:hanging="1134"/>
      </w:pPr>
      <w:r w:rsidRPr="0079325C">
        <w:t>5.2.2</w:t>
      </w:r>
      <w:r w:rsidRPr="0079325C">
        <w:tab/>
        <w:t>Материалы и/или приспособления, используемые во внутреннем отделении, моторном отсеке и любом отдельном отопительном отсеке и/или в устройствах, официально утвержденных в качестве элементов оборудования, и электропроводку, используемую в транспортном средстве, размещают таким образом, чтобы свести к минимуму опасность возгорания и распространения огня».</w:t>
      </w:r>
    </w:p>
    <w:p w:rsidR="00CC7889" w:rsidRPr="0079325C" w:rsidRDefault="00CC7889" w:rsidP="00CC7889">
      <w:pPr>
        <w:pStyle w:val="SingleTxtGR"/>
      </w:pPr>
      <w:r w:rsidRPr="0079325C">
        <w:rPr>
          <w:i/>
        </w:rPr>
        <w:t>Часть II, пункт 6.2.6</w:t>
      </w:r>
      <w:r w:rsidRPr="0079325C">
        <w:t xml:space="preserve"> изменить следующим образом:</w:t>
      </w:r>
    </w:p>
    <w:p w:rsidR="00CC7889" w:rsidRPr="0079325C" w:rsidRDefault="00CC7889" w:rsidP="00630862">
      <w:pPr>
        <w:pStyle w:val="SingleTxtGR"/>
        <w:tabs>
          <w:tab w:val="clear" w:pos="1701"/>
        </w:tabs>
        <w:ind w:left="2268" w:hanging="1134"/>
      </w:pPr>
      <w:r w:rsidRPr="0079325C">
        <w:t>«6.2.6</w:t>
      </w:r>
      <w:r w:rsidRPr="0079325C">
        <w:tab/>
        <w:t>Любой используемый в транспортном средстве электрокабель (например, одножильный, многожильный, экранированный, без оплетки, в</w:t>
      </w:r>
      <w:r w:rsidR="0079325C" w:rsidRPr="0079325C">
        <w:t xml:space="preserve"> </w:t>
      </w:r>
      <w:r w:rsidRPr="0079325C">
        <w:t>оболочке), длина которого превышает 100 мм, подвергают испытанию на устойчивость к распространению пламени, описанному в пункте</w:t>
      </w:r>
      <w:r w:rsidR="0079325C" w:rsidRPr="0079325C">
        <w:t xml:space="preserve"> </w:t>
      </w:r>
      <w:r w:rsidRPr="0079325C">
        <w:t>5.22 стандарта</w:t>
      </w:r>
      <w:r w:rsidR="0079325C" w:rsidRPr="0079325C">
        <w:t xml:space="preserve"> </w:t>
      </w:r>
      <w:r w:rsidRPr="0079325C">
        <w:t>ISO 6722-1:2011.</w:t>
      </w:r>
    </w:p>
    <w:p w:rsidR="00CC7889" w:rsidRPr="0079325C" w:rsidRDefault="00CC7889" w:rsidP="00630862">
      <w:pPr>
        <w:pStyle w:val="SingleTxtGR"/>
        <w:tabs>
          <w:tab w:val="clear" w:pos="1701"/>
        </w:tabs>
        <w:ind w:left="2268" w:hanging="1134"/>
      </w:pPr>
      <w:r w:rsidRPr="0079325C">
        <w:tab/>
        <w:t>Контакт с пламенем в ходе испытания прекращают, когда оголяется токопроводящая жила (для одножильных кабелей) или первая токопроводящая жила (для многожильных кабелей), либо через 15</w:t>
      </w:r>
      <w:r w:rsidR="0079325C" w:rsidRPr="0079325C">
        <w:t xml:space="preserve"> </w:t>
      </w:r>
      <w:r w:rsidRPr="0079325C">
        <w:t>с в случае кабелей, у которых сечение жилы не превышает 2,5</w:t>
      </w:r>
      <w:r w:rsidR="0079325C" w:rsidRPr="0079325C">
        <w:t xml:space="preserve"> </w:t>
      </w:r>
      <w:r w:rsidRPr="0079325C">
        <w:t>мм</w:t>
      </w:r>
      <w:r w:rsidRPr="0079325C">
        <w:rPr>
          <w:vertAlign w:val="superscript"/>
        </w:rPr>
        <w:t>2</w:t>
      </w:r>
      <w:r w:rsidRPr="0079325C">
        <w:t>, и 30 с в случае кабелей, у которых сечение жилы превышает 2,5 мм</w:t>
      </w:r>
      <w:r w:rsidRPr="0079325C">
        <w:rPr>
          <w:vertAlign w:val="superscript"/>
        </w:rPr>
        <w:t>2</w:t>
      </w:r>
      <w:r w:rsidRPr="0079325C">
        <w:t>, или многожильных кабелей, у которых сечение по крайней мере одной жилы превышает 2,5 мм</w:t>
      </w:r>
      <w:r w:rsidRPr="0079325C">
        <w:rPr>
          <w:vertAlign w:val="superscript"/>
        </w:rPr>
        <w:t>2</w:t>
      </w:r>
      <w:r w:rsidRPr="0079325C">
        <w:t>.</w:t>
      </w:r>
    </w:p>
    <w:p w:rsidR="00CC7889" w:rsidRPr="0079325C" w:rsidRDefault="00CC7889" w:rsidP="00630862">
      <w:pPr>
        <w:pStyle w:val="SingleTxtGR"/>
        <w:tabs>
          <w:tab w:val="clear" w:pos="1701"/>
        </w:tabs>
        <w:ind w:left="2268" w:hanging="1134"/>
      </w:pPr>
      <w:r w:rsidRPr="0079325C">
        <w:lastRenderedPageBreak/>
        <w:tab/>
        <w:t>Результат испытания считают … испытуемого образца не затронуты пламенем».</w:t>
      </w:r>
    </w:p>
    <w:p w:rsidR="00CC7889" w:rsidRPr="0079325C" w:rsidRDefault="00CC7889" w:rsidP="00CC7889">
      <w:pPr>
        <w:pStyle w:val="SingleTxtGR"/>
      </w:pPr>
      <w:r w:rsidRPr="0079325C">
        <w:rPr>
          <w:i/>
        </w:rPr>
        <w:t>Часть II, пункт 6.2.7.4</w:t>
      </w:r>
      <w:r w:rsidRPr="0079325C">
        <w:t xml:space="preserve"> изменить следующим образом:</w:t>
      </w:r>
    </w:p>
    <w:p w:rsidR="00CC7889" w:rsidRPr="0079325C" w:rsidRDefault="00CC7889" w:rsidP="00630862">
      <w:pPr>
        <w:pStyle w:val="SingleTxtGR"/>
        <w:tabs>
          <w:tab w:val="clear" w:pos="1701"/>
        </w:tabs>
        <w:ind w:left="2268" w:hanging="1134"/>
      </w:pPr>
      <w:r w:rsidRPr="0079325C">
        <w:t>«6.2.7.4</w:t>
      </w:r>
      <w:r w:rsidRPr="0079325C">
        <w:tab/>
        <w:t>элементам, применительно к которым невозможно получить образец, соответствующий размерам, предписанным в пункте 3.1 приложения 6, пункте 3 приложения 7 и пункте 3.1 приложения 8».</w:t>
      </w:r>
    </w:p>
    <w:p w:rsidR="00CC7889" w:rsidRPr="0079325C" w:rsidRDefault="00CC7889" w:rsidP="00D33FAF">
      <w:pPr>
        <w:pStyle w:val="SingleTxtGR"/>
      </w:pPr>
      <w:r w:rsidRPr="0079325C">
        <w:rPr>
          <w:i/>
        </w:rPr>
        <w:t xml:space="preserve">Приложение 4, добавление 1, пункт 1.1.2, </w:t>
      </w:r>
      <w:r w:rsidRPr="0079325C">
        <w:t>ссылку на пункт 6.6.2 заменить ссылкой на пункт 6.2.2.</w:t>
      </w:r>
    </w:p>
    <w:p w:rsidR="0079325C" w:rsidRPr="0079325C" w:rsidRDefault="00CC7889" w:rsidP="00CC7889">
      <w:pPr>
        <w:spacing w:before="240"/>
        <w:jc w:val="center"/>
        <w:rPr>
          <w:u w:val="single"/>
        </w:rPr>
      </w:pPr>
      <w:r w:rsidRPr="0079325C">
        <w:rPr>
          <w:u w:val="single"/>
        </w:rPr>
        <w:tab/>
      </w:r>
      <w:r w:rsidRPr="0079325C">
        <w:rPr>
          <w:u w:val="single"/>
        </w:rPr>
        <w:tab/>
      </w:r>
      <w:r w:rsidRPr="0079325C">
        <w:rPr>
          <w:u w:val="single"/>
        </w:rPr>
        <w:tab/>
      </w:r>
    </w:p>
    <w:p w:rsidR="00760D3A" w:rsidRPr="0079325C" w:rsidRDefault="00760D3A" w:rsidP="00DD479F">
      <w:pPr>
        <w:tabs>
          <w:tab w:val="left" w:pos="567"/>
          <w:tab w:val="left" w:pos="1134"/>
          <w:tab w:val="left" w:pos="1701"/>
          <w:tab w:val="left" w:pos="2268"/>
        </w:tabs>
      </w:pPr>
    </w:p>
    <w:sectPr w:rsidR="00760D3A" w:rsidRPr="0079325C" w:rsidSect="004937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2FF" w:rsidRDefault="00C842FF" w:rsidP="00B471C5">
      <w:r>
        <w:separator/>
      </w:r>
    </w:p>
  </w:endnote>
  <w:endnote w:type="continuationSeparator" w:id="0">
    <w:p w:rsidR="00C842FF" w:rsidRDefault="00C842FF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B8" w:rsidRPr="009A6F4A" w:rsidRDefault="0060520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4E1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49372E">
      <w:rPr>
        <w:lang w:val="en-US"/>
      </w:rPr>
      <w:t>6</w:t>
    </w:r>
    <w:r>
      <w:rPr>
        <w:lang w:val="en-US"/>
      </w:rPr>
      <w:t>-</w:t>
    </w:r>
    <w:r w:rsidR="00E52546" w:rsidRPr="00E52546">
      <w:rPr>
        <w:lang w:val="en-US"/>
      </w:rPr>
      <w:t>17889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B8" w:rsidRPr="009A6F4A" w:rsidRDefault="0060520C">
    <w:pPr>
      <w:pStyle w:val="Footer"/>
      <w:rPr>
        <w:lang w:val="en-US"/>
      </w:rPr>
    </w:pPr>
    <w:r>
      <w:rPr>
        <w:lang w:val="en-US"/>
      </w:rPr>
      <w:t>GE.1</w:t>
    </w:r>
    <w:r w:rsidR="0049372E">
      <w:rPr>
        <w:lang w:val="en-US"/>
      </w:rPr>
      <w:t>6</w:t>
    </w:r>
    <w:r>
      <w:rPr>
        <w:lang w:val="en-US"/>
      </w:rPr>
      <w:t>-</w:t>
    </w:r>
    <w:r w:rsidR="00E52546" w:rsidRPr="00E52546">
      <w:rPr>
        <w:lang w:val="en-US"/>
      </w:rPr>
      <w:t>17889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4E17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375A3E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75A3E" w:rsidRPr="00CC18A0" w:rsidRDefault="00375A3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</w:t>
          </w:r>
          <w:r w:rsidR="00E52546">
            <w:rPr>
              <w:lang w:val="en-US"/>
            </w:rPr>
            <w:t>E.16-</w:t>
          </w:r>
          <w:r w:rsidR="00E52546" w:rsidRPr="00E52546">
            <w:rPr>
              <w:lang w:val="en-US"/>
            </w:rPr>
            <w:t xml:space="preserve">17889 </w:t>
          </w:r>
          <w:r w:rsidRPr="001C3ABC">
            <w:rPr>
              <w:lang w:val="en-US"/>
            </w:rPr>
            <w:t>(R)</w:t>
          </w:r>
          <w:r w:rsidR="00CC18A0">
            <w:t xml:space="preserve">  021116  021116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375A3E" w:rsidRDefault="00375A3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29AB9080" wp14:editId="35D33E9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375A3E" w:rsidRDefault="00CC18A0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80390" cy="580390"/>
                <wp:effectExtent l="0" t="0" r="0" b="0"/>
                <wp:docPr id="4" name="Рисунок 4" descr="http://undocs.org/m2/QRCode.ashx?DS=E/ECE/324/Rev.2/Add.117/Rev.1/Amend.2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/ECE/324/Rev.2/Add.117/Rev.1/Amend.2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75A3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75A3E" w:rsidRPr="00E52546" w:rsidRDefault="00E52546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E5254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E5254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5254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E5254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5254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E5254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E5254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E5254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E5254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375A3E" w:rsidRDefault="00375A3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375A3E" w:rsidRDefault="00375A3E" w:rsidP="007B199D"/>
      </w:tc>
    </w:tr>
  </w:tbl>
  <w:p w:rsidR="007A36B5" w:rsidRPr="007A36B5" w:rsidRDefault="00044E17" w:rsidP="0049372E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2FF" w:rsidRPr="009141DC" w:rsidRDefault="00C842FF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C842FF" w:rsidRPr="00D1261C" w:rsidRDefault="00C842FF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CC7889" w:rsidRDefault="00CC7889" w:rsidP="00CC7889">
      <w:pPr>
        <w:pStyle w:val="FootnoteText"/>
        <w:tabs>
          <w:tab w:val="left" w:pos="1418"/>
        </w:tabs>
        <w:rPr>
          <w:sz w:val="20"/>
          <w:lang w:val="ru-RU"/>
        </w:rPr>
      </w:pPr>
      <w:r>
        <w:rPr>
          <w:szCs w:val="18"/>
        </w:rPr>
        <w:tab/>
      </w:r>
      <w:r w:rsidRPr="00EE4AED">
        <w:rPr>
          <w:rStyle w:val="FootnoteReference"/>
          <w:spacing w:val="4"/>
          <w:w w:val="103"/>
          <w:sz w:val="20"/>
          <w:vertAlign w:val="baseline"/>
          <w:lang w:val="ru-RU" w:eastAsia="en-US"/>
        </w:rPr>
        <w:t>*</w:t>
      </w:r>
      <w:r>
        <w:rPr>
          <w:szCs w:val="18"/>
          <w:lang w:val="ru-RU"/>
        </w:rPr>
        <w:tab/>
      </w:r>
      <w:r w:rsidRPr="006B18CF">
        <w:rPr>
          <w:szCs w:val="18"/>
          <w:lang w:val="ru-RU"/>
        </w:rPr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 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B8" w:rsidRDefault="00CC18A0">
    <w:pPr>
      <w:pStyle w:val="Header"/>
      <w:rPr>
        <w:lang w:val="ru-RU"/>
      </w:rPr>
    </w:pPr>
    <w:r w:rsidRPr="00CC18A0">
      <w:rPr>
        <w:lang w:val="en-US"/>
      </w:rPr>
      <w:t>E/ECE/324/Rev.2/Add.117/Rev.1/Amend.2</w:t>
    </w:r>
    <w:r>
      <w:rPr>
        <w:lang w:val="ru-RU"/>
      </w:rPr>
      <w:br/>
    </w:r>
    <w:r w:rsidRPr="00CC18A0">
      <w:rPr>
        <w:lang w:val="es-ES"/>
      </w:rPr>
      <w:t>E/ECE/TRANS/505/Rev.2/Add.117/Rev.1/Amend.2</w:t>
    </w:r>
  </w:p>
  <w:p w:rsidR="00CC18A0" w:rsidRPr="00CC18A0" w:rsidRDefault="00CC18A0" w:rsidP="00CC18A0">
    <w:pPr>
      <w:rPr>
        <w:lang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B8" w:rsidRDefault="0060520C" w:rsidP="00CC18A0">
    <w:pPr>
      <w:pStyle w:val="Header"/>
      <w:jc w:val="right"/>
      <w:rPr>
        <w:lang w:val="ru-RU"/>
      </w:rPr>
    </w:pPr>
    <w:r>
      <w:rPr>
        <w:lang w:val="en-US"/>
      </w:rPr>
      <w:tab/>
    </w:r>
    <w:r w:rsidR="00CC18A0" w:rsidRPr="00CC18A0">
      <w:rPr>
        <w:lang w:val="en-US"/>
      </w:rPr>
      <w:t>E/ECE/324/Rev.2/Add.117/Rev.1/Amend.2</w:t>
    </w:r>
    <w:r w:rsidR="00CC18A0" w:rsidRPr="00CC18A0">
      <w:rPr>
        <w:lang w:val="en-US"/>
      </w:rPr>
      <w:br/>
      <w:t>E/ECE/TRANS/505/Rev.2/Add.117/Rev.1/Amend.2</w:t>
    </w:r>
  </w:p>
  <w:p w:rsidR="00516E47" w:rsidRPr="00516E47" w:rsidRDefault="00516E47" w:rsidP="00516E47">
    <w:pPr>
      <w:rPr>
        <w:lang w:eastAsia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B4E" w:rsidRDefault="00410B4E" w:rsidP="00410B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FF"/>
    <w:rsid w:val="00044E17"/>
    <w:rsid w:val="000450D1"/>
    <w:rsid w:val="00080850"/>
    <w:rsid w:val="000D2BFF"/>
    <w:rsid w:val="000F2A4F"/>
    <w:rsid w:val="00122464"/>
    <w:rsid w:val="00203C64"/>
    <w:rsid w:val="00203F84"/>
    <w:rsid w:val="00275188"/>
    <w:rsid w:val="0028687D"/>
    <w:rsid w:val="002B091C"/>
    <w:rsid w:val="002D0CCB"/>
    <w:rsid w:val="00345C79"/>
    <w:rsid w:val="00366A39"/>
    <w:rsid w:val="00375A3E"/>
    <w:rsid w:val="00383EAD"/>
    <w:rsid w:val="00410B4E"/>
    <w:rsid w:val="0048005C"/>
    <w:rsid w:val="0049372E"/>
    <w:rsid w:val="004E242B"/>
    <w:rsid w:val="00504E28"/>
    <w:rsid w:val="00516E47"/>
    <w:rsid w:val="00523139"/>
    <w:rsid w:val="00544379"/>
    <w:rsid w:val="00566944"/>
    <w:rsid w:val="005D56BF"/>
    <w:rsid w:val="005D5CDB"/>
    <w:rsid w:val="0060520C"/>
    <w:rsid w:val="00630862"/>
    <w:rsid w:val="00665D8D"/>
    <w:rsid w:val="006A7A3B"/>
    <w:rsid w:val="006B18CF"/>
    <w:rsid w:val="006B1A91"/>
    <w:rsid w:val="006B6B57"/>
    <w:rsid w:val="006E2749"/>
    <w:rsid w:val="00705394"/>
    <w:rsid w:val="0070750C"/>
    <w:rsid w:val="00743F62"/>
    <w:rsid w:val="00760D3A"/>
    <w:rsid w:val="0079325C"/>
    <w:rsid w:val="007A1F42"/>
    <w:rsid w:val="007D76DD"/>
    <w:rsid w:val="00857D55"/>
    <w:rsid w:val="008717E8"/>
    <w:rsid w:val="008B5A96"/>
    <w:rsid w:val="008D01AE"/>
    <w:rsid w:val="008E0423"/>
    <w:rsid w:val="008F5276"/>
    <w:rsid w:val="009141DC"/>
    <w:rsid w:val="009174A1"/>
    <w:rsid w:val="0098674D"/>
    <w:rsid w:val="00997ACA"/>
    <w:rsid w:val="00A03FB7"/>
    <w:rsid w:val="00A75A11"/>
    <w:rsid w:val="00AA4D90"/>
    <w:rsid w:val="00AD7EAD"/>
    <w:rsid w:val="00B22DEA"/>
    <w:rsid w:val="00B35A32"/>
    <w:rsid w:val="00B432C6"/>
    <w:rsid w:val="00B471C5"/>
    <w:rsid w:val="00B6474A"/>
    <w:rsid w:val="00BA4715"/>
    <w:rsid w:val="00BE1742"/>
    <w:rsid w:val="00C41143"/>
    <w:rsid w:val="00C842FF"/>
    <w:rsid w:val="00CC18A0"/>
    <w:rsid w:val="00CC7889"/>
    <w:rsid w:val="00D1261C"/>
    <w:rsid w:val="00D33FAF"/>
    <w:rsid w:val="00D4292F"/>
    <w:rsid w:val="00D75DCE"/>
    <w:rsid w:val="00D8065D"/>
    <w:rsid w:val="00DD35AC"/>
    <w:rsid w:val="00DD479F"/>
    <w:rsid w:val="00E15E48"/>
    <w:rsid w:val="00E52546"/>
    <w:rsid w:val="00EB0723"/>
    <w:rsid w:val="00EE4AED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31271D6-E426-48F1-B847-8A5708D0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72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-E Fußnotenzeichen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278AB-858E-4C39-9804-2BAB706E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Stepanova</dc:creator>
  <cp:lastModifiedBy>Lucille</cp:lastModifiedBy>
  <cp:revision>2</cp:revision>
  <cp:lastPrinted>2016-11-02T16:56:00Z</cp:lastPrinted>
  <dcterms:created xsi:type="dcterms:W3CDTF">2017-01-06T10:49:00Z</dcterms:created>
  <dcterms:modified xsi:type="dcterms:W3CDTF">2017-01-06T10:49:00Z</dcterms:modified>
</cp:coreProperties>
</file>