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35214A" w:rsidTr="00A27C92">
        <w:trPr>
          <w:trHeight w:hRule="exact" w:val="851"/>
        </w:trPr>
        <w:tc>
          <w:tcPr>
            <w:tcW w:w="9639" w:type="dxa"/>
            <w:gridSpan w:val="2"/>
            <w:tcBorders>
              <w:bottom w:val="single" w:sz="4" w:space="0" w:color="auto"/>
            </w:tcBorders>
            <w:shd w:val="clear" w:color="auto" w:fill="auto"/>
            <w:vAlign w:val="bottom"/>
          </w:tcPr>
          <w:p w:rsidR="0035214A" w:rsidRPr="0035214A" w:rsidRDefault="0035214A" w:rsidP="0035214A">
            <w:pPr>
              <w:jc w:val="right"/>
              <w:rPr>
                <w:lang w:val="en-US"/>
              </w:rPr>
            </w:pPr>
            <w:bookmarkStart w:id="0" w:name="_GoBack"/>
            <w:bookmarkEnd w:id="0"/>
            <w:r w:rsidRPr="0035214A">
              <w:rPr>
                <w:sz w:val="40"/>
                <w:lang w:val="en-US"/>
              </w:rPr>
              <w:t>E</w:t>
            </w:r>
            <w:r w:rsidRPr="0035214A">
              <w:rPr>
                <w:lang w:val="en-US"/>
              </w:rPr>
              <w:t>/ECE/324/Rev.2/Add.106/Rev.6/Amend.6−</w:t>
            </w:r>
            <w:r w:rsidRPr="0035214A">
              <w:rPr>
                <w:sz w:val="40"/>
                <w:lang w:val="en-US"/>
              </w:rPr>
              <w:t>E</w:t>
            </w:r>
            <w:r w:rsidRPr="0035214A">
              <w:rPr>
                <w:lang w:val="en-US"/>
              </w:rPr>
              <w:t>/ECE/TRANS/505/Rev.2/Add.106/Rev.6/Amend.6</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35214A"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35214A" w:rsidP="00A27C92">
            <w:pPr>
              <w:spacing w:before="480" w:line="240" w:lineRule="exact"/>
            </w:pPr>
            <w:r>
              <w:t>28 juillet 2017</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Concernant l’adoption de prescriptions techniques uniformes applicables aux véhicules à roues, aux équipements et aux pièces susceptibles d’être montés ou utilisés sur un véhicule à roues</w:t>
      </w:r>
      <w:r w:rsidR="00553E57">
        <w:t xml:space="preserve"> </w:t>
      </w:r>
      <w:r w:rsidR="00421A10">
        <w:br/>
      </w:r>
      <w:r w:rsidR="00421A10" w:rsidRPr="00583D68">
        <w:t>et les conditions de reconnaissance réciproque des homologations délivrées conformément à ces prescriptions</w:t>
      </w:r>
      <w:r w:rsidR="00442E31" w:rsidRPr="00D31896">
        <w:rPr>
          <w:rStyle w:val="FootnoteReference"/>
          <w:b w:val="0"/>
          <w:sz w:val="20"/>
          <w:vertAlign w:val="baseline"/>
        </w:rPr>
        <w:footnoteReference w:customMarkFollows="1" w:id="2"/>
        <w:t>*</w:t>
      </w:r>
    </w:p>
    <w:p w:rsidR="00421A10" w:rsidRPr="00A12483" w:rsidRDefault="00D70729" w:rsidP="0029791D">
      <w:pPr>
        <w:pStyle w:val="SingleTxtG"/>
        <w:jc w:val="left"/>
        <w:rPr>
          <w:b/>
          <w:sz w:val="24"/>
          <w:szCs w:val="24"/>
        </w:rPr>
      </w:pPr>
      <w:r w:rsidRPr="0035214A">
        <w:rPr>
          <w:lang w:val="fr-FR"/>
        </w:rPr>
        <w:t>(Révision 2, comprenant les amendements entrés en vigueur le 16 octobre 1995)</w:t>
      </w:r>
    </w:p>
    <w:p w:rsidR="00421A10" w:rsidRPr="006549FF" w:rsidRDefault="0029791D" w:rsidP="0029791D">
      <w:pPr>
        <w:jc w:val="center"/>
      </w:pPr>
      <w:r>
        <w:t>_______________</w:t>
      </w:r>
    </w:p>
    <w:p w:rsidR="00421A10" w:rsidRPr="006549FF" w:rsidRDefault="0029791D" w:rsidP="0029791D">
      <w:pPr>
        <w:pStyle w:val="HChG"/>
      </w:pPr>
      <w:r>
        <w:tab/>
      </w:r>
      <w:r>
        <w:tab/>
      </w:r>
      <w:r w:rsidR="00D70729" w:rsidRPr="0035214A">
        <w:rPr>
          <w:lang w:val="fr-FR"/>
        </w:rPr>
        <w:t xml:space="preserve">Additif 106 : Règlement </w:t>
      </w:r>
      <w:r w:rsidR="0035214A" w:rsidRPr="0035214A">
        <w:rPr>
          <w:rFonts w:eastAsia="MS Mincho"/>
          <w:szCs w:val="22"/>
          <w:lang w:val="fr-FR"/>
        </w:rPr>
        <w:t>n</w:t>
      </w:r>
      <w:r w:rsidR="0035214A" w:rsidRPr="0035214A">
        <w:rPr>
          <w:rFonts w:eastAsia="MS Mincho"/>
          <w:szCs w:val="22"/>
          <w:vertAlign w:val="superscript"/>
          <w:lang w:val="fr-FR"/>
        </w:rPr>
        <w:t>o</w:t>
      </w:r>
      <w:r w:rsidR="0035214A">
        <w:rPr>
          <w:lang w:val="fr-FR"/>
        </w:rPr>
        <w:t> </w:t>
      </w:r>
      <w:r w:rsidR="00D70729" w:rsidRPr="0035214A">
        <w:rPr>
          <w:lang w:val="fr-FR"/>
        </w:rPr>
        <w:t>107</w:t>
      </w:r>
    </w:p>
    <w:p w:rsidR="00421A10" w:rsidRDefault="0029791D" w:rsidP="0029791D">
      <w:pPr>
        <w:pStyle w:val="H1G"/>
        <w:rPr>
          <w:lang w:val="fr-FR"/>
        </w:rPr>
      </w:pPr>
      <w:r>
        <w:tab/>
      </w:r>
      <w:r>
        <w:tab/>
      </w:r>
      <w:r w:rsidR="00D70729" w:rsidRPr="0035214A">
        <w:rPr>
          <w:lang w:val="fr-FR"/>
        </w:rPr>
        <w:t xml:space="preserve">Révision 6 </w:t>
      </w:r>
      <w:r w:rsidR="0035214A">
        <w:rPr>
          <w:lang w:val="fr-FR"/>
        </w:rPr>
        <w:t>−</w:t>
      </w:r>
      <w:r w:rsidR="00D70729" w:rsidRPr="0035214A">
        <w:rPr>
          <w:lang w:val="fr-FR"/>
        </w:rPr>
        <w:t xml:space="preserve"> Amendement 6</w:t>
      </w:r>
    </w:p>
    <w:p w:rsidR="0035214A" w:rsidRPr="0035214A" w:rsidRDefault="0035214A" w:rsidP="0035214A">
      <w:pPr>
        <w:pStyle w:val="SingleTxtG"/>
        <w:rPr>
          <w:lang w:val="fr-FR"/>
        </w:rPr>
      </w:pPr>
      <w:r>
        <w:rPr>
          <w:lang w:val="fr-FR"/>
        </w:rPr>
        <w:t>Complément 6 à la série 6 d’amendements − Date d’entrée en vigueur : 22 juin 2017</w:t>
      </w:r>
    </w:p>
    <w:p w:rsidR="00421A10" w:rsidRDefault="0029791D" w:rsidP="0029791D">
      <w:pPr>
        <w:pStyle w:val="H1G"/>
      </w:pPr>
      <w:r>
        <w:tab/>
      </w:r>
      <w:r>
        <w:tab/>
      </w:r>
      <w:r w:rsidR="00D70729" w:rsidRPr="0035214A">
        <w:rPr>
          <w:lang w:val="fr-FR"/>
        </w:rPr>
        <w:t>Prescriptions uniformes relatives à l</w:t>
      </w:r>
      <w:r w:rsidR="00553E57">
        <w:rPr>
          <w:lang w:val="fr-FR"/>
        </w:rPr>
        <w:t>’</w:t>
      </w:r>
      <w:r w:rsidR="00D70729" w:rsidRPr="0035214A">
        <w:rPr>
          <w:lang w:val="fr-FR"/>
        </w:rPr>
        <w:t xml:space="preserve">homologation des véhicules </w:t>
      </w:r>
      <w:r w:rsidR="0035214A">
        <w:rPr>
          <w:lang w:val="fr-FR"/>
        </w:rPr>
        <w:br/>
      </w:r>
      <w:r w:rsidR="00D70729" w:rsidRPr="0035214A">
        <w:rPr>
          <w:lang w:val="fr-FR"/>
        </w:rPr>
        <w:t>des catégories M</w:t>
      </w:r>
      <w:r w:rsidR="00D70729" w:rsidRPr="0035214A">
        <w:rPr>
          <w:vertAlign w:val="subscript"/>
          <w:lang w:val="fr-FR"/>
        </w:rPr>
        <w:t>2</w:t>
      </w:r>
      <w:r w:rsidR="00D70729" w:rsidRPr="0035214A">
        <w:rPr>
          <w:lang w:val="fr-FR"/>
        </w:rPr>
        <w:t xml:space="preserve"> ou M</w:t>
      </w:r>
      <w:r w:rsidR="00D70729" w:rsidRPr="0035214A">
        <w:rPr>
          <w:vertAlign w:val="subscript"/>
          <w:lang w:val="fr-FR"/>
        </w:rPr>
        <w:t>3</w:t>
      </w:r>
      <w:r w:rsidR="00D70729" w:rsidRPr="0035214A">
        <w:rPr>
          <w:lang w:val="fr-FR"/>
        </w:rPr>
        <w:t xml:space="preserve"> en ce qui concerne leurs caractéristiques générales de construction</w:t>
      </w:r>
    </w:p>
    <w:p w:rsidR="0035214A" w:rsidRPr="0035214A" w:rsidRDefault="00D70729" w:rsidP="0035214A">
      <w:pPr>
        <w:pStyle w:val="SingleTxtG"/>
        <w:ind w:firstLine="567"/>
      </w:pPr>
      <w:r w:rsidRPr="0035214A">
        <w:rPr>
          <w:lang w:val="fr-FR"/>
        </w:rPr>
        <w:t>Ce document est seulement un outil documentaire. Le texte authentique, juridiquement contraignant, est celui du document suivant : ECE/TRANS/WP.29/2016/93.</w:t>
      </w:r>
      <w:r w:rsidR="00442E31" w:rsidRPr="0035214A">
        <w:rPr>
          <w:noProof/>
          <w:lang w:val="en-GB" w:eastAsia="en-GB"/>
        </w:rPr>
        <mc:AlternateContent>
          <mc:Choice Requires="wps">
            <w:drawing>
              <wp:anchor distT="0" distB="0" distL="114300" distR="114300" simplePos="0" relativeHeight="251659264" behindDoc="0" locked="0" layoutInCell="1" allowOverlap="1" wp14:anchorId="4D85F320" wp14:editId="26CCF6CE">
                <wp:simplePos x="0" y="0"/>
                <wp:positionH relativeFrom="margin">
                  <wp:posOffset>0</wp:posOffset>
                </wp:positionH>
                <wp:positionV relativeFrom="margin">
                  <wp:posOffset>7021195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35214A">
                            <w:pPr>
                              <w:ind w:left="1134" w:right="1134"/>
                              <w:jc w:val="center"/>
                            </w:pPr>
                            <w:r>
                              <w:t>_______________</w:t>
                            </w:r>
                          </w:p>
                          <w:p w:rsidR="00442E31" w:rsidRDefault="00442E31" w:rsidP="0035214A">
                            <w:pPr>
                              <w:jc w:val="center"/>
                              <w:rPr>
                                <w:b/>
                                <w:bCs/>
                                <w:sz w:val="22"/>
                              </w:rPr>
                            </w:pPr>
                            <w:r>
                              <w:rPr>
                                <w:noProof/>
                                <w:lang w:val="en-GB" w:eastAsia="en-GB"/>
                              </w:rPr>
                              <w:drawing>
                                <wp:inline distT="0" distB="0" distL="0" distR="0" wp14:anchorId="1CD16E9D" wp14:editId="298D3C93">
                                  <wp:extent cx="914400" cy="7715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35214A">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left:0;text-align:left;margin-left:0;margin-top:552.85pt;width:481.9pt;height:9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" stroked="f">
                <v:textbox inset="0,0,0,0">
                  <w:txbxContent>
                    <w:p w:rsidR="00442E31" w:rsidRPr="0029791D" w:rsidRDefault="00442E31" w:rsidP="0035214A">
                      <w:pPr>
                        <w:ind w:left="1134" w:right="1134"/>
                        <w:jc w:val="center"/>
                      </w:pPr>
                      <w:r>
                        <w:t>_______________</w:t>
                      </w:r>
                    </w:p>
                    <w:p w:rsidR="00442E31" w:rsidRDefault="00442E31" w:rsidP="0035214A">
                      <w:pPr>
                        <w:jc w:val="center"/>
                        <w:rPr>
                          <w:b/>
                          <w:bCs/>
                          <w:sz w:val="22"/>
                        </w:rPr>
                      </w:pPr>
                      <w:r>
                        <w:rPr>
                          <w:noProof/>
                          <w:lang w:val="en-GB" w:eastAsia="en-GB"/>
                        </w:rPr>
                        <w:drawing>
                          <wp:inline distT="0" distB="0" distL="0" distR="0" wp14:anchorId="1CD16E9D" wp14:editId="298D3C93">
                            <wp:extent cx="914400" cy="7715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35214A">
                      <w:pPr>
                        <w:jc w:val="center"/>
                      </w:pPr>
                      <w:r w:rsidRPr="0029791D">
                        <w:rPr>
                          <w:b/>
                          <w:bCs/>
                          <w:sz w:val="24"/>
                          <w:szCs w:val="24"/>
                        </w:rPr>
                        <w:t>Nations Unies</w:t>
                      </w:r>
                    </w:p>
                  </w:txbxContent>
                </v:textbox>
                <w10:wrap anchorx="margin" anchory="margin"/>
              </v:shape>
            </w:pict>
          </mc:Fallback>
        </mc:AlternateContent>
      </w:r>
    </w:p>
    <w:p w:rsidR="0035214A" w:rsidRPr="0035214A" w:rsidRDefault="0035214A" w:rsidP="00D31896">
      <w:pPr>
        <w:pStyle w:val="SingleTxtG"/>
        <w:rPr>
          <w:i/>
          <w:iCs/>
        </w:rPr>
      </w:pPr>
      <w:r>
        <w:br w:type="page"/>
      </w:r>
      <w:r w:rsidRPr="0035214A">
        <w:rPr>
          <w:i/>
          <w:lang w:val="fr-FR"/>
        </w:rPr>
        <w:lastRenderedPageBreak/>
        <w:t>Annexe 3</w:t>
      </w:r>
    </w:p>
    <w:p w:rsidR="0035214A" w:rsidRPr="002A3787" w:rsidRDefault="0035214A" w:rsidP="00D31896">
      <w:pPr>
        <w:pStyle w:val="SingleTxtG"/>
      </w:pPr>
      <w:r w:rsidRPr="0035214A">
        <w:rPr>
          <w:i/>
          <w:lang w:val="fr-FR"/>
        </w:rPr>
        <w:t>Paragraphe</w:t>
      </w:r>
      <w:r>
        <w:rPr>
          <w:i/>
          <w:iCs/>
          <w:lang w:val="fr-FR"/>
        </w:rPr>
        <w:t xml:space="preserve"> 7.7.5.1</w:t>
      </w:r>
      <w:r>
        <w:rPr>
          <w:lang w:val="fr-FR"/>
        </w:rPr>
        <w:t>, modifier comme suit :</w:t>
      </w:r>
    </w:p>
    <w:p w:rsidR="0035214A" w:rsidRPr="002A3787" w:rsidRDefault="00EF5096" w:rsidP="00D31896">
      <w:pPr>
        <w:pStyle w:val="SingleTxtG"/>
      </w:pPr>
      <w:r>
        <w:rPr>
          <w:lang w:val="fr-FR"/>
        </w:rPr>
        <w:t>« </w:t>
      </w:r>
      <w:r w:rsidR="0035214A">
        <w:rPr>
          <w:lang w:val="fr-FR"/>
        </w:rPr>
        <w:t>7.7.5.1</w:t>
      </w:r>
      <w:r w:rsidR="0035214A">
        <w:rPr>
          <w:lang w:val="fr-FR"/>
        </w:rPr>
        <w:tab/>
        <w:t>…</w:t>
      </w:r>
    </w:p>
    <w:p w:rsidR="0035214A" w:rsidRPr="002A3787" w:rsidRDefault="0035214A" w:rsidP="00D31896">
      <w:pPr>
        <w:pStyle w:val="SingleTxtG"/>
        <w:ind w:left="2268"/>
      </w:pPr>
      <w:r>
        <w:rPr>
          <w:lang w:val="fr-FR"/>
        </w:rPr>
        <w:t xml:space="preserve">Dans les véhicules des classes II, III et B, le gabarit conforme à la figure 6 de l’annexe 4 peut entrer en contact avec un écran vidéo ou dispositif </w:t>
      </w:r>
      <w:r w:rsidRPr="0035214A">
        <w:rPr>
          <w:rFonts w:eastAsia="Times New Roman"/>
        </w:rPr>
        <w:t>d’affichage</w:t>
      </w:r>
      <w:r>
        <w:rPr>
          <w:lang w:val="fr-FR"/>
        </w:rPr>
        <w:t xml:space="preserve"> suspendu du plafond au-dessus de l’allée. La force maximale nécessaire pour écarter l’écran ou le dispositif d’affichage du passage de manière à le libérer, lorsque le gabarit est déplacé le long de l’allée dans les deux sens, ne doit pas dépasser 35 N. Cette force maximale doit être exercée au milieu du bord inférieur de l’écran vidéo ou du dispositif d’affichage, dans les deux sens successivement, jusqu’à ce que l’écran ou le dispositif soit parvenu à une position qui permette le libre passage du gabarit. Une fois écarté du passage, l’écran ou le dispositif doit rester </w:t>
      </w:r>
      <w:r w:rsidR="00A66EF1">
        <w:rPr>
          <w:lang w:val="fr-FR"/>
        </w:rPr>
        <w:t>dans</w:t>
      </w:r>
      <w:r>
        <w:rPr>
          <w:lang w:val="fr-FR"/>
        </w:rPr>
        <w:t xml:space="preserve"> sa position et ne pas revenir en place automatiquement.</w:t>
      </w:r>
    </w:p>
    <w:p w:rsidR="0035214A" w:rsidRPr="002A3787" w:rsidRDefault="0035214A" w:rsidP="00D31896">
      <w:pPr>
        <w:pStyle w:val="SingleTxtG"/>
        <w:ind w:left="2268"/>
        <w:rPr>
          <w:bCs/>
          <w:iCs/>
        </w:rPr>
      </w:pPr>
      <w:r>
        <w:rPr>
          <w:lang w:val="fr-FR"/>
        </w:rPr>
        <w:t>Si un véhicule de la classe I, II ou A est équipé d’une barrière, le gabarit conforme à la figure 6 de l’annexe 4 peut entrer en contact avec cette barrière si la force maximale nécessaire pour écarter la barrière de manière à libérer le passage ne dépasse pas 50 N lorsqu’elle est mesurée au point de contact entre le gabarit conforme à la figure 6 de l’annexe 4 et la barrière et appliquée perpendiculairement à la barrière.</w:t>
      </w:r>
    </w:p>
    <w:p w:rsidR="0035214A" w:rsidRPr="002A3787" w:rsidRDefault="0035214A" w:rsidP="00D31896">
      <w:pPr>
        <w:pStyle w:val="SingleTxtG"/>
        <w:ind w:left="2268"/>
        <w:rPr>
          <w:bCs/>
          <w:iCs/>
        </w:rPr>
      </w:pPr>
      <w:r>
        <w:rPr>
          <w:lang w:val="fr-FR"/>
        </w:rPr>
        <w:t>La force maximale doit être appliquée dans les deux sens du déplacement du gabarit.</w:t>
      </w:r>
    </w:p>
    <w:p w:rsidR="0035214A" w:rsidRPr="002A3787" w:rsidRDefault="0035214A" w:rsidP="00D31896">
      <w:pPr>
        <w:pStyle w:val="SingleTxtG"/>
        <w:ind w:left="2268"/>
        <w:rPr>
          <w:bCs/>
          <w:iCs/>
        </w:rPr>
      </w:pPr>
      <w:r>
        <w:rPr>
          <w:lang w:val="fr-FR"/>
        </w:rPr>
        <w:t>Si le véhicule est équipé d’un élévateur adjacent à la barrière, celle-ci peut être temporairement bloquée pendant le fonctionnement de l’élévateur.</w:t>
      </w:r>
      <w:r w:rsidR="00EF5096">
        <w:rPr>
          <w:lang w:val="fr-FR"/>
        </w:rPr>
        <w:t> ».</w:t>
      </w:r>
    </w:p>
    <w:p w:rsidR="0035214A" w:rsidRPr="002A3787" w:rsidRDefault="0035214A" w:rsidP="00D31896">
      <w:pPr>
        <w:pStyle w:val="SingleTxtG"/>
      </w:pPr>
      <w:r w:rsidRPr="0035214A">
        <w:rPr>
          <w:i/>
          <w:lang w:val="fr-FR"/>
        </w:rPr>
        <w:t>Paragraphes</w:t>
      </w:r>
      <w:r>
        <w:rPr>
          <w:i/>
          <w:iCs/>
          <w:lang w:val="fr-FR"/>
        </w:rPr>
        <w:t xml:space="preserve"> 7.7.8.4 à 7.7.8.4.2</w:t>
      </w:r>
      <w:r>
        <w:rPr>
          <w:lang w:val="fr-FR"/>
        </w:rPr>
        <w:t>, modifier comme suit :</w:t>
      </w:r>
    </w:p>
    <w:p w:rsidR="0035214A" w:rsidRPr="002A3787" w:rsidRDefault="00EF5096" w:rsidP="00D31896">
      <w:pPr>
        <w:pStyle w:val="SingleTxtG"/>
      </w:pPr>
      <w:r>
        <w:rPr>
          <w:lang w:val="fr-FR"/>
        </w:rPr>
        <w:t>« </w:t>
      </w:r>
      <w:r w:rsidR="0035214A">
        <w:rPr>
          <w:lang w:val="fr-FR"/>
        </w:rPr>
        <w:t>7.7.8.4</w:t>
      </w:r>
      <w:r w:rsidR="0035214A">
        <w:rPr>
          <w:lang w:val="fr-FR"/>
        </w:rPr>
        <w:tab/>
        <w:t>Espacement des sièges (voir annexe 4, fig</w:t>
      </w:r>
      <w:r w:rsidR="00D31896">
        <w:rPr>
          <w:lang w:val="fr-FR"/>
        </w:rPr>
        <w:t>. </w:t>
      </w:r>
      <w:r w:rsidR="0035214A">
        <w:rPr>
          <w:lang w:val="fr-FR"/>
        </w:rPr>
        <w:t>12A et 12B)</w:t>
      </w:r>
    </w:p>
    <w:p w:rsidR="0035214A" w:rsidRPr="002A3787" w:rsidRDefault="00553E57" w:rsidP="00D31896">
      <w:pPr>
        <w:pStyle w:val="SingleTxtG"/>
        <w:ind w:left="2268" w:hanging="1134"/>
      </w:pPr>
      <w:r>
        <w:rPr>
          <w:lang w:val="fr-FR"/>
        </w:rPr>
        <w:t>7.7.8.4.1</w:t>
      </w:r>
      <w:r w:rsidR="0035214A">
        <w:rPr>
          <w:lang w:val="fr-FR"/>
        </w:rPr>
        <w:tab/>
        <w:t xml:space="preserve">Dans le cas de sièges orientés dans le même sens, la distance entre la face avant du dossier d’un siège et la face arrière du dossier du siège qui </w:t>
      </w:r>
      <w:r w:rsidR="0035214A" w:rsidRPr="0035214A">
        <w:rPr>
          <w:rFonts w:eastAsia="Times New Roman"/>
        </w:rPr>
        <w:t>le</w:t>
      </w:r>
      <w:r w:rsidR="0035214A">
        <w:rPr>
          <w:lang w:val="fr-FR"/>
        </w:rPr>
        <w:t xml:space="preserve"> précède </w:t>
      </w:r>
      <w:r w:rsidR="0035214A" w:rsidRPr="0035214A">
        <w:rPr>
          <w:rFonts w:eastAsia="Times New Roman"/>
        </w:rPr>
        <w:t>(</w:t>
      </w:r>
      <w:r w:rsidR="0035214A">
        <w:rPr>
          <w:lang w:val="fr-FR"/>
        </w:rPr>
        <w:t>dimension H), mesurée horizontalement, parallèlement au plan longitudinal du véhicule et à toute hauteur comprise entre le niveau de la face supérieure du coussin et un point situé à 620 mm au-dessus du plancher, ne doit pas être inférieure à :</w:t>
      </w:r>
    </w:p>
    <w:tbl>
      <w:tblPr>
        <w:tblW w:w="6240"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400"/>
        <w:gridCol w:w="1840"/>
      </w:tblGrid>
      <w:tr w:rsidR="0035214A" w:rsidRPr="002A5F7C" w:rsidTr="00103AF9">
        <w:trPr>
          <w:tblHeader/>
        </w:trPr>
        <w:tc>
          <w:tcPr>
            <w:tcW w:w="6233" w:type="dxa"/>
            <w:gridSpan w:val="2"/>
            <w:tcBorders>
              <w:top w:val="single" w:sz="2" w:space="0" w:color="auto"/>
              <w:left w:val="single" w:sz="2" w:space="0" w:color="auto"/>
              <w:bottom w:val="single" w:sz="12" w:space="0" w:color="auto"/>
              <w:right w:val="single" w:sz="2" w:space="0" w:color="auto"/>
            </w:tcBorders>
            <w:vAlign w:val="bottom"/>
            <w:hideMark/>
          </w:tcPr>
          <w:p w:rsidR="0035214A" w:rsidRPr="002A5F7C" w:rsidRDefault="0035214A" w:rsidP="0035214A">
            <w:pPr>
              <w:spacing w:before="80" w:after="80" w:line="200" w:lineRule="exact"/>
              <w:ind w:left="113" w:right="113"/>
              <w:rPr>
                <w:i/>
                <w:sz w:val="16"/>
                <w:szCs w:val="24"/>
              </w:rPr>
            </w:pPr>
            <w:r w:rsidRPr="0035214A">
              <w:rPr>
                <w:rFonts w:eastAsia="Times New Roman"/>
                <w:i/>
                <w:sz w:val="16"/>
                <w:lang w:val="ru-RU"/>
              </w:rPr>
              <w:t>H</w:t>
            </w:r>
          </w:p>
        </w:tc>
      </w:tr>
      <w:tr w:rsidR="0035214A" w:rsidRPr="002A5F7C" w:rsidTr="00103AF9">
        <w:tc>
          <w:tcPr>
            <w:tcW w:w="4395" w:type="dxa"/>
            <w:tcBorders>
              <w:top w:val="single" w:sz="12" w:space="0" w:color="auto"/>
              <w:left w:val="single" w:sz="2" w:space="0" w:color="auto"/>
              <w:bottom w:val="single" w:sz="2" w:space="0" w:color="auto"/>
              <w:right w:val="single" w:sz="2" w:space="0" w:color="auto"/>
            </w:tcBorders>
            <w:hideMark/>
          </w:tcPr>
          <w:p w:rsidR="0035214A" w:rsidRPr="0035214A" w:rsidRDefault="0035214A" w:rsidP="0035214A">
            <w:pPr>
              <w:spacing w:before="40" w:after="120"/>
              <w:ind w:left="113" w:right="113"/>
              <w:rPr>
                <w:rFonts w:eastAsia="Times New Roman"/>
                <w:lang w:val="en-GB"/>
              </w:rPr>
            </w:pPr>
            <w:r w:rsidRPr="0035214A">
              <w:rPr>
                <w:rFonts w:eastAsia="Times New Roman"/>
                <w:lang w:val="en-GB"/>
              </w:rPr>
              <w:t>Classes I, A et B</w:t>
            </w:r>
          </w:p>
        </w:tc>
        <w:tc>
          <w:tcPr>
            <w:tcW w:w="1838" w:type="dxa"/>
            <w:tcBorders>
              <w:top w:val="single" w:sz="12" w:space="0" w:color="auto"/>
              <w:left w:val="single" w:sz="2" w:space="0" w:color="auto"/>
              <w:bottom w:val="single" w:sz="2" w:space="0" w:color="auto"/>
              <w:right w:val="single" w:sz="2" w:space="0" w:color="auto"/>
            </w:tcBorders>
            <w:hideMark/>
          </w:tcPr>
          <w:p w:rsidR="0035214A" w:rsidRPr="0035214A" w:rsidRDefault="0035214A" w:rsidP="0035214A">
            <w:pPr>
              <w:spacing w:before="40" w:after="120"/>
              <w:ind w:left="113" w:right="113"/>
              <w:rPr>
                <w:rFonts w:eastAsia="Times New Roman"/>
                <w:lang w:val="ru-RU"/>
              </w:rPr>
            </w:pPr>
            <w:r w:rsidRPr="0035214A">
              <w:rPr>
                <w:rFonts w:eastAsia="Times New Roman"/>
                <w:lang w:val="ru-RU"/>
              </w:rPr>
              <w:t>650 mm</w:t>
            </w:r>
          </w:p>
        </w:tc>
      </w:tr>
      <w:tr w:rsidR="0035214A" w:rsidRPr="002A5F7C" w:rsidTr="00103AF9">
        <w:tc>
          <w:tcPr>
            <w:tcW w:w="4395" w:type="dxa"/>
            <w:tcBorders>
              <w:top w:val="single" w:sz="2" w:space="0" w:color="auto"/>
              <w:left w:val="single" w:sz="2" w:space="0" w:color="auto"/>
              <w:bottom w:val="single" w:sz="12" w:space="0" w:color="auto"/>
              <w:right w:val="single" w:sz="2" w:space="0" w:color="auto"/>
            </w:tcBorders>
            <w:hideMark/>
          </w:tcPr>
          <w:p w:rsidR="0035214A" w:rsidRPr="0035214A" w:rsidRDefault="0035214A" w:rsidP="0035214A">
            <w:pPr>
              <w:spacing w:before="40" w:after="120"/>
              <w:ind w:left="113" w:right="113"/>
              <w:rPr>
                <w:rFonts w:eastAsia="Times New Roman"/>
                <w:lang w:val="en-GB"/>
              </w:rPr>
            </w:pPr>
            <w:r w:rsidRPr="0035214A">
              <w:rPr>
                <w:rFonts w:eastAsia="Times New Roman"/>
                <w:lang w:val="en-GB"/>
              </w:rPr>
              <w:t>Classes II et III</w:t>
            </w:r>
          </w:p>
        </w:tc>
        <w:tc>
          <w:tcPr>
            <w:tcW w:w="1838" w:type="dxa"/>
            <w:tcBorders>
              <w:top w:val="single" w:sz="2" w:space="0" w:color="auto"/>
              <w:left w:val="single" w:sz="2" w:space="0" w:color="auto"/>
              <w:bottom w:val="single" w:sz="12" w:space="0" w:color="auto"/>
              <w:right w:val="single" w:sz="2" w:space="0" w:color="auto"/>
            </w:tcBorders>
            <w:hideMark/>
          </w:tcPr>
          <w:p w:rsidR="0035214A" w:rsidRPr="0035214A" w:rsidRDefault="0035214A" w:rsidP="0035214A">
            <w:pPr>
              <w:spacing w:before="40" w:after="120"/>
              <w:ind w:left="113" w:right="113"/>
              <w:rPr>
                <w:rFonts w:eastAsia="Times New Roman"/>
                <w:lang w:val="ru-RU"/>
              </w:rPr>
            </w:pPr>
            <w:r w:rsidRPr="0035214A">
              <w:rPr>
                <w:rFonts w:eastAsia="Times New Roman"/>
                <w:lang w:val="ru-RU"/>
              </w:rPr>
              <w:t>680 mm</w:t>
            </w:r>
          </w:p>
        </w:tc>
      </w:tr>
    </w:tbl>
    <w:p w:rsidR="0035214A" w:rsidRPr="002A3787" w:rsidRDefault="0035214A" w:rsidP="00D31896">
      <w:pPr>
        <w:pStyle w:val="SingleTxtG"/>
        <w:spacing w:before="120"/>
        <w:ind w:left="2268" w:hanging="1134"/>
      </w:pPr>
      <w:r>
        <w:rPr>
          <w:lang w:val="fr-FR"/>
        </w:rPr>
        <w:t>7.7.8.4.2</w:t>
      </w:r>
      <w:r>
        <w:rPr>
          <w:lang w:val="fr-FR"/>
        </w:rPr>
        <w:tab/>
        <w:t>Toutes les dimensions doivent être mesurées coussins et dossiers non comprimés, à l’aide du gabarit de contrôle conforme à la figure 12B de l’annexe 4.</w:t>
      </w:r>
      <w:r w:rsidR="00EF5096">
        <w:rPr>
          <w:lang w:val="fr-FR"/>
        </w:rPr>
        <w:t> ».</w:t>
      </w:r>
    </w:p>
    <w:p w:rsidR="0035214A" w:rsidRPr="002A3787" w:rsidRDefault="0035214A" w:rsidP="00D31896">
      <w:pPr>
        <w:pStyle w:val="SingleTxtG"/>
      </w:pPr>
      <w:r w:rsidRPr="0035214A">
        <w:rPr>
          <w:i/>
          <w:lang w:val="fr-FR"/>
        </w:rPr>
        <w:t>Paragraphe</w:t>
      </w:r>
      <w:r>
        <w:rPr>
          <w:i/>
          <w:iCs/>
          <w:lang w:val="fr-FR"/>
        </w:rPr>
        <w:t xml:space="preserve"> 7.7.8.5.3</w:t>
      </w:r>
      <w:r>
        <w:rPr>
          <w:lang w:val="fr-FR"/>
        </w:rPr>
        <w:t>, lire :</w:t>
      </w:r>
    </w:p>
    <w:p w:rsidR="0035214A" w:rsidRPr="002A3787" w:rsidRDefault="00EF5096" w:rsidP="00D31896">
      <w:pPr>
        <w:pStyle w:val="SingleTxtG"/>
        <w:ind w:left="2268" w:hanging="1134"/>
      </w:pPr>
      <w:r>
        <w:rPr>
          <w:lang w:val="fr-FR"/>
        </w:rPr>
        <w:t>« </w:t>
      </w:r>
      <w:r w:rsidR="0035214A">
        <w:rPr>
          <w:lang w:val="fr-FR"/>
        </w:rPr>
        <w:t>7.7.8.5.3</w:t>
      </w:r>
      <w:r w:rsidR="0035214A">
        <w:rPr>
          <w:lang w:val="fr-FR"/>
        </w:rPr>
        <w:tab/>
        <w:t>Le nombre minimal de places prioritaires satisfaisant aux prescriptions de l</w:t>
      </w:r>
      <w:r w:rsidR="00553E57">
        <w:rPr>
          <w:lang w:val="fr-FR"/>
        </w:rPr>
        <w:t>’</w:t>
      </w:r>
      <w:r w:rsidR="00D31896">
        <w:rPr>
          <w:lang w:val="fr-FR"/>
        </w:rPr>
        <w:t>annexe 8, paragraphe 3.</w:t>
      </w:r>
      <w:r w:rsidR="0035214A">
        <w:rPr>
          <w:lang w:val="fr-FR"/>
        </w:rPr>
        <w:t xml:space="preserve">2 doit être de </w:t>
      </w:r>
      <w:r w:rsidR="00D31896">
        <w:rPr>
          <w:lang w:val="fr-FR"/>
        </w:rPr>
        <w:t>quatre</w:t>
      </w:r>
      <w:r w:rsidR="0035214A">
        <w:rPr>
          <w:lang w:val="fr-FR"/>
        </w:rPr>
        <w:t xml:space="preserve"> pour la classe I, de </w:t>
      </w:r>
      <w:r w:rsidR="00D31896">
        <w:rPr>
          <w:lang w:val="fr-FR"/>
        </w:rPr>
        <w:t>deux</w:t>
      </w:r>
      <w:r w:rsidR="0035214A">
        <w:rPr>
          <w:lang w:val="fr-FR"/>
        </w:rPr>
        <w:t xml:space="preserve"> pour la classe II et d</w:t>
      </w:r>
      <w:r w:rsidR="00553E57">
        <w:rPr>
          <w:lang w:val="fr-FR"/>
        </w:rPr>
        <w:t>’</w:t>
      </w:r>
      <w:r w:rsidR="0035214A">
        <w:rPr>
          <w:lang w:val="fr-FR"/>
        </w:rPr>
        <w:t>un pour la classe A. Dans le cas des véhicules des classes III ou B soumis aux prescriptions de l</w:t>
      </w:r>
      <w:r w:rsidR="00553E57">
        <w:rPr>
          <w:lang w:val="fr-FR"/>
        </w:rPr>
        <w:t>’</w:t>
      </w:r>
      <w:r w:rsidR="0035214A">
        <w:rPr>
          <w:lang w:val="fr-FR"/>
        </w:rPr>
        <w:t xml:space="preserve">annexe 8, le nombre minimal de places prioritaires doit être de </w:t>
      </w:r>
      <w:r w:rsidR="00D31896">
        <w:rPr>
          <w:lang w:val="fr-FR"/>
        </w:rPr>
        <w:t>deux</w:t>
      </w:r>
      <w:r w:rsidR="0035214A">
        <w:rPr>
          <w:lang w:val="fr-FR"/>
        </w:rPr>
        <w:t xml:space="preserve"> pour la classe III et d</w:t>
      </w:r>
      <w:r w:rsidR="00553E57">
        <w:rPr>
          <w:lang w:val="fr-FR"/>
        </w:rPr>
        <w:t>’</w:t>
      </w:r>
      <w:r w:rsidR="0035214A">
        <w:rPr>
          <w:lang w:val="fr-FR"/>
        </w:rPr>
        <w:t>un pour la classe B</w:t>
      </w:r>
      <w:r w:rsidR="00D31896">
        <w:rPr>
          <w:lang w:val="fr-FR"/>
        </w:rPr>
        <w:t>.</w:t>
      </w:r>
    </w:p>
    <w:p w:rsidR="0035214A" w:rsidRPr="002A3787" w:rsidRDefault="0035214A" w:rsidP="00D31896">
      <w:pPr>
        <w:pStyle w:val="SingleTxtG"/>
        <w:ind w:left="2268"/>
      </w:pPr>
      <w:r>
        <w:rPr>
          <w:lang w:val="fr-FR"/>
        </w:rPr>
        <w:t>Un strapontin repliable lorsqu’il n’est pas utilisé ne peut pas être désigné comme siège prioritaire.</w:t>
      </w:r>
      <w:r w:rsidR="00EF5096">
        <w:rPr>
          <w:lang w:val="fr-FR"/>
        </w:rPr>
        <w:t> ».</w:t>
      </w:r>
    </w:p>
    <w:p w:rsidR="0035214A" w:rsidRPr="002A3787" w:rsidRDefault="0035214A" w:rsidP="00D31896">
      <w:pPr>
        <w:pStyle w:val="SingleTxtG"/>
        <w:keepNext/>
        <w:keepLines/>
        <w:rPr>
          <w:iCs/>
        </w:rPr>
      </w:pPr>
      <w:r w:rsidRPr="0035214A">
        <w:rPr>
          <w:i/>
          <w:lang w:val="fr-FR"/>
        </w:rPr>
        <w:lastRenderedPageBreak/>
        <w:t>Annexe</w:t>
      </w:r>
      <w:r>
        <w:rPr>
          <w:i/>
          <w:iCs/>
          <w:lang w:val="fr-FR"/>
        </w:rPr>
        <w:t xml:space="preserve"> 4, </w:t>
      </w:r>
      <w:r w:rsidR="00D70729">
        <w:rPr>
          <w:i/>
          <w:iCs/>
          <w:lang w:val="fr-FR"/>
        </w:rPr>
        <w:t xml:space="preserve">figure </w:t>
      </w:r>
      <w:r>
        <w:rPr>
          <w:i/>
          <w:iCs/>
          <w:lang w:val="fr-FR"/>
        </w:rPr>
        <w:t>12</w:t>
      </w:r>
      <w:r>
        <w:rPr>
          <w:lang w:val="fr-FR"/>
        </w:rPr>
        <w:t>, modifier comme suit :</w:t>
      </w:r>
    </w:p>
    <w:p w:rsidR="0035214A" w:rsidRPr="002A3787" w:rsidRDefault="00EF5096" w:rsidP="00D31896">
      <w:pPr>
        <w:pStyle w:val="SingleTxtG"/>
        <w:keepNext/>
        <w:keepLines/>
      </w:pPr>
      <w:r>
        <w:rPr>
          <w:lang w:val="fr-FR"/>
        </w:rPr>
        <w:t>« </w:t>
      </w:r>
      <w:r w:rsidR="0035214A">
        <w:rPr>
          <w:lang w:val="fr-FR"/>
        </w:rPr>
        <w:t>Figure 12A</w:t>
      </w:r>
    </w:p>
    <w:p w:rsidR="0035214A" w:rsidRPr="002A3787" w:rsidRDefault="0035214A" w:rsidP="00D31896">
      <w:pPr>
        <w:pStyle w:val="SingleTxtG"/>
        <w:keepNext/>
        <w:keepLines/>
      </w:pPr>
      <w:r>
        <w:rPr>
          <w:lang w:val="fr-FR"/>
        </w:rPr>
        <w:t>Espacement des sièges …</w:t>
      </w:r>
    </w:p>
    <w:p w:rsidR="0035214A" w:rsidRPr="002A3787" w:rsidRDefault="0035214A" w:rsidP="00BE00FF">
      <w:pPr>
        <w:pStyle w:val="SingleTxtG"/>
        <w:spacing w:after="100"/>
      </w:pPr>
      <w:r>
        <w:rPr>
          <w:lang w:val="fr-FR"/>
        </w:rPr>
        <w:t>…</w:t>
      </w:r>
    </w:p>
    <w:p w:rsidR="0035214A" w:rsidRPr="00ED7EE0" w:rsidRDefault="00ED7EE0" w:rsidP="00ED7EE0">
      <w:pPr>
        <w:pStyle w:val="H23G"/>
        <w:rPr>
          <w:rFonts w:eastAsia="Times New Roman"/>
        </w:rPr>
      </w:pPr>
      <w:r>
        <w:rPr>
          <w:rFonts w:eastAsia="Times New Roman"/>
          <w:b w:val="0"/>
        </w:rPr>
        <w:tab/>
      </w:r>
      <w:r>
        <w:rPr>
          <w:rFonts w:eastAsia="Times New Roman"/>
          <w:b w:val="0"/>
        </w:rPr>
        <w:tab/>
      </w:r>
      <w:r w:rsidR="0035214A" w:rsidRPr="00ED7EE0">
        <w:rPr>
          <w:rFonts w:eastAsia="Times New Roman"/>
          <w:b w:val="0"/>
        </w:rPr>
        <w:t>Figure</w:t>
      </w:r>
      <w:r w:rsidR="0035214A">
        <w:rPr>
          <w:lang w:val="fr-FR"/>
        </w:rPr>
        <w:t xml:space="preserve"> 12B</w:t>
      </w:r>
      <w:r>
        <w:rPr>
          <w:lang w:val="fr-FR"/>
        </w:rPr>
        <w:t xml:space="preserve"> </w:t>
      </w:r>
      <w:r>
        <w:br/>
      </w:r>
      <w:r w:rsidR="0035214A" w:rsidRPr="00ED7EE0">
        <w:rPr>
          <w:rFonts w:eastAsia="Times New Roman"/>
        </w:rPr>
        <w:t>Gabarit de contrôle pour la dimension H (voir annexe 3, par</w:t>
      </w:r>
      <w:r w:rsidR="00D31896">
        <w:rPr>
          <w:rFonts w:eastAsia="Times New Roman"/>
        </w:rPr>
        <w:t>. </w:t>
      </w:r>
      <w:r w:rsidR="0035214A" w:rsidRPr="00ED7EE0">
        <w:rPr>
          <w:rFonts w:eastAsia="Times New Roman"/>
        </w:rPr>
        <w:t>7.7.8.4.2)</w:t>
      </w:r>
    </w:p>
    <w:p w:rsidR="0035214A" w:rsidRDefault="0035214A" w:rsidP="0035214A">
      <w:pPr>
        <w:pStyle w:val="SingleTxtG"/>
        <w:rPr>
          <w:lang w:val="fr-FR"/>
        </w:rPr>
      </w:pPr>
      <w:r>
        <w:rPr>
          <w:lang w:val="fr-FR"/>
        </w:rPr>
        <w:t>Épaisseur du gabarit : 5 mm maximum</w:t>
      </w:r>
    </w:p>
    <w:p w:rsidR="005F0207" w:rsidRDefault="006A68F1" w:rsidP="006A68F1">
      <w:pPr>
        <w:ind w:left="1134"/>
      </w:pPr>
      <w:r>
        <w:rPr>
          <w:noProof/>
          <w:lang w:val="en-GB" w:eastAsia="en-GB"/>
        </w:rPr>
        <w:drawing>
          <wp:inline distT="0" distB="0" distL="0" distR="0" wp14:anchorId="4FC3D161" wp14:editId="2EC0F66B">
            <wp:extent cx="4680000" cy="2905200"/>
            <wp:effectExtent l="0" t="0" r="635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80000" cy="2905200"/>
                    </a:xfrm>
                    <a:prstGeom prst="rect">
                      <a:avLst/>
                    </a:prstGeom>
                  </pic:spPr>
                </pic:pic>
              </a:graphicData>
            </a:graphic>
          </wp:inline>
        </w:drawing>
      </w:r>
      <w:r>
        <w:t> ».</w:t>
      </w:r>
    </w:p>
    <w:p w:rsidR="006A68F1" w:rsidRPr="006A68F1" w:rsidRDefault="006A68F1" w:rsidP="006A68F1">
      <w:pPr>
        <w:pStyle w:val="SingleTxtG"/>
        <w:spacing w:before="240" w:after="0"/>
        <w:jc w:val="center"/>
        <w:rPr>
          <w:u w:val="single"/>
        </w:rPr>
      </w:pPr>
      <w:r>
        <w:rPr>
          <w:u w:val="single"/>
        </w:rPr>
        <w:tab/>
      </w:r>
      <w:r>
        <w:rPr>
          <w:u w:val="single"/>
        </w:rPr>
        <w:tab/>
      </w:r>
      <w:r>
        <w:rPr>
          <w:u w:val="single"/>
        </w:rPr>
        <w:tab/>
      </w:r>
    </w:p>
    <w:sectPr w:rsidR="006A68F1" w:rsidRPr="006A68F1" w:rsidSect="0035214A">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154" w:rsidRDefault="00813154"/>
  </w:endnote>
  <w:endnote w:type="continuationSeparator" w:id="0">
    <w:p w:rsidR="00813154" w:rsidRDefault="00813154">
      <w:pPr>
        <w:pStyle w:val="Footer"/>
      </w:pPr>
    </w:p>
  </w:endnote>
  <w:endnote w:type="continuationNotice" w:id="1">
    <w:p w:rsidR="00813154" w:rsidRPr="00C451B9" w:rsidRDefault="00813154"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14A" w:rsidRPr="0035214A" w:rsidRDefault="0035214A" w:rsidP="0035214A">
    <w:pPr>
      <w:pStyle w:val="Footer"/>
      <w:tabs>
        <w:tab w:val="right" w:pos="9638"/>
      </w:tabs>
    </w:pPr>
    <w:r w:rsidRPr="0035214A">
      <w:rPr>
        <w:b/>
        <w:sz w:val="18"/>
      </w:rPr>
      <w:fldChar w:fldCharType="begin"/>
    </w:r>
    <w:r w:rsidRPr="0035214A">
      <w:rPr>
        <w:b/>
        <w:sz w:val="18"/>
      </w:rPr>
      <w:instrText xml:space="preserve"> PAGE  \* MERGEFORMAT </w:instrText>
    </w:r>
    <w:r w:rsidRPr="0035214A">
      <w:rPr>
        <w:b/>
        <w:sz w:val="18"/>
      </w:rPr>
      <w:fldChar w:fldCharType="separate"/>
    </w:r>
    <w:r w:rsidR="004745C5">
      <w:rPr>
        <w:b/>
        <w:noProof/>
        <w:sz w:val="18"/>
      </w:rPr>
      <w:t>2</w:t>
    </w:r>
    <w:r w:rsidRPr="0035214A">
      <w:rPr>
        <w:b/>
        <w:sz w:val="18"/>
      </w:rPr>
      <w:fldChar w:fldCharType="end"/>
    </w:r>
    <w:r>
      <w:rPr>
        <w:b/>
        <w:sz w:val="18"/>
      </w:rPr>
      <w:tab/>
    </w:r>
    <w:r>
      <w:t>GE.17-12891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14A" w:rsidRPr="0035214A" w:rsidRDefault="0035214A" w:rsidP="0035214A">
    <w:pPr>
      <w:pStyle w:val="Footer"/>
      <w:tabs>
        <w:tab w:val="right" w:pos="9638"/>
      </w:tabs>
      <w:rPr>
        <w:b/>
        <w:sz w:val="18"/>
      </w:rPr>
    </w:pPr>
    <w:r>
      <w:t>GE.17-12891</w:t>
    </w:r>
    <w:r>
      <w:tab/>
    </w:r>
    <w:r w:rsidRPr="0035214A">
      <w:rPr>
        <w:b/>
        <w:sz w:val="18"/>
      </w:rPr>
      <w:fldChar w:fldCharType="begin"/>
    </w:r>
    <w:r w:rsidRPr="0035214A">
      <w:rPr>
        <w:b/>
        <w:sz w:val="18"/>
      </w:rPr>
      <w:instrText xml:space="preserve"> PAGE  \* MERGEFORMAT </w:instrText>
    </w:r>
    <w:r w:rsidRPr="0035214A">
      <w:rPr>
        <w:b/>
        <w:sz w:val="18"/>
      </w:rPr>
      <w:fldChar w:fldCharType="separate"/>
    </w:r>
    <w:r w:rsidR="004745C5">
      <w:rPr>
        <w:b/>
        <w:noProof/>
        <w:sz w:val="18"/>
      </w:rPr>
      <w:t>3</w:t>
    </w:r>
    <w:r w:rsidRPr="0035214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F2C" w:rsidRPr="0035214A" w:rsidRDefault="0035214A" w:rsidP="0035214A">
    <w:pPr>
      <w:pStyle w:val="Footer"/>
      <w:spacing w:before="120"/>
      <w:rPr>
        <w:sz w:val="20"/>
      </w:rPr>
    </w:pPr>
    <w:r>
      <w:rPr>
        <w:sz w:val="20"/>
      </w:rPr>
      <w:t>GE.</w:t>
    </w:r>
    <w:r w:rsidR="00467F2C">
      <w:rPr>
        <w:noProof/>
        <w:lang w:val="en-GB" w:eastAsia="en-GB"/>
      </w:rPr>
      <w:drawing>
        <wp:anchor distT="0" distB="0" distL="114300" distR="114300" simplePos="0" relativeHeight="251660288"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17-12891  (F)</w:t>
    </w:r>
    <w:r w:rsidR="00304817">
      <w:rPr>
        <w:sz w:val="20"/>
      </w:rPr>
      <w:t xml:space="preserve">    120917    120917</w:t>
    </w:r>
    <w:r>
      <w:rPr>
        <w:sz w:val="20"/>
      </w:rPr>
      <w:br/>
    </w:r>
    <w:r w:rsidRPr="0035214A">
      <w:rPr>
        <w:rFonts w:ascii="C39T30Lfz" w:hAnsi="C39T30Lfz"/>
        <w:sz w:val="56"/>
      </w:rPr>
      <w:t></w:t>
    </w:r>
    <w:r w:rsidRPr="0035214A">
      <w:rPr>
        <w:rFonts w:ascii="C39T30Lfz" w:hAnsi="C39T30Lfz"/>
        <w:sz w:val="56"/>
      </w:rPr>
      <w:t></w:t>
    </w:r>
    <w:r w:rsidRPr="0035214A">
      <w:rPr>
        <w:rFonts w:ascii="C39T30Lfz" w:hAnsi="C39T30Lfz"/>
        <w:sz w:val="56"/>
      </w:rPr>
      <w:t></w:t>
    </w:r>
    <w:r w:rsidRPr="0035214A">
      <w:rPr>
        <w:rFonts w:ascii="C39T30Lfz" w:hAnsi="C39T30Lfz"/>
        <w:sz w:val="56"/>
      </w:rPr>
      <w:t></w:t>
    </w:r>
    <w:r w:rsidRPr="0035214A">
      <w:rPr>
        <w:rFonts w:ascii="C39T30Lfz" w:hAnsi="C39T30Lfz"/>
        <w:sz w:val="56"/>
      </w:rPr>
      <w:t></w:t>
    </w:r>
    <w:r w:rsidRPr="0035214A">
      <w:rPr>
        <w:rFonts w:ascii="C39T30Lfz" w:hAnsi="C39T30Lfz"/>
        <w:sz w:val="56"/>
      </w:rPr>
      <w:t></w:t>
    </w:r>
    <w:r w:rsidRPr="0035214A">
      <w:rPr>
        <w:rFonts w:ascii="C39T30Lfz" w:hAnsi="C39T30Lfz"/>
        <w:sz w:val="56"/>
      </w:rPr>
      <w:t></w:t>
    </w:r>
    <w:r w:rsidRPr="0035214A">
      <w:rPr>
        <w:rFonts w:ascii="C39T30Lfz" w:hAnsi="C39T30Lfz"/>
        <w:sz w:val="56"/>
      </w:rPr>
      <w:t></w:t>
    </w:r>
    <w:r w:rsidRPr="0035214A">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2/Add.106/Rev.6/Amend.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06/Rev.6/Amend.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154" w:rsidRPr="00D27D5E" w:rsidRDefault="00813154" w:rsidP="00D27D5E">
      <w:pPr>
        <w:tabs>
          <w:tab w:val="right" w:pos="2155"/>
        </w:tabs>
        <w:spacing w:after="80"/>
        <w:ind w:left="680"/>
        <w:rPr>
          <w:u w:val="single"/>
        </w:rPr>
      </w:pPr>
      <w:r>
        <w:rPr>
          <w:u w:val="single"/>
        </w:rPr>
        <w:tab/>
      </w:r>
    </w:p>
  </w:footnote>
  <w:footnote w:type="continuationSeparator" w:id="0">
    <w:p w:rsidR="00813154" w:rsidRPr="00D171D4" w:rsidRDefault="00813154" w:rsidP="00D171D4">
      <w:pPr>
        <w:tabs>
          <w:tab w:val="right" w:pos="2155"/>
        </w:tabs>
        <w:spacing w:after="80"/>
        <w:ind w:left="680"/>
        <w:rPr>
          <w:u w:val="single"/>
        </w:rPr>
      </w:pPr>
      <w:r w:rsidRPr="00D171D4">
        <w:rPr>
          <w:u w:val="single"/>
        </w:rPr>
        <w:tab/>
      </w:r>
    </w:p>
  </w:footnote>
  <w:footnote w:type="continuationNotice" w:id="1">
    <w:p w:rsidR="00813154" w:rsidRPr="00C451B9" w:rsidRDefault="00813154" w:rsidP="00C451B9">
      <w:pPr>
        <w:spacing w:line="240" w:lineRule="auto"/>
        <w:rPr>
          <w:sz w:val="2"/>
          <w:szCs w:val="2"/>
        </w:rPr>
      </w:pPr>
    </w:p>
  </w:footnote>
  <w:footnote w:id="2">
    <w:p w:rsidR="00442E31" w:rsidRPr="00442E31" w:rsidRDefault="00442E31">
      <w:pPr>
        <w:pStyle w:val="FootnoteText"/>
      </w:pPr>
      <w:r>
        <w:rPr>
          <w:rStyle w:val="FootnoteReference"/>
        </w:rPr>
        <w:tab/>
      </w:r>
      <w:r w:rsidRPr="00442E31">
        <w:rPr>
          <w:rStyle w:val="FootnoteReference"/>
          <w:sz w:val="20"/>
          <w:vertAlign w:val="baseline"/>
        </w:rPr>
        <w:t>*</w:t>
      </w:r>
      <w:r>
        <w:rPr>
          <w:rStyle w:val="FootnoteReference"/>
          <w:sz w:val="20"/>
          <w:vertAlign w:val="baseline"/>
        </w:rPr>
        <w:tab/>
      </w:r>
      <w:r w:rsidRPr="007817A7">
        <w:t>Ancien titre de l</w:t>
      </w:r>
      <w:r>
        <w:t>’</w:t>
      </w:r>
      <w:r w:rsidRPr="007817A7">
        <w:t>Accor</w:t>
      </w:r>
      <w:r>
        <w:t>d</w:t>
      </w:r>
      <w:r w:rsidR="00A66EF1">
        <w:t> :</w:t>
      </w:r>
      <w:r>
        <w:t xml:space="preserve">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oteur, en date, à Genève, du 20</w:t>
      </w:r>
      <w:r w:rsidR="00EF5096">
        <w:t> </w:t>
      </w:r>
      <w:r w:rsidRPr="007817A7">
        <w:t>mars 1958.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14A" w:rsidRPr="0035214A" w:rsidRDefault="0035214A">
    <w:pPr>
      <w:pStyle w:val="Header"/>
      <w:rPr>
        <w:lang w:val="en-US"/>
      </w:rPr>
    </w:pPr>
    <w:r>
      <w:fldChar w:fldCharType="begin"/>
    </w:r>
    <w:r w:rsidRPr="0035214A">
      <w:rPr>
        <w:lang w:val="en-US"/>
      </w:rPr>
      <w:instrText xml:space="preserve"> TITLE  \* MERGEFORMAT </w:instrText>
    </w:r>
    <w:r>
      <w:fldChar w:fldCharType="separate"/>
    </w:r>
    <w:r w:rsidR="004745C5">
      <w:rPr>
        <w:lang w:val="en-US"/>
      </w:rPr>
      <w:t>E/ECE/324/Rev.2/Add.106/Rev.6/Amend.6</w:t>
    </w:r>
    <w:r>
      <w:fldChar w:fldCharType="end"/>
    </w:r>
    <w:r w:rsidRPr="0035214A">
      <w:rPr>
        <w:lang w:val="en-US"/>
      </w:rPr>
      <w:br/>
    </w:r>
    <w:r>
      <w:fldChar w:fldCharType="begin"/>
    </w:r>
    <w:r w:rsidRPr="0035214A">
      <w:rPr>
        <w:lang w:val="en-US"/>
      </w:rPr>
      <w:instrText xml:space="preserve"> KEYWORDS  \* MERGEFORMAT </w:instrText>
    </w:r>
    <w:r>
      <w:fldChar w:fldCharType="separate"/>
    </w:r>
    <w:r w:rsidR="004745C5">
      <w:rPr>
        <w:lang w:val="en-US"/>
      </w:rPr>
      <w:t>E/ECE/TRANS/505/Rev.2/Add.106/Rev.6/Amend.6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14A" w:rsidRPr="0035214A" w:rsidRDefault="0035214A" w:rsidP="0035214A">
    <w:pPr>
      <w:pStyle w:val="Header"/>
      <w:jc w:val="right"/>
      <w:rPr>
        <w:lang w:val="en-US"/>
      </w:rPr>
    </w:pPr>
    <w:r>
      <w:fldChar w:fldCharType="begin"/>
    </w:r>
    <w:r w:rsidRPr="0035214A">
      <w:rPr>
        <w:lang w:val="en-US"/>
      </w:rPr>
      <w:instrText xml:space="preserve"> TITLE  \* MERGEFORMAT </w:instrText>
    </w:r>
    <w:r>
      <w:fldChar w:fldCharType="separate"/>
    </w:r>
    <w:r w:rsidR="004745C5">
      <w:rPr>
        <w:lang w:val="en-US"/>
      </w:rPr>
      <w:t>E/ECE/324/Rev.2/Add.106/Rev.6/Amend.6</w:t>
    </w:r>
    <w:r>
      <w:fldChar w:fldCharType="end"/>
    </w:r>
    <w:r w:rsidRPr="0035214A">
      <w:rPr>
        <w:lang w:val="en-US"/>
      </w:rPr>
      <w:br/>
    </w:r>
    <w:r>
      <w:fldChar w:fldCharType="begin"/>
    </w:r>
    <w:r w:rsidRPr="0035214A">
      <w:rPr>
        <w:lang w:val="en-US"/>
      </w:rPr>
      <w:instrText xml:space="preserve"> KEYWORDS  \* MERGEFORMAT </w:instrText>
    </w:r>
    <w:r>
      <w:fldChar w:fldCharType="separate"/>
    </w:r>
    <w:r w:rsidR="004745C5">
      <w:rPr>
        <w:lang w:val="en-US"/>
      </w:rPr>
      <w:t>E/ECE/TRANS/505/Rev.2/Add.106/Rev.6/Amend.6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ru-RU" w:vendorID="64" w:dllVersion="131078" w:nlCheck="1" w:checkStyle="0"/>
  <w:activeWritingStyle w:appName="MSWord" w:lang="en-GB" w:vendorID="64" w:dllVersion="131078" w:nlCheck="1" w:checkStyle="0"/>
  <w:activeWritingStyle w:appName="MSWord" w:lang="en-U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154"/>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4817"/>
    <w:rsid w:val="0030754C"/>
    <w:rsid w:val="00317E54"/>
    <w:rsid w:val="00322DF1"/>
    <w:rsid w:val="00324EBF"/>
    <w:rsid w:val="0032556C"/>
    <w:rsid w:val="00330508"/>
    <w:rsid w:val="0033286A"/>
    <w:rsid w:val="00333130"/>
    <w:rsid w:val="00346E32"/>
    <w:rsid w:val="003515AA"/>
    <w:rsid w:val="0035214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45C5"/>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3E5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8F1"/>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77A69"/>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315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66EF1"/>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E00FF"/>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0AB0"/>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1896"/>
    <w:rsid w:val="00D32B08"/>
    <w:rsid w:val="00D407D1"/>
    <w:rsid w:val="00D43E5F"/>
    <w:rsid w:val="00D51CE6"/>
    <w:rsid w:val="00D639BD"/>
    <w:rsid w:val="00D65777"/>
    <w:rsid w:val="00D66E0D"/>
    <w:rsid w:val="00D70729"/>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D7EE0"/>
    <w:rsid w:val="00EF509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4FC9"/>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16DC8799-41EB-41C2-90F1-212D4AF7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3393</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E/ECE/324/Rev.2/Add.106/Rev.6/Amend.6</vt:lpstr>
      <vt:lpstr>E/ECE/324/Rev.2/Add.106/Rev.6/Amend.6</vt:lpstr>
    </vt:vector>
  </TitlesOfParts>
  <Company>CSD</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E/ECE/324/Rev.2/Add.106/Rev.6/Amend.6</dc:title>
  <dc:creator>Pascale BEYSARD</dc:creator>
  <cp:keywords>E/ECE/TRANS/505/Rev.2/Add.106/Rev.6/Amend.6</cp:keywords>
  <cp:lastModifiedBy>Marie-Claude Collet</cp:lastModifiedBy>
  <cp:revision>3</cp:revision>
  <cp:lastPrinted>2017-10-11T13:28:00Z</cp:lastPrinted>
  <dcterms:created xsi:type="dcterms:W3CDTF">2017-10-11T13:27:00Z</dcterms:created>
  <dcterms:modified xsi:type="dcterms:W3CDTF">2017-10-11T13:28:00Z</dcterms:modified>
</cp:coreProperties>
</file>