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3162C" w:rsidTr="00A27C92">
        <w:trPr>
          <w:trHeight w:hRule="exact" w:val="851"/>
        </w:trPr>
        <w:tc>
          <w:tcPr>
            <w:tcW w:w="9639" w:type="dxa"/>
            <w:gridSpan w:val="2"/>
            <w:tcBorders>
              <w:bottom w:val="single" w:sz="4" w:space="0" w:color="auto"/>
            </w:tcBorders>
            <w:shd w:val="clear" w:color="auto" w:fill="auto"/>
            <w:vAlign w:val="bottom"/>
          </w:tcPr>
          <w:p w:rsidR="00B3162C" w:rsidRPr="00B3162C" w:rsidRDefault="00B3162C" w:rsidP="00B3162C">
            <w:pPr>
              <w:jc w:val="right"/>
              <w:rPr>
                <w:lang w:val="en-US"/>
              </w:rPr>
            </w:pPr>
            <w:bookmarkStart w:id="0" w:name="_GoBack"/>
            <w:bookmarkEnd w:id="0"/>
            <w:r w:rsidRPr="00B3162C">
              <w:rPr>
                <w:sz w:val="40"/>
                <w:lang w:val="en-US"/>
              </w:rPr>
              <w:t>E</w:t>
            </w:r>
            <w:r w:rsidRPr="00B3162C">
              <w:rPr>
                <w:lang w:val="en-US"/>
              </w:rPr>
              <w:t>/ECE/324/Rev.1/Add.98/Rev.3/Amend.3−</w:t>
            </w:r>
            <w:r w:rsidRPr="00B3162C">
              <w:rPr>
                <w:sz w:val="40"/>
                <w:lang w:val="en-US"/>
              </w:rPr>
              <w:t>E</w:t>
            </w:r>
            <w:r w:rsidRPr="00B3162C">
              <w:rPr>
                <w:lang w:val="en-US"/>
              </w:rPr>
              <w:t>/ECE/TRANS/505/Rev.1/Add.98/Rev.3/Amend.3</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B3162C"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B3162C" w:rsidP="00A27C92">
            <w:pPr>
              <w:spacing w:before="480" w:line="240" w:lineRule="exact"/>
            </w:pPr>
            <w:r>
              <w:t>26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9D4C0B">
        <w:t>’</w:t>
      </w:r>
      <w:r w:rsidR="00421A10" w:rsidRPr="00583D68">
        <w:t>adoption de prescriptions techniques uniformes applicables aux véhicules à roues, aux équipements et aux pièces susceptibles d</w:t>
      </w:r>
      <w:r w:rsidR="009D4C0B">
        <w:t>’</w:t>
      </w:r>
      <w:r w:rsidR="00421A10" w:rsidRPr="00583D68">
        <w:t>être montés ou utilisés sur un véhicule à roues</w:t>
      </w:r>
      <w:r w:rsidR="00421A10">
        <w:br/>
      </w:r>
      <w:r w:rsidR="00421A10" w:rsidRPr="00583D68">
        <w:t>et les conditions de reconnaissance réciproque des homologations délivrées conformément à ces prescriptions</w:t>
      </w:r>
      <w:r w:rsidR="00442E31" w:rsidRPr="00442E31">
        <w:rPr>
          <w:rStyle w:val="FootnoteReference"/>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B3162C">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B3162C" w:rsidRPr="006549FF" w:rsidRDefault="00B3162C" w:rsidP="00B3162C">
      <w:pPr>
        <w:pStyle w:val="HChG"/>
      </w:pPr>
      <w:r>
        <w:tab/>
      </w:r>
      <w:r>
        <w:tab/>
      </w:r>
      <w:r w:rsidRPr="006549FF">
        <w:t xml:space="preserve">Additif </w:t>
      </w:r>
      <w:r>
        <w:t>98 </w:t>
      </w:r>
      <w:r w:rsidRPr="006549FF">
        <w:t>: Règlement</w:t>
      </w:r>
      <w:r>
        <w:t xml:space="preserve"> </w:t>
      </w:r>
      <w:r w:rsidRPr="00B371BF">
        <w:t>n</w:t>
      </w:r>
      <w:r w:rsidRPr="00B371BF">
        <w:rPr>
          <w:vertAlign w:val="superscript"/>
        </w:rPr>
        <w:t>o</w:t>
      </w:r>
      <w:r>
        <w:t> 99</w:t>
      </w:r>
    </w:p>
    <w:p w:rsidR="00B3162C" w:rsidRPr="006549FF" w:rsidRDefault="00B3162C" w:rsidP="00B3162C">
      <w:pPr>
        <w:pStyle w:val="H1G"/>
      </w:pPr>
      <w:r>
        <w:tab/>
      </w:r>
      <w:r>
        <w:tab/>
      </w:r>
      <w:r w:rsidRPr="006549FF">
        <w:t xml:space="preserve">Révision </w:t>
      </w:r>
      <w:r>
        <w:t xml:space="preserve">3 − </w:t>
      </w:r>
      <w:r w:rsidRPr="0094312F">
        <w:rPr>
          <w:lang w:val="fr-FR"/>
        </w:rPr>
        <w:t>Amendement 3</w:t>
      </w:r>
    </w:p>
    <w:p w:rsidR="00B3162C" w:rsidRPr="00594B17" w:rsidRDefault="00B3162C" w:rsidP="00B3162C">
      <w:pPr>
        <w:pStyle w:val="SingleTxtG"/>
        <w:spacing w:after="0"/>
        <w:rPr>
          <w:spacing w:val="-2"/>
        </w:rPr>
      </w:pPr>
      <w:r w:rsidRPr="00594B17">
        <w:rPr>
          <w:spacing w:val="-2"/>
          <w:lang w:val="fr-FR"/>
        </w:rPr>
        <w:t>Complément 12 à la version originale du Règlement − Date d</w:t>
      </w:r>
      <w:r w:rsidR="009D4C0B">
        <w:rPr>
          <w:spacing w:val="-2"/>
          <w:lang w:val="fr-FR"/>
        </w:rPr>
        <w:t>’</w:t>
      </w:r>
      <w:r w:rsidRPr="00594B17">
        <w:rPr>
          <w:spacing w:val="-2"/>
          <w:lang w:val="fr-FR"/>
        </w:rPr>
        <w:t>entrée en vigueur : 22 juin 2017</w:t>
      </w:r>
    </w:p>
    <w:p w:rsidR="00B3162C" w:rsidRDefault="00B3162C" w:rsidP="00B3162C">
      <w:pPr>
        <w:pStyle w:val="H1G"/>
      </w:pPr>
      <w:r>
        <w:tab/>
      </w:r>
      <w:r>
        <w:tab/>
      </w:r>
      <w:r w:rsidRPr="0094312F">
        <w:rPr>
          <w:lang w:val="fr-FR"/>
        </w:rPr>
        <w:t>Prescriptions uniformes relatives à l</w:t>
      </w:r>
      <w:r w:rsidR="009D4C0B">
        <w:rPr>
          <w:lang w:val="fr-FR"/>
        </w:rPr>
        <w:t>’</w:t>
      </w:r>
      <w:r w:rsidRPr="0094312F">
        <w:rPr>
          <w:lang w:val="fr-FR"/>
        </w:rPr>
        <w:t xml:space="preserve">homologation des sources lumineuses à décharge pour projecteurs homologués de véhicules </w:t>
      </w:r>
      <w:r>
        <w:rPr>
          <w:lang w:val="fr-FR"/>
        </w:rPr>
        <w:br/>
      </w:r>
      <w:r w:rsidRPr="0094312F">
        <w:rPr>
          <w:lang w:val="fr-FR"/>
        </w:rPr>
        <w:t>à moteur</w:t>
      </w:r>
    </w:p>
    <w:p w:rsidR="00421A10" w:rsidRPr="00766FFF" w:rsidRDefault="00B3162C" w:rsidP="00766FFF">
      <w:pPr>
        <w:pStyle w:val="SingleTxtG"/>
        <w:ind w:firstLine="567"/>
        <w:rPr>
          <w:spacing w:val="-3"/>
        </w:rPr>
      </w:pPr>
      <w:r w:rsidRPr="00766FFF">
        <w:rPr>
          <w:spacing w:val="-3"/>
          <w:lang w:val="fr-FR" w:eastAsia="en-GB"/>
        </w:rPr>
        <w:t>Le présent document est communiqué uniquement à titre d</w:t>
      </w:r>
      <w:r w:rsidR="009D4C0B">
        <w:rPr>
          <w:spacing w:val="-3"/>
          <w:lang w:val="fr-FR" w:eastAsia="en-GB"/>
        </w:rPr>
        <w:t>’</w:t>
      </w:r>
      <w:r w:rsidRPr="00766FFF">
        <w:rPr>
          <w:spacing w:val="-3"/>
          <w:lang w:val="fr-FR" w:eastAsia="en-GB"/>
        </w:rPr>
        <w:t>information. Le texte authentique, juridiquement contraignant, est celui du document ECE/TRANS/WP.29/2016/85.</w:t>
      </w:r>
    </w:p>
    <w:p w:rsidR="00B3162C" w:rsidRDefault="00442E31" w:rsidP="005F0207">
      <w:r>
        <w:rPr>
          <w:noProof/>
          <w:lang w:val="en-GB" w:eastAsia="en-GB"/>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C60B94" w:rsidRPr="00594B17" w:rsidRDefault="00B3162C" w:rsidP="005E2361">
      <w:pPr>
        <w:pStyle w:val="SingleTxtG"/>
        <w:rPr>
          <w:lang w:val="fr-FR" w:eastAsia="en-GB"/>
        </w:rPr>
      </w:pPr>
      <w:r>
        <w:br w:type="page"/>
      </w:r>
      <w:r w:rsidR="00C60B94" w:rsidRPr="00594B17">
        <w:rPr>
          <w:i/>
          <w:lang w:val="fr-FR" w:eastAsia="en-GB"/>
        </w:rPr>
        <w:lastRenderedPageBreak/>
        <w:t>Titre</w:t>
      </w:r>
      <w:r w:rsidR="00C60B94" w:rsidRPr="00594B17">
        <w:rPr>
          <w:lang w:val="fr-FR" w:eastAsia="en-GB"/>
        </w:rPr>
        <w:t>, modifier comme suit</w:t>
      </w:r>
      <w:r w:rsidR="00C60B94">
        <w:rPr>
          <w:lang w:val="fr-FR" w:eastAsia="en-GB"/>
        </w:rPr>
        <w:t> </w:t>
      </w:r>
      <w:r w:rsidR="00C60B94" w:rsidRPr="00594B17">
        <w:rPr>
          <w:lang w:val="fr-FR" w:eastAsia="en-GB"/>
        </w:rPr>
        <w:t>: (</w:t>
      </w:r>
      <w:r w:rsidR="00C60B94" w:rsidRPr="00594B17">
        <w:rPr>
          <w:i/>
          <w:lang w:val="fr-FR" w:eastAsia="en-GB"/>
        </w:rPr>
        <w:t>sans objet en français</w:t>
      </w:r>
      <w:r w:rsidR="00C60B94" w:rsidRPr="00594B17">
        <w:rPr>
          <w:lang w:val="fr-FR" w:eastAsia="en-GB"/>
        </w:rPr>
        <w:t>).</w:t>
      </w:r>
    </w:p>
    <w:p w:rsidR="00C60B94" w:rsidRPr="00594B17" w:rsidRDefault="00C60B94" w:rsidP="005E2361">
      <w:pPr>
        <w:pStyle w:val="SingleTxtG"/>
        <w:rPr>
          <w:lang w:val="fr-FR" w:eastAsia="en-GB"/>
        </w:rPr>
      </w:pPr>
      <w:r w:rsidRPr="00594B17">
        <w:rPr>
          <w:i/>
          <w:lang w:val="fr-FR" w:eastAsia="en-GB"/>
        </w:rPr>
        <w:t>Paragraphe 1</w:t>
      </w:r>
      <w:r w:rsidRPr="002956C9">
        <w:rPr>
          <w:lang w:val="fr-FR" w:eastAsia="en-GB"/>
        </w:rPr>
        <w:t>,</w:t>
      </w:r>
      <w:r w:rsidRPr="00594B17">
        <w:rPr>
          <w:lang w:val="fr-FR" w:eastAsia="en-GB"/>
        </w:rPr>
        <w:t xml:space="preserve"> modifier comme suit</w:t>
      </w:r>
      <w:r>
        <w:rPr>
          <w:lang w:val="fr-FR" w:eastAsia="en-GB"/>
        </w:rPr>
        <w:t> </w:t>
      </w:r>
      <w:r w:rsidRPr="00594B17">
        <w:rPr>
          <w:lang w:val="fr-FR" w:eastAsia="en-GB"/>
        </w:rPr>
        <w:t>:</w:t>
      </w:r>
    </w:p>
    <w:p w:rsidR="00C60B94" w:rsidRPr="00594B17" w:rsidRDefault="00C60B94" w:rsidP="00C60B94">
      <w:pPr>
        <w:pStyle w:val="HChG"/>
        <w:rPr>
          <w:lang w:val="fr-FR" w:eastAsia="en-GB"/>
        </w:rPr>
      </w:pPr>
      <w:bookmarkStart w:id="1" w:name="_Toc386202957"/>
      <w:r w:rsidRPr="00594B17">
        <w:rPr>
          <w:lang w:val="fr-FR" w:eastAsia="en-GB"/>
        </w:rPr>
        <w:tab/>
      </w:r>
      <w:r w:rsidRPr="0021060D">
        <w:rPr>
          <w:b w:val="0"/>
          <w:sz w:val="20"/>
          <w:lang w:val="fr-FR" w:eastAsia="en-GB"/>
        </w:rPr>
        <w:t>«</w:t>
      </w:r>
      <w:r>
        <w:rPr>
          <w:b w:val="0"/>
          <w:sz w:val="20"/>
          <w:lang w:val="fr-FR" w:eastAsia="en-GB"/>
        </w:rPr>
        <w:t> </w:t>
      </w:r>
      <w:r w:rsidRPr="00594B17">
        <w:rPr>
          <w:lang w:val="fr-FR" w:eastAsia="en-GB"/>
        </w:rPr>
        <w:t>1.</w:t>
      </w:r>
      <w:r w:rsidRPr="00594B17">
        <w:rPr>
          <w:lang w:val="fr-FR" w:eastAsia="en-GB"/>
        </w:rPr>
        <w:tab/>
        <w:t>Domaine d</w:t>
      </w:r>
      <w:r w:rsidR="009D4C0B">
        <w:rPr>
          <w:lang w:val="fr-FR" w:eastAsia="en-GB"/>
        </w:rPr>
        <w:t>’</w:t>
      </w:r>
      <w:r w:rsidRPr="00594B17">
        <w:rPr>
          <w:lang w:val="fr-FR" w:eastAsia="en-GB"/>
        </w:rPr>
        <w:t>application</w:t>
      </w:r>
      <w:bookmarkEnd w:id="1"/>
    </w:p>
    <w:p w:rsidR="00C60B94" w:rsidRPr="00594B17" w:rsidRDefault="00C60B94" w:rsidP="005E2361">
      <w:pPr>
        <w:pStyle w:val="SingleTxtG"/>
        <w:ind w:firstLine="567"/>
        <w:rPr>
          <w:lang w:val="fr-FR" w:eastAsia="en-GB"/>
        </w:rPr>
      </w:pPr>
      <w:r w:rsidRPr="00594B17">
        <w:rPr>
          <w:lang w:val="fr-FR" w:eastAsia="en-GB"/>
        </w:rPr>
        <w:t>Le présent Règlement s</w:t>
      </w:r>
      <w:r w:rsidR="009D4C0B">
        <w:rPr>
          <w:lang w:val="fr-FR" w:eastAsia="en-GB"/>
        </w:rPr>
        <w:t>’</w:t>
      </w:r>
      <w:r w:rsidRPr="00594B17">
        <w:rPr>
          <w:lang w:val="fr-FR" w:eastAsia="en-GB"/>
        </w:rPr>
        <w:t>applique aux sources lumineuses à décharge présentées à l</w:t>
      </w:r>
      <w:r w:rsidR="009D4C0B">
        <w:rPr>
          <w:lang w:val="fr-FR" w:eastAsia="en-GB"/>
        </w:rPr>
        <w:t>’</w:t>
      </w:r>
      <w:r w:rsidRPr="00594B17">
        <w:rPr>
          <w:lang w:val="fr-FR" w:eastAsia="en-GB"/>
        </w:rPr>
        <w:t>annexe 1 du présent Règlement, qui sont destinées aux projecteurs homologués pour véhicules à moteur.</w:t>
      </w:r>
      <w:r>
        <w:rPr>
          <w:lang w:val="fr-FR" w:eastAsia="en-GB"/>
        </w:rPr>
        <w:t> </w:t>
      </w:r>
      <w:r w:rsidRPr="00594B17">
        <w:rPr>
          <w:lang w:val="fr-FR" w:eastAsia="en-GB"/>
        </w:rPr>
        <w:t>».</w:t>
      </w:r>
    </w:p>
    <w:p w:rsidR="00C60B94" w:rsidRPr="005E2361" w:rsidRDefault="00C60B94" w:rsidP="00C60B94">
      <w:pPr>
        <w:pStyle w:val="SingleTxtG"/>
        <w:rPr>
          <w:lang w:val="fr-FR" w:eastAsia="en-GB"/>
        </w:rPr>
      </w:pPr>
      <w:r w:rsidRPr="005E2361">
        <w:rPr>
          <w:i/>
          <w:lang w:val="fr-FR" w:eastAsia="en-GB"/>
        </w:rPr>
        <w:t>Paragraphe 2.3.4</w:t>
      </w:r>
      <w:r w:rsidRPr="005E2361">
        <w:rPr>
          <w:lang w:val="fr-FR" w:eastAsia="en-GB"/>
        </w:rPr>
        <w:t>, modifier comme suit :</w:t>
      </w:r>
    </w:p>
    <w:p w:rsidR="00C60B94" w:rsidRPr="005E2361" w:rsidRDefault="00C60B94" w:rsidP="00C60B94">
      <w:pPr>
        <w:pStyle w:val="SingleTxtG"/>
        <w:ind w:left="2268" w:hanging="1134"/>
        <w:rPr>
          <w:lang w:val="fr-FR" w:eastAsia="en-GB"/>
        </w:rPr>
      </w:pPr>
      <w:r w:rsidRPr="005E2361">
        <w:rPr>
          <w:lang w:val="fr-FR" w:eastAsia="en-GB"/>
        </w:rPr>
        <w:t>« 2.3.4</w:t>
      </w:r>
      <w:r w:rsidRPr="005E2361">
        <w:rPr>
          <w:lang w:val="fr-FR" w:eastAsia="en-GB"/>
        </w:rPr>
        <w:tab/>
      </w:r>
      <w:r w:rsidRPr="005E2361">
        <w:rPr>
          <w:lang w:val="fr-FR" w:eastAsia="en-GB"/>
        </w:rPr>
        <w:tab/>
        <w:t>Dans le cas où le ballast n</w:t>
      </w:r>
      <w:r w:rsidR="009D4C0B" w:rsidRPr="005E2361">
        <w:rPr>
          <w:lang w:val="fr-FR" w:eastAsia="en-GB"/>
        </w:rPr>
        <w:t>’</w:t>
      </w:r>
      <w:r w:rsidRPr="005E2361">
        <w:rPr>
          <w:lang w:val="fr-FR" w:eastAsia="en-GB"/>
        </w:rPr>
        <w:t>est pas intégré à la source lumineuse, le ballast utilisé pour l</w:t>
      </w:r>
      <w:r w:rsidR="009D4C0B" w:rsidRPr="005E2361">
        <w:rPr>
          <w:lang w:val="fr-FR" w:eastAsia="en-GB"/>
        </w:rPr>
        <w:t>’</w:t>
      </w:r>
      <w:r w:rsidRPr="005E2361">
        <w:rPr>
          <w:lang w:val="fr-FR" w:eastAsia="en-GB"/>
        </w:rPr>
        <w:t>homologation de type de la source lumineuse doit porter les marques d</w:t>
      </w:r>
      <w:r w:rsidR="009D4C0B" w:rsidRPr="005E2361">
        <w:rPr>
          <w:lang w:val="fr-FR" w:eastAsia="en-GB"/>
        </w:rPr>
        <w:t>’</w:t>
      </w:r>
      <w:r w:rsidRPr="005E2361">
        <w:rPr>
          <w:lang w:val="fr-FR" w:eastAsia="en-GB"/>
        </w:rPr>
        <w:t xml:space="preserve">identification du type et du modèle, ainsi que la tension et la puissance nominales, conformément à la feuille de données concernant </w:t>
      </w:r>
      <w:r w:rsidRPr="005E2361">
        <w:rPr>
          <w:bCs/>
          <w:lang w:val="fr-FR" w:eastAsia="en-GB"/>
        </w:rPr>
        <w:t>la source lumineuse à décharge</w:t>
      </w:r>
      <w:r w:rsidRPr="005E2361">
        <w:rPr>
          <w:lang w:val="fr-FR" w:eastAsia="en-GB"/>
        </w:rPr>
        <w:t>. ».</w:t>
      </w:r>
    </w:p>
    <w:p w:rsidR="00C60B94" w:rsidRPr="005E2361" w:rsidRDefault="00C60B94" w:rsidP="00C60B94">
      <w:pPr>
        <w:pStyle w:val="SingleTxtG"/>
        <w:rPr>
          <w:lang w:val="fr-FR" w:eastAsia="en-GB"/>
        </w:rPr>
      </w:pPr>
      <w:r w:rsidRPr="005E2361">
        <w:rPr>
          <w:i/>
          <w:lang w:val="fr-FR" w:eastAsia="en-GB"/>
        </w:rPr>
        <w:t>Paragraphe 3.1 et ses sous-paragraphes</w:t>
      </w:r>
      <w:r w:rsidRPr="005E2361">
        <w:rPr>
          <w:lang w:val="fr-FR" w:eastAsia="en-GB"/>
        </w:rPr>
        <w:t>, remplacer par :</w:t>
      </w:r>
    </w:p>
    <w:p w:rsidR="00C60B94" w:rsidRPr="005E2361" w:rsidRDefault="00C60B94" w:rsidP="00C60B94">
      <w:pPr>
        <w:pStyle w:val="SingleTxtG"/>
        <w:ind w:left="2268" w:hanging="1134"/>
        <w:rPr>
          <w:lang w:val="fr-FR" w:eastAsia="en-GB"/>
        </w:rPr>
      </w:pPr>
      <w:r w:rsidRPr="005E2361">
        <w:rPr>
          <w:lang w:val="fr-FR" w:eastAsia="en-GB"/>
        </w:rPr>
        <w:t>« 3.1</w:t>
      </w:r>
      <w:r w:rsidRPr="005E2361">
        <w:rPr>
          <w:lang w:val="fr-FR" w:eastAsia="en-GB"/>
        </w:rPr>
        <w:tab/>
        <w:t>Définitions</w:t>
      </w:r>
    </w:p>
    <w:p w:rsidR="00C60B94" w:rsidRPr="005E2361" w:rsidRDefault="00C60B94" w:rsidP="00C60B94">
      <w:pPr>
        <w:pStyle w:val="SingleTxtG"/>
        <w:ind w:left="2268"/>
        <w:rPr>
          <w:lang w:val="fr-FR" w:eastAsia="en-GB"/>
        </w:rPr>
      </w:pPr>
      <w:r w:rsidRPr="005E2361">
        <w:rPr>
          <w:lang w:val="fr-FR" w:eastAsia="en-GB"/>
        </w:rPr>
        <w:t>Les définitions figurant dans la Résolution R.E.5 ou ses révisions ultérieures applicables au moment de la demande d</w:t>
      </w:r>
      <w:r w:rsidR="009D4C0B" w:rsidRPr="005E2361">
        <w:rPr>
          <w:lang w:val="fr-FR" w:eastAsia="en-GB"/>
        </w:rPr>
        <w:t>’</w:t>
      </w:r>
      <w:r w:rsidRPr="005E2361">
        <w:rPr>
          <w:lang w:val="fr-FR" w:eastAsia="en-GB"/>
        </w:rPr>
        <w:t>homologation de type s</w:t>
      </w:r>
      <w:r w:rsidR="009D4C0B" w:rsidRPr="005E2361">
        <w:rPr>
          <w:lang w:val="fr-FR" w:eastAsia="en-GB"/>
        </w:rPr>
        <w:t>’</w:t>
      </w:r>
      <w:r w:rsidRPr="005E2361">
        <w:rPr>
          <w:lang w:val="fr-FR" w:eastAsia="en-GB"/>
        </w:rPr>
        <w:t>appliquent. ».</w:t>
      </w:r>
    </w:p>
    <w:p w:rsidR="00C60B94" w:rsidRPr="005E2361" w:rsidRDefault="00C60B94" w:rsidP="00C60B94">
      <w:pPr>
        <w:pStyle w:val="SingleTxtG"/>
        <w:rPr>
          <w:lang w:val="fr-FR" w:eastAsia="en-GB"/>
        </w:rPr>
      </w:pPr>
      <w:r w:rsidRPr="005E2361">
        <w:rPr>
          <w:i/>
          <w:lang w:val="fr-FR" w:eastAsia="en-GB"/>
        </w:rPr>
        <w:t>Ajouter un nouveau paragraphe 3.2.3</w:t>
      </w:r>
      <w:r w:rsidRPr="005E2361">
        <w:rPr>
          <w:lang w:val="fr-FR" w:eastAsia="en-GB"/>
        </w:rPr>
        <w:t>, ainsi conçu :</w:t>
      </w:r>
    </w:p>
    <w:p w:rsidR="00C60B94" w:rsidRPr="005E2361" w:rsidRDefault="00C60B94" w:rsidP="00C60B94">
      <w:pPr>
        <w:pStyle w:val="SingleTxtG"/>
        <w:ind w:left="2268" w:hanging="1134"/>
        <w:rPr>
          <w:lang w:val="fr-FR" w:eastAsia="en-GB"/>
        </w:rPr>
      </w:pPr>
      <w:r w:rsidRPr="005E2361">
        <w:rPr>
          <w:lang w:val="fr-FR" w:eastAsia="en-GB"/>
        </w:rPr>
        <w:t>« 3.2.3</w:t>
      </w:r>
      <w:r w:rsidRPr="005E2361">
        <w:rPr>
          <w:lang w:val="fr-FR" w:eastAsia="en-GB"/>
        </w:rPr>
        <w:tab/>
      </w:r>
      <w:r w:rsidRPr="005E2361">
        <w:rPr>
          <w:bCs/>
          <w:lang w:val="fr-FR" w:eastAsia="en-GB"/>
        </w:rPr>
        <w:t>L</w:t>
      </w:r>
      <w:r w:rsidR="009D4C0B" w:rsidRPr="005E2361">
        <w:rPr>
          <w:bCs/>
          <w:lang w:val="fr-FR" w:eastAsia="en-GB"/>
        </w:rPr>
        <w:t>’</w:t>
      </w:r>
      <w:r w:rsidRPr="005E2361">
        <w:rPr>
          <w:bCs/>
          <w:lang w:val="fr-FR" w:eastAsia="en-GB"/>
        </w:rPr>
        <w:t>arc à décharge doit être le seul élément de la source lumineuse à décharge qui produit et émet de la lumière lorsqu</w:t>
      </w:r>
      <w:r w:rsidR="009D4C0B" w:rsidRPr="005E2361">
        <w:rPr>
          <w:bCs/>
          <w:lang w:val="fr-FR" w:eastAsia="en-GB"/>
        </w:rPr>
        <w:t>’</w:t>
      </w:r>
      <w:r w:rsidRPr="005E2361">
        <w:rPr>
          <w:bCs/>
          <w:lang w:val="fr-FR" w:eastAsia="en-GB"/>
        </w:rPr>
        <w:t>il est mis sous tension. »</w:t>
      </w:r>
      <w:r w:rsidRPr="005E2361">
        <w:rPr>
          <w:lang w:val="fr-FR" w:eastAsia="en-GB"/>
        </w:rPr>
        <w:t>.</w:t>
      </w:r>
    </w:p>
    <w:p w:rsidR="00C60B94" w:rsidRPr="005E2361" w:rsidRDefault="00C60B94" w:rsidP="00C60B94">
      <w:pPr>
        <w:pStyle w:val="SingleTxtG"/>
        <w:rPr>
          <w:lang w:val="fr-FR" w:eastAsia="en-GB"/>
        </w:rPr>
      </w:pPr>
      <w:r w:rsidRPr="005E2361">
        <w:rPr>
          <w:i/>
          <w:lang w:val="fr-FR" w:eastAsia="en-GB"/>
        </w:rPr>
        <w:t>Paragraphe 3.3.3</w:t>
      </w:r>
      <w:r w:rsidRPr="005E2361">
        <w:rPr>
          <w:lang w:val="fr-FR" w:eastAsia="en-GB"/>
        </w:rPr>
        <w:t>,</w:t>
      </w:r>
      <w:r w:rsidRPr="005E2361">
        <w:rPr>
          <w:i/>
          <w:lang w:val="fr-FR" w:eastAsia="en-GB"/>
        </w:rPr>
        <w:t xml:space="preserve"> </w:t>
      </w:r>
      <w:r w:rsidRPr="005E2361">
        <w:rPr>
          <w:lang w:val="fr-FR" w:eastAsia="en-GB"/>
        </w:rPr>
        <w:t>modifier comme suit :</w:t>
      </w:r>
    </w:p>
    <w:p w:rsidR="004B68F9" w:rsidRDefault="00C60B94" w:rsidP="00C60B94">
      <w:pPr>
        <w:pStyle w:val="SingleTxtG"/>
        <w:ind w:left="2268" w:hanging="1134"/>
        <w:rPr>
          <w:lang w:val="fr-FR" w:eastAsia="en-GB"/>
        </w:rPr>
      </w:pPr>
      <w:r w:rsidRPr="005E2361">
        <w:rPr>
          <w:lang w:val="fr-FR" w:eastAsia="en-GB"/>
        </w:rPr>
        <w:t>« 3.3.3</w:t>
      </w:r>
      <w:r w:rsidRPr="005E2361">
        <w:rPr>
          <w:i/>
          <w:lang w:val="fr-FR" w:eastAsia="en-GB"/>
        </w:rPr>
        <w:tab/>
      </w:r>
      <w:r w:rsidRPr="005E2361">
        <w:rPr>
          <w:lang w:val="fr-FR" w:eastAsia="en-GB"/>
        </w:rPr>
        <w:t>Les sources lumineuses à décharge doivent être munies de culots normalisés conformément aux feuilles de données sur les culots de lampes figurant dans la publication 60061 de la CEI comme indiqué dans les feuilles de données reproduites à l</w:t>
      </w:r>
      <w:r w:rsidR="009D4C0B" w:rsidRPr="005E2361">
        <w:rPr>
          <w:lang w:val="fr-FR" w:eastAsia="en-GB"/>
        </w:rPr>
        <w:t>’</w:t>
      </w:r>
      <w:r w:rsidRPr="005E2361">
        <w:rPr>
          <w:lang w:val="fr-FR" w:eastAsia="en-GB"/>
        </w:rPr>
        <w:t>annexe 1 du présent Règlement. ».</w:t>
      </w:r>
    </w:p>
    <w:p w:rsidR="00C60B94" w:rsidRPr="005E2361" w:rsidRDefault="004B68F9" w:rsidP="00764851">
      <w:pPr>
        <w:pStyle w:val="SingleTxtG"/>
        <w:rPr>
          <w:lang w:val="fr-FR" w:eastAsia="en-GB"/>
        </w:rPr>
      </w:pPr>
      <w:r>
        <w:rPr>
          <w:lang w:val="fr-FR" w:eastAsia="en-GB"/>
        </w:rPr>
        <w:br w:type="page"/>
      </w:r>
      <w:r w:rsidR="00C60B94" w:rsidRPr="005E2361">
        <w:rPr>
          <w:i/>
          <w:lang w:val="fr-FR" w:eastAsia="en-GB"/>
        </w:rPr>
        <w:lastRenderedPageBreak/>
        <w:t>Annexe 1</w:t>
      </w:r>
      <w:r w:rsidR="00C60B94" w:rsidRPr="005E2361">
        <w:rPr>
          <w:lang w:val="fr-FR" w:eastAsia="en-GB"/>
        </w:rPr>
        <w:t>,</w:t>
      </w:r>
      <w:r w:rsidR="00C60B94" w:rsidRPr="005E2361">
        <w:rPr>
          <w:i/>
          <w:lang w:val="fr-FR" w:eastAsia="en-GB"/>
        </w:rPr>
        <w:t xml:space="preserve"> </w:t>
      </w:r>
      <w:r w:rsidR="00C60B94" w:rsidRPr="005E2361">
        <w:rPr>
          <w:lang w:val="fr-FR" w:eastAsia="en-GB"/>
        </w:rPr>
        <w:t>remplacer par :</w:t>
      </w:r>
    </w:p>
    <w:p w:rsidR="00C60B94" w:rsidRPr="00594B17" w:rsidRDefault="00C60B94" w:rsidP="00C60B94">
      <w:pPr>
        <w:pStyle w:val="HChG"/>
        <w:rPr>
          <w:lang w:val="fr-FR" w:eastAsia="en-GB"/>
        </w:rPr>
      </w:pPr>
      <w:bookmarkStart w:id="2" w:name="_Toc386202964"/>
      <w:r w:rsidRPr="00E048A9">
        <w:rPr>
          <w:b w:val="0"/>
          <w:sz w:val="20"/>
          <w:lang w:val="fr-FR" w:eastAsia="en-GB"/>
        </w:rPr>
        <w:t>« </w:t>
      </w:r>
      <w:r w:rsidRPr="00594B17">
        <w:rPr>
          <w:lang w:val="fr-FR" w:eastAsia="en-GB"/>
        </w:rPr>
        <w:t>Annexe 1</w:t>
      </w:r>
      <w:bookmarkEnd w:id="2"/>
    </w:p>
    <w:p w:rsidR="00C60B94" w:rsidRPr="00594B17" w:rsidRDefault="00C60B94" w:rsidP="00C60B94">
      <w:pPr>
        <w:pStyle w:val="HChG"/>
        <w:rPr>
          <w:lang w:val="fr-FR" w:eastAsia="en-GB"/>
        </w:rPr>
      </w:pPr>
      <w:bookmarkStart w:id="3" w:name="_Toc386202965"/>
      <w:r w:rsidRPr="00594B17">
        <w:rPr>
          <w:lang w:val="fr-FR" w:eastAsia="en-GB"/>
        </w:rPr>
        <w:tab/>
      </w:r>
      <w:r w:rsidRPr="00594B17">
        <w:rPr>
          <w:lang w:val="fr-FR" w:eastAsia="en-GB"/>
        </w:rPr>
        <w:tab/>
        <w:t>Feuilles</w:t>
      </w:r>
      <w:r w:rsidRPr="00AA055B">
        <w:rPr>
          <w:b w:val="0"/>
          <w:sz w:val="18"/>
          <w:szCs w:val="18"/>
          <w:vertAlign w:val="superscript"/>
          <w:lang w:val="fr-FR" w:eastAsia="en-GB"/>
        </w:rPr>
        <w:t>1</w:t>
      </w:r>
      <w:r w:rsidRPr="00594B17">
        <w:rPr>
          <w:lang w:val="fr-FR" w:eastAsia="en-GB"/>
        </w:rPr>
        <w:t xml:space="preserve"> relatives aux sources lumineuses à décharge</w:t>
      </w:r>
      <w:bookmarkEnd w:id="3"/>
    </w:p>
    <w:p w:rsidR="00C60B94" w:rsidRPr="00594B17" w:rsidRDefault="00C60B94" w:rsidP="00B31654">
      <w:pPr>
        <w:pStyle w:val="SingleTxtG"/>
        <w:ind w:firstLine="567"/>
        <w:rPr>
          <w:lang w:val="fr-FR" w:eastAsia="en-GB"/>
        </w:rPr>
      </w:pPr>
      <w:r w:rsidRPr="00594B17">
        <w:rPr>
          <w:lang w:val="fr-FR" w:eastAsia="en-GB"/>
        </w:rPr>
        <w:t>Les feuilles relatives à la catégorie de sources lumineuses à décharge et le groupe auquel appartient cette catégorie, ainsi que les restrictions d</w:t>
      </w:r>
      <w:r w:rsidR="009D4C0B">
        <w:rPr>
          <w:lang w:val="fr-FR" w:eastAsia="en-GB"/>
        </w:rPr>
        <w:t>’</w:t>
      </w:r>
      <w:r w:rsidRPr="00594B17">
        <w:rPr>
          <w:lang w:val="fr-FR" w:eastAsia="en-GB"/>
        </w:rPr>
        <w:t>utilisation correspondantes, s</w:t>
      </w:r>
      <w:r w:rsidR="009D4C0B">
        <w:rPr>
          <w:lang w:val="fr-FR" w:eastAsia="en-GB"/>
        </w:rPr>
        <w:t>’</w:t>
      </w:r>
      <w:r w:rsidRPr="00594B17">
        <w:rPr>
          <w:lang w:val="fr-FR" w:eastAsia="en-GB"/>
        </w:rPr>
        <w:t>appliquent conformément à la Résolution R.E.5</w:t>
      </w:r>
      <w:r w:rsidR="002956C9" w:rsidRPr="002956C9">
        <w:rPr>
          <w:sz w:val="18"/>
          <w:szCs w:val="18"/>
          <w:vertAlign w:val="superscript"/>
          <w:lang w:val="fr-FR" w:eastAsia="en-GB"/>
        </w:rPr>
        <w:t>1</w:t>
      </w:r>
      <w:r w:rsidRPr="00594B17">
        <w:rPr>
          <w:lang w:val="fr-FR" w:eastAsia="en-GB"/>
        </w:rPr>
        <w:t xml:space="preserve"> ou à ses révisions ultérieures applicables au moment de la demande d</w:t>
      </w:r>
      <w:r w:rsidR="009D4C0B">
        <w:rPr>
          <w:lang w:val="fr-FR" w:eastAsia="en-GB"/>
        </w:rPr>
        <w:t>’</w:t>
      </w:r>
      <w:r w:rsidRPr="00594B17">
        <w:rPr>
          <w:lang w:val="fr-FR" w:eastAsia="en-GB"/>
        </w:rPr>
        <w:t>homologation de type de la source lumi</w:t>
      </w:r>
      <w:r>
        <w:rPr>
          <w:lang w:val="fr-FR" w:eastAsia="en-GB"/>
        </w:rPr>
        <w:t>neuse à décharge.</w:t>
      </w:r>
    </w:p>
    <w:p w:rsidR="00C60B94" w:rsidRPr="00594B17" w:rsidRDefault="00C60B94" w:rsidP="00C60B94">
      <w:pPr>
        <w:pStyle w:val="SingleTxtG"/>
        <w:rPr>
          <w:spacing w:val="-6"/>
          <w:lang w:val="fr-FR" w:eastAsia="en-GB"/>
        </w:rPr>
      </w:pPr>
      <w:r w:rsidRPr="00594B17">
        <w:rPr>
          <w:spacing w:val="-6"/>
          <w:lang w:val="fr-FR" w:eastAsia="en-GB"/>
        </w:rPr>
        <w:t>______________</w:t>
      </w:r>
    </w:p>
    <w:p w:rsidR="00C60B94" w:rsidRPr="001D0C95" w:rsidRDefault="00C60B94" w:rsidP="00C60B94">
      <w:pPr>
        <w:pStyle w:val="FootnoteText"/>
        <w:rPr>
          <w:lang w:val="fr-FR" w:eastAsia="en-GB"/>
        </w:rPr>
      </w:pPr>
      <w:r w:rsidRPr="0055482B">
        <w:rPr>
          <w:spacing w:val="-6"/>
          <w:lang w:val="fr-FR" w:eastAsia="en-GB"/>
        </w:rPr>
        <w:tab/>
      </w:r>
      <w:r w:rsidRPr="0055482B">
        <w:rPr>
          <w:spacing w:val="-6"/>
          <w:vertAlign w:val="superscript"/>
          <w:lang w:val="fr-FR" w:eastAsia="en-GB"/>
        </w:rPr>
        <w:t>1</w:t>
      </w:r>
      <w:r w:rsidRPr="0055482B">
        <w:rPr>
          <w:spacing w:val="-6"/>
          <w:lang w:val="fr-FR" w:eastAsia="en-GB"/>
        </w:rPr>
        <w:tab/>
      </w:r>
      <w:r w:rsidRPr="001D0C95">
        <w:rPr>
          <w:lang w:val="fr-FR" w:eastAsia="en-GB"/>
        </w:rPr>
        <w:t>À compter du 22 juin 2017, les feuilles relatives aux sources lumineuses à décharge, la liste par groupe des catégories de sources lumineuses et les restrictions d</w:t>
      </w:r>
      <w:r w:rsidR="009D4C0B">
        <w:rPr>
          <w:lang w:val="fr-FR" w:eastAsia="en-GB"/>
        </w:rPr>
        <w:t>’</w:t>
      </w:r>
      <w:r w:rsidRPr="001D0C95">
        <w:rPr>
          <w:lang w:val="fr-FR" w:eastAsia="en-GB"/>
        </w:rPr>
        <w:t xml:space="preserve">utilisation et numéros de feuille </w:t>
      </w:r>
      <w:r w:rsidRPr="006A4A90">
        <w:rPr>
          <w:spacing w:val="-2"/>
          <w:lang w:val="fr-FR" w:eastAsia="en-GB"/>
        </w:rPr>
        <w:t>correspondants figurent dans la Résolution R.E.5 publiée sous la cote ECE/TRANS/WP.29/2016/111. »</w:t>
      </w:r>
      <w:r w:rsidR="004630C9">
        <w:rPr>
          <w:spacing w:val="-2"/>
          <w:lang w:val="fr-FR" w:eastAsia="en-GB"/>
        </w:rPr>
        <w:t>.</w:t>
      </w:r>
    </w:p>
    <w:p w:rsidR="00C60B94" w:rsidRPr="009D182C" w:rsidRDefault="00C60B94" w:rsidP="00C60B94">
      <w:pPr>
        <w:pStyle w:val="SingleTxtG"/>
        <w:spacing w:before="120"/>
        <w:rPr>
          <w:lang w:val="fr-FR" w:eastAsia="en-GB"/>
        </w:rPr>
      </w:pPr>
      <w:r w:rsidRPr="009D182C">
        <w:rPr>
          <w:i/>
          <w:lang w:val="fr-FR" w:eastAsia="en-GB"/>
        </w:rPr>
        <w:t>Annexe 4</w:t>
      </w:r>
      <w:r w:rsidRPr="009D182C">
        <w:rPr>
          <w:lang w:val="fr-FR" w:eastAsia="en-GB"/>
        </w:rPr>
        <w:t>,</w:t>
      </w:r>
    </w:p>
    <w:p w:rsidR="00C60B94" w:rsidRPr="009D182C" w:rsidRDefault="00C60B94" w:rsidP="00C60B94">
      <w:pPr>
        <w:pStyle w:val="SingleTxtG"/>
        <w:rPr>
          <w:lang w:val="fr-FR" w:eastAsia="en-GB"/>
        </w:rPr>
      </w:pPr>
      <w:r w:rsidRPr="009D182C">
        <w:rPr>
          <w:i/>
          <w:lang w:val="fr-FR" w:eastAsia="en-GB"/>
        </w:rPr>
        <w:t>Paragraphe 3</w:t>
      </w:r>
      <w:r w:rsidRPr="009D182C">
        <w:rPr>
          <w:lang w:val="fr-FR" w:eastAsia="en-GB"/>
        </w:rPr>
        <w:t>, modifier comme suit :</w:t>
      </w:r>
    </w:p>
    <w:p w:rsidR="00C60B94" w:rsidRPr="009D182C" w:rsidRDefault="00C60B94" w:rsidP="00C60B94">
      <w:pPr>
        <w:pStyle w:val="SingleTxtG"/>
        <w:ind w:left="2268" w:hanging="1134"/>
        <w:rPr>
          <w:lang w:val="fr-FR" w:eastAsia="en-GB"/>
        </w:rPr>
      </w:pPr>
      <w:r w:rsidRPr="009D182C">
        <w:rPr>
          <w:lang w:val="fr-FR" w:eastAsia="en-GB"/>
        </w:rPr>
        <w:t>« 3.</w:t>
      </w:r>
      <w:r w:rsidRPr="009D182C">
        <w:rPr>
          <w:lang w:val="fr-FR" w:eastAsia="en-GB"/>
        </w:rPr>
        <w:tab/>
        <w:t>Position de fonctionnement</w:t>
      </w:r>
    </w:p>
    <w:p w:rsidR="00C60B94" w:rsidRPr="009D182C" w:rsidRDefault="00C60B94" w:rsidP="00C60B94">
      <w:pPr>
        <w:pStyle w:val="SingleTxtG"/>
        <w:ind w:left="2268"/>
        <w:rPr>
          <w:lang w:val="fr-FR" w:eastAsia="en-GB"/>
        </w:rPr>
      </w:pPr>
      <w:r w:rsidRPr="009D182C">
        <w:rPr>
          <w:lang w:val="fr-FR" w:eastAsia="en-GB"/>
        </w:rPr>
        <w:t xml:space="preserve">La position de fonctionnement est horizontale avec une tolérance de </w:t>
      </w:r>
      <w:r w:rsidRPr="009D182C">
        <w:rPr>
          <w:lang w:val="fr-FR" w:eastAsia="en-GB"/>
        </w:rPr>
        <w:sym w:font="Symbol" w:char="F0B1"/>
      </w:r>
      <w:r w:rsidRPr="009D182C">
        <w:rPr>
          <w:lang w:val="fr-FR" w:eastAsia="en-GB"/>
        </w:rPr>
        <w:t>10°, le câble d</w:t>
      </w:r>
      <w:r w:rsidR="009D4C0B" w:rsidRPr="009D182C">
        <w:rPr>
          <w:lang w:val="fr-FR" w:eastAsia="en-GB"/>
        </w:rPr>
        <w:t>’</w:t>
      </w:r>
      <w:r w:rsidRPr="009D182C">
        <w:rPr>
          <w:lang w:val="fr-FR" w:eastAsia="en-GB"/>
        </w:rPr>
        <w:t xml:space="preserve">alimentation étant dirigé vers le bas. Les positions pour le vieillissement et les essais doivent être identiques. Si la </w:t>
      </w:r>
      <w:r w:rsidRPr="009D182C">
        <w:rPr>
          <w:bCs/>
          <w:lang w:val="fr-FR" w:eastAsia="en-GB"/>
        </w:rPr>
        <w:t>source lumineuse à décharge</w:t>
      </w:r>
      <w:r w:rsidRPr="009D182C">
        <w:rPr>
          <w:b/>
          <w:bCs/>
          <w:lang w:val="fr-FR" w:eastAsia="en-GB"/>
        </w:rPr>
        <w:t xml:space="preserve"> </w:t>
      </w:r>
      <w:r w:rsidRPr="009D182C">
        <w:rPr>
          <w:lang w:val="fr-FR" w:eastAsia="en-GB"/>
        </w:rPr>
        <w:t>est mise accidentellement en fonctionnement alors qu</w:t>
      </w:r>
      <w:r w:rsidR="009D4C0B" w:rsidRPr="009D182C">
        <w:rPr>
          <w:lang w:val="fr-FR" w:eastAsia="en-GB"/>
        </w:rPr>
        <w:t>’</w:t>
      </w:r>
      <w:r w:rsidRPr="009D182C">
        <w:rPr>
          <w:lang w:val="fr-FR" w:eastAsia="en-GB"/>
        </w:rPr>
        <w:t>elle est placée dans le mauvais sens, elle doit subir de nouveau les opérations de vieillissement avant le début des mesures. Pendant le vieillissement et les mesures, aucun objet conducteur de l</w:t>
      </w:r>
      <w:r w:rsidR="009D4C0B" w:rsidRPr="009D182C">
        <w:rPr>
          <w:lang w:val="fr-FR" w:eastAsia="en-GB"/>
        </w:rPr>
        <w:t>’</w:t>
      </w:r>
      <w:r w:rsidRPr="009D182C">
        <w:rPr>
          <w:lang w:val="fr-FR" w:eastAsia="en-GB"/>
        </w:rPr>
        <w:t>électricité ne doit se trouver à l</w:t>
      </w:r>
      <w:r w:rsidR="009D4C0B" w:rsidRPr="009D182C">
        <w:rPr>
          <w:lang w:val="fr-FR" w:eastAsia="en-GB"/>
        </w:rPr>
        <w:t>’</w:t>
      </w:r>
      <w:r w:rsidRPr="009D182C">
        <w:rPr>
          <w:lang w:val="fr-FR" w:eastAsia="en-GB"/>
        </w:rPr>
        <w:t>intérieur d</w:t>
      </w:r>
      <w:r w:rsidR="009D4C0B" w:rsidRPr="009D182C">
        <w:rPr>
          <w:lang w:val="fr-FR" w:eastAsia="en-GB"/>
        </w:rPr>
        <w:t>’</w:t>
      </w:r>
      <w:r w:rsidRPr="009D182C">
        <w:rPr>
          <w:lang w:val="fr-FR" w:eastAsia="en-GB"/>
        </w:rPr>
        <w:t>un cylindre de 32 mm de diamètre et de 60 mm de long, dont le centre est l</w:t>
      </w:r>
      <w:r w:rsidR="009D4C0B" w:rsidRPr="009D182C">
        <w:rPr>
          <w:lang w:val="fr-FR" w:eastAsia="en-GB"/>
        </w:rPr>
        <w:t>’</w:t>
      </w:r>
      <w:r w:rsidRPr="009D182C">
        <w:rPr>
          <w:lang w:val="fr-FR" w:eastAsia="en-GB"/>
        </w:rPr>
        <w:t>axe de référence et qui est symétrique à l</w:t>
      </w:r>
      <w:r w:rsidR="009D4C0B" w:rsidRPr="009D182C">
        <w:rPr>
          <w:lang w:val="fr-FR" w:eastAsia="en-GB"/>
        </w:rPr>
        <w:t>’</w:t>
      </w:r>
      <w:r w:rsidRPr="009D182C">
        <w:rPr>
          <w:lang w:val="fr-FR" w:eastAsia="en-GB"/>
        </w:rPr>
        <w:t>arc. Il faudra en outre éviter les champs magnétiques parasites. ».</w:t>
      </w:r>
    </w:p>
    <w:p w:rsidR="00C60B94" w:rsidRPr="009D182C" w:rsidRDefault="00C60B94" w:rsidP="00C60B94">
      <w:pPr>
        <w:pStyle w:val="SingleTxtG"/>
        <w:ind w:left="2268" w:hanging="1134"/>
        <w:rPr>
          <w:lang w:val="fr-FR" w:eastAsia="en-GB"/>
        </w:rPr>
      </w:pPr>
      <w:r w:rsidRPr="009D182C">
        <w:rPr>
          <w:i/>
          <w:lang w:val="fr-FR" w:eastAsia="en-GB"/>
        </w:rPr>
        <w:t>Paragraphe 10</w:t>
      </w:r>
      <w:r w:rsidRPr="009D182C">
        <w:rPr>
          <w:lang w:val="fr-FR" w:eastAsia="en-GB"/>
        </w:rPr>
        <w:t>, supprimer la figure et modifier comme suit :</w:t>
      </w:r>
    </w:p>
    <w:p w:rsidR="00C60B94" w:rsidRPr="00B31654" w:rsidRDefault="00C60B94" w:rsidP="00C60B94">
      <w:pPr>
        <w:pStyle w:val="SingleTxtG"/>
        <w:ind w:left="2268" w:hanging="1134"/>
        <w:rPr>
          <w:lang w:val="fr-FR" w:eastAsia="en-GB"/>
        </w:rPr>
      </w:pPr>
      <w:r w:rsidRPr="00B31654">
        <w:rPr>
          <w:lang w:val="fr-FR" w:eastAsia="en-GB"/>
        </w:rPr>
        <w:t>« 10.</w:t>
      </w:r>
      <w:r w:rsidRPr="00B31654">
        <w:rPr>
          <w:lang w:val="fr-FR" w:eastAsia="en-GB"/>
        </w:rPr>
        <w:tab/>
        <w:t>Couleur</w:t>
      </w:r>
    </w:p>
    <w:p w:rsidR="00764851" w:rsidRDefault="00C60B94" w:rsidP="00C60B94">
      <w:pPr>
        <w:pStyle w:val="SingleTxtG"/>
        <w:ind w:left="2268"/>
        <w:rPr>
          <w:lang w:val="fr-FR" w:eastAsia="en-GB"/>
        </w:rPr>
      </w:pPr>
      <w:r w:rsidRPr="00B31654">
        <w:rPr>
          <w:lang w:val="fr-FR" w:eastAsia="en-GB"/>
        </w:rPr>
        <w:tab/>
        <w:t>La couleur de la source lumineuse doit être mesurée sur une sphère d</w:t>
      </w:r>
      <w:r w:rsidR="009D4C0B" w:rsidRPr="00B31654">
        <w:rPr>
          <w:lang w:val="fr-FR" w:eastAsia="en-GB"/>
        </w:rPr>
        <w:t>’</w:t>
      </w:r>
      <w:r w:rsidRPr="00B31654">
        <w:rPr>
          <w:lang w:val="fr-FR" w:eastAsia="en-GB"/>
        </w:rPr>
        <w:t>intégration à l</w:t>
      </w:r>
      <w:r w:rsidR="009D4C0B" w:rsidRPr="00B31654">
        <w:rPr>
          <w:lang w:val="fr-FR" w:eastAsia="en-GB"/>
        </w:rPr>
        <w:t>’</w:t>
      </w:r>
      <w:r w:rsidRPr="00B31654">
        <w:rPr>
          <w:lang w:val="fr-FR" w:eastAsia="en-GB"/>
        </w:rPr>
        <w:t>aide d</w:t>
      </w:r>
      <w:r w:rsidR="009D4C0B" w:rsidRPr="00B31654">
        <w:rPr>
          <w:lang w:val="fr-FR" w:eastAsia="en-GB"/>
        </w:rPr>
        <w:t>’</w:t>
      </w:r>
      <w:r w:rsidRPr="00B31654">
        <w:rPr>
          <w:lang w:val="fr-FR" w:eastAsia="en-GB"/>
        </w:rPr>
        <w:t xml:space="preserve">un système de mesure indiquant les coordonnées chromatiques CEI de la lumière reçue avec un degré de résolution de </w:t>
      </w:r>
      <w:r w:rsidRPr="00B31654">
        <w:rPr>
          <w:lang w:val="fr-FR" w:eastAsia="en-GB"/>
        </w:rPr>
        <w:sym w:font="Symbol" w:char="F0B1"/>
      </w:r>
      <w:r w:rsidRPr="00B31654">
        <w:rPr>
          <w:lang w:val="fr-FR" w:eastAsia="en-GB"/>
        </w:rPr>
        <w:t>0,002.</w:t>
      </w:r>
      <w:r w:rsidR="009D182C">
        <w:rPr>
          <w:lang w:val="fr-FR" w:eastAsia="en-GB"/>
        </w:rPr>
        <w:t> </w:t>
      </w:r>
      <w:r w:rsidRPr="00B31654">
        <w:rPr>
          <w:lang w:val="fr-FR" w:eastAsia="en-GB"/>
        </w:rPr>
        <w:t>».</w:t>
      </w:r>
    </w:p>
    <w:p w:rsidR="00C60B94" w:rsidRPr="00B31654" w:rsidRDefault="00764851" w:rsidP="00764851">
      <w:pPr>
        <w:pStyle w:val="SingleTxtG"/>
        <w:rPr>
          <w:lang w:val="fr-FR" w:eastAsia="en-GB"/>
        </w:rPr>
      </w:pPr>
      <w:r>
        <w:rPr>
          <w:lang w:val="fr-FR" w:eastAsia="en-GB"/>
        </w:rPr>
        <w:br w:type="page"/>
      </w:r>
      <w:r w:rsidR="00C60B94" w:rsidRPr="00B31654">
        <w:rPr>
          <w:i/>
          <w:lang w:val="fr-FR" w:eastAsia="en-GB"/>
        </w:rPr>
        <w:lastRenderedPageBreak/>
        <w:t>Annexe 5</w:t>
      </w:r>
      <w:r w:rsidR="00C60B94" w:rsidRPr="00B31654">
        <w:rPr>
          <w:lang w:val="fr-FR" w:eastAsia="en-GB"/>
        </w:rPr>
        <w:t>,</w:t>
      </w:r>
      <w:r w:rsidR="00C60B94" w:rsidRPr="00B31654">
        <w:rPr>
          <w:i/>
          <w:lang w:val="fr-FR" w:eastAsia="en-GB"/>
        </w:rPr>
        <w:t xml:space="preserve"> </w:t>
      </w:r>
      <w:r w:rsidR="00C60B94" w:rsidRPr="00B31654">
        <w:rPr>
          <w:lang w:val="fr-FR" w:eastAsia="en-GB"/>
        </w:rPr>
        <w:t>modifier comme suit :</w:t>
      </w:r>
    </w:p>
    <w:p w:rsidR="00C60B94" w:rsidRPr="00594B17" w:rsidRDefault="00C60B94" w:rsidP="00C60B94">
      <w:pPr>
        <w:pStyle w:val="HChG"/>
        <w:rPr>
          <w:lang w:val="fr-FR" w:eastAsia="en-GB"/>
        </w:rPr>
      </w:pPr>
      <w:bookmarkStart w:id="4" w:name="_Toc386203011"/>
      <w:r w:rsidRPr="00447B5E">
        <w:rPr>
          <w:b w:val="0"/>
          <w:sz w:val="20"/>
          <w:lang w:val="fr-FR" w:eastAsia="en-GB"/>
        </w:rPr>
        <w:t>«</w:t>
      </w:r>
      <w:r>
        <w:rPr>
          <w:lang w:val="fr-FR" w:eastAsia="en-GB"/>
        </w:rPr>
        <w:t> </w:t>
      </w:r>
      <w:r w:rsidRPr="00594B17">
        <w:rPr>
          <w:lang w:val="fr-FR" w:eastAsia="en-GB"/>
        </w:rPr>
        <w:t>Annexe 5</w:t>
      </w:r>
      <w:bookmarkEnd w:id="4"/>
    </w:p>
    <w:p w:rsidR="00C60B94" w:rsidRPr="00594B17" w:rsidRDefault="00C60B94" w:rsidP="00C60B94">
      <w:pPr>
        <w:pStyle w:val="HChG"/>
        <w:rPr>
          <w:lang w:val="fr-FR" w:eastAsia="en-GB"/>
        </w:rPr>
      </w:pPr>
      <w:r w:rsidRPr="00594B17">
        <w:rPr>
          <w:lang w:val="fr-FR" w:eastAsia="en-GB"/>
        </w:rPr>
        <w:tab/>
      </w:r>
      <w:r w:rsidRPr="00594B17">
        <w:rPr>
          <w:lang w:val="fr-FR" w:eastAsia="en-GB"/>
        </w:rPr>
        <w:tab/>
      </w:r>
      <w:bookmarkStart w:id="5" w:name="_Toc386203012"/>
      <w:r w:rsidRPr="00594B17">
        <w:rPr>
          <w:lang w:val="fr-FR" w:eastAsia="en-GB"/>
        </w:rPr>
        <w:t>Dispositif optique pour mesurer la position et la forme</w:t>
      </w:r>
      <w:r w:rsidRPr="00594B17">
        <w:rPr>
          <w:lang w:val="fr-FR" w:eastAsia="en-GB"/>
        </w:rPr>
        <w:br/>
        <w:t>de l</w:t>
      </w:r>
      <w:r w:rsidR="009D4C0B">
        <w:rPr>
          <w:lang w:val="fr-FR" w:eastAsia="en-GB"/>
        </w:rPr>
        <w:t>’</w:t>
      </w:r>
      <w:r w:rsidRPr="00594B17">
        <w:rPr>
          <w:lang w:val="fr-FR" w:eastAsia="en-GB"/>
        </w:rPr>
        <w:t>arc et la position des électrodes</w:t>
      </w:r>
      <w:r w:rsidRPr="00447B5E">
        <w:rPr>
          <w:b w:val="0"/>
          <w:sz w:val="18"/>
          <w:szCs w:val="18"/>
          <w:vertAlign w:val="superscript"/>
          <w:lang w:val="fr-FR" w:eastAsia="en-GB"/>
        </w:rPr>
        <w:footnoteReference w:id="3"/>
      </w:r>
      <w:bookmarkEnd w:id="5"/>
    </w:p>
    <w:p w:rsidR="005F0207" w:rsidRPr="00C30804" w:rsidRDefault="00C60B94" w:rsidP="00982711">
      <w:pPr>
        <w:pStyle w:val="SingleTxtG"/>
        <w:ind w:firstLine="567"/>
        <w:rPr>
          <w:lang w:val="fr-FR" w:eastAsia="en-GB"/>
        </w:rPr>
      </w:pPr>
      <w:r w:rsidRPr="00C30804">
        <w:rPr>
          <w:lang w:val="fr-FR" w:eastAsia="en-GB"/>
        </w:rPr>
        <w:t xml:space="preserve">La source lumineuse à décharge doit être placée comme indiqué </w:t>
      </w:r>
      <w:r w:rsidRPr="00C30804">
        <w:rPr>
          <w:bCs/>
          <w:lang w:val="fr-FR" w:eastAsia="en-GB"/>
        </w:rPr>
        <w:t>dans le croquis principal de la catégorie correspondante</w:t>
      </w:r>
      <w:r w:rsidRPr="00C30804">
        <w:rPr>
          <w:lang w:val="fr-FR" w:eastAsia="en-GB"/>
        </w:rPr>
        <w:t>.</w:t>
      </w:r>
    </w:p>
    <w:p w:rsidR="00C274C7" w:rsidRDefault="00C274C7" w:rsidP="00C274C7">
      <w:pPr>
        <w:pStyle w:val="SingleTxtG"/>
      </w:pPr>
      <w:r w:rsidRPr="0094312F">
        <w:rPr>
          <w:noProof/>
          <w:lang w:val="en-GB" w:eastAsia="en-GB"/>
        </w:rPr>
        <w:drawing>
          <wp:inline distT="0" distB="0" distL="0" distR="0" wp14:anchorId="47C7A40D" wp14:editId="50ED65BB">
            <wp:extent cx="4644000" cy="2386800"/>
            <wp:effectExtent l="0" t="0" r="4445" b="0"/>
            <wp:docPr id="5" name="Picture 2" descr="Annex 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x 5-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4000" cy="2386800"/>
                    </a:xfrm>
                    <a:prstGeom prst="rect">
                      <a:avLst/>
                    </a:prstGeom>
                    <a:noFill/>
                    <a:ln>
                      <a:noFill/>
                    </a:ln>
                  </pic:spPr>
                </pic:pic>
              </a:graphicData>
            </a:graphic>
          </wp:inline>
        </w:drawing>
      </w:r>
    </w:p>
    <w:p w:rsidR="00C274C7" w:rsidRPr="00C30804" w:rsidRDefault="00C274C7" w:rsidP="00C274C7">
      <w:pPr>
        <w:pStyle w:val="SingleTxtG"/>
        <w:ind w:firstLine="567"/>
        <w:rPr>
          <w:lang w:val="fr-FR"/>
        </w:rPr>
      </w:pPr>
      <w:r w:rsidRPr="00C30804">
        <w:rPr>
          <w:lang w:val="fr-FR"/>
        </w:rPr>
        <w:t>Un système optique doit projeter sur un écran une image réelle A′ de l</w:t>
      </w:r>
      <w:r w:rsidR="009D4C0B" w:rsidRPr="00C30804">
        <w:rPr>
          <w:lang w:val="fr-FR"/>
        </w:rPr>
        <w:t>’</w:t>
      </w:r>
      <w:r w:rsidRPr="00C30804">
        <w:rPr>
          <w:lang w:val="fr-FR"/>
        </w:rPr>
        <w:t>arc A à un grossissement qui sera de préférence M = s′/s = 20. Le système optique doit être aplanétique et achromatique. Un diaphragme d, situé dans la distance focale f du système optique, assurera une projection de l</w:t>
      </w:r>
      <w:r w:rsidR="009D4C0B" w:rsidRPr="00C30804">
        <w:rPr>
          <w:lang w:val="fr-FR"/>
        </w:rPr>
        <w:t>’</w:t>
      </w:r>
      <w:r w:rsidRPr="00C30804">
        <w:rPr>
          <w:lang w:val="fr-FR"/>
        </w:rPr>
        <w:t>arc selon les directions quasiment parallèles au point d</w:t>
      </w:r>
      <w:r w:rsidR="009D4C0B" w:rsidRPr="00C30804">
        <w:rPr>
          <w:lang w:val="fr-FR"/>
        </w:rPr>
        <w:t>’</w:t>
      </w:r>
      <w:r w:rsidRPr="00C30804">
        <w:rPr>
          <w:lang w:val="fr-FR"/>
        </w:rPr>
        <w:t>observation. Pour que l</w:t>
      </w:r>
      <w:r w:rsidR="009D4C0B" w:rsidRPr="00C30804">
        <w:rPr>
          <w:lang w:val="fr-FR"/>
        </w:rPr>
        <w:t>’</w:t>
      </w:r>
      <w:r w:rsidRPr="00C30804">
        <w:rPr>
          <w:lang w:val="fr-FR"/>
        </w:rPr>
        <w:t xml:space="preserve">angle de la demi-divergence ne dépasse pas </w:t>
      </w:r>
      <w:r w:rsidRPr="00C30804">
        <w:rPr>
          <w:lang w:val="fr-FR"/>
        </w:rPr>
        <w:sym w:font="Symbol" w:char="F06D"/>
      </w:r>
      <w:r w:rsidRPr="00C30804">
        <w:rPr>
          <w:lang w:val="fr-FR"/>
        </w:rPr>
        <w:t xml:space="preserve"> = 0,5°, le diamètre du diaphragme ne doit pas dépasser d = 2f tan(</w:t>
      </w:r>
      <w:r w:rsidRPr="00C30804">
        <w:rPr>
          <w:lang w:val="fr-FR"/>
        </w:rPr>
        <w:sym w:font="Symbol" w:char="F06D"/>
      </w:r>
      <w:r w:rsidRPr="00C30804">
        <w:rPr>
          <w:lang w:val="fr-FR"/>
        </w:rPr>
        <w:t>) compte tenu de la focale du système optique. Le diamètre utile du système optique ne doit pas dépasser</w:t>
      </w:r>
      <w:r w:rsidR="001A71FB" w:rsidRPr="00C30804">
        <w:rPr>
          <w:lang w:val="fr-FR"/>
        </w:rPr>
        <w:t> </w:t>
      </w:r>
      <w:r w:rsidRPr="00C30804">
        <w:rPr>
          <w:lang w:val="fr-FR"/>
        </w:rPr>
        <w:t>:</w:t>
      </w:r>
    </w:p>
    <w:p w:rsidR="00C274C7" w:rsidRPr="00C30804" w:rsidRDefault="00C274C7" w:rsidP="00C274C7">
      <w:pPr>
        <w:pStyle w:val="SingleTxtG"/>
        <w:ind w:firstLine="567"/>
        <w:rPr>
          <w:szCs w:val="24"/>
          <w:lang w:val="fr-FR"/>
        </w:rPr>
      </w:pPr>
      <w:r w:rsidRPr="00C30804">
        <w:rPr>
          <w:szCs w:val="24"/>
          <w:lang w:val="fr-FR"/>
        </w:rPr>
        <w:t>D = (1 + 1/M)d + c + (b1 + b2)/2. (c, b1 et b2 sont indiqués sur les feuilles prescriva</w:t>
      </w:r>
      <w:r w:rsidR="000B3FC5" w:rsidRPr="00C30804">
        <w:rPr>
          <w:szCs w:val="24"/>
          <w:lang w:val="fr-FR"/>
        </w:rPr>
        <w:t>nt la position des électrodes).</w:t>
      </w:r>
    </w:p>
    <w:p w:rsidR="00C274C7" w:rsidRPr="00C30804" w:rsidRDefault="00C274C7" w:rsidP="00C274C7">
      <w:pPr>
        <w:pStyle w:val="SingleTxtG"/>
        <w:ind w:firstLine="567"/>
        <w:rPr>
          <w:lang w:val="fr-FR"/>
        </w:rPr>
      </w:pPr>
      <w:r w:rsidRPr="00C30804">
        <w:rPr>
          <w:szCs w:val="24"/>
          <w:lang w:val="fr-FR"/>
        </w:rPr>
        <w:t>Une échelle placée sur l</w:t>
      </w:r>
      <w:r w:rsidR="009D4C0B" w:rsidRPr="00C30804">
        <w:rPr>
          <w:szCs w:val="24"/>
          <w:lang w:val="fr-FR"/>
        </w:rPr>
        <w:t>’</w:t>
      </w:r>
      <w:r w:rsidRPr="00C30804">
        <w:rPr>
          <w:szCs w:val="24"/>
          <w:lang w:val="fr-FR"/>
        </w:rPr>
        <w:t>écran permettra de mesurer la position des électrodes. L</w:t>
      </w:r>
      <w:r w:rsidR="009D4C0B" w:rsidRPr="00C30804">
        <w:rPr>
          <w:szCs w:val="24"/>
          <w:lang w:val="fr-FR"/>
        </w:rPr>
        <w:t>’</w:t>
      </w:r>
      <w:r w:rsidRPr="00C30804">
        <w:rPr>
          <w:szCs w:val="24"/>
          <w:lang w:val="fr-FR"/>
        </w:rPr>
        <w:t>étalonnage du dispositif peut être réalisé avec profit à l</w:t>
      </w:r>
      <w:r w:rsidR="009D4C0B" w:rsidRPr="00C30804">
        <w:rPr>
          <w:szCs w:val="24"/>
          <w:lang w:val="fr-FR"/>
        </w:rPr>
        <w:t>’</w:t>
      </w:r>
      <w:r w:rsidRPr="00C30804">
        <w:rPr>
          <w:szCs w:val="24"/>
          <w:lang w:val="fr-FR"/>
        </w:rPr>
        <w:t>aide d</w:t>
      </w:r>
      <w:r w:rsidR="009D4C0B" w:rsidRPr="00C30804">
        <w:rPr>
          <w:szCs w:val="24"/>
          <w:lang w:val="fr-FR"/>
        </w:rPr>
        <w:t>’</w:t>
      </w:r>
      <w:r w:rsidRPr="00C30804">
        <w:rPr>
          <w:szCs w:val="24"/>
          <w:lang w:val="fr-FR"/>
        </w:rPr>
        <w:t>un autre projecteur distinct émettant un faisceau parallèle en liaison avec un calibre dont l</w:t>
      </w:r>
      <w:r w:rsidR="009D4C0B" w:rsidRPr="00C30804">
        <w:rPr>
          <w:szCs w:val="24"/>
          <w:lang w:val="fr-FR"/>
        </w:rPr>
        <w:t>’</w:t>
      </w:r>
      <w:r w:rsidRPr="00C30804">
        <w:rPr>
          <w:szCs w:val="24"/>
          <w:lang w:val="fr-FR"/>
        </w:rPr>
        <w:t>ombre est projetée sur l</w:t>
      </w:r>
      <w:r w:rsidR="009D4C0B" w:rsidRPr="00C30804">
        <w:rPr>
          <w:szCs w:val="24"/>
          <w:lang w:val="fr-FR"/>
        </w:rPr>
        <w:t>’</w:t>
      </w:r>
      <w:r w:rsidRPr="00C30804">
        <w:rPr>
          <w:szCs w:val="24"/>
          <w:lang w:val="fr-FR"/>
        </w:rPr>
        <w:t>écran. Le calibre fera apparaître l</w:t>
      </w:r>
      <w:r w:rsidR="009D4C0B" w:rsidRPr="00C30804">
        <w:rPr>
          <w:szCs w:val="24"/>
          <w:lang w:val="fr-FR"/>
        </w:rPr>
        <w:t>’</w:t>
      </w:r>
      <w:r w:rsidRPr="00C30804">
        <w:rPr>
          <w:szCs w:val="24"/>
          <w:lang w:val="fr-FR"/>
        </w:rPr>
        <w:t>axe de référence et le plan parallèle au plan de référence à une distance «</w:t>
      </w:r>
      <w:r w:rsidR="000B3FC5" w:rsidRPr="00C30804">
        <w:rPr>
          <w:szCs w:val="24"/>
          <w:lang w:val="fr-FR"/>
        </w:rPr>
        <w:t> </w:t>
      </w:r>
      <w:r w:rsidRPr="00C30804">
        <w:rPr>
          <w:szCs w:val="24"/>
          <w:lang w:val="fr-FR"/>
        </w:rPr>
        <w:t>e</w:t>
      </w:r>
      <w:r w:rsidR="000B3FC5" w:rsidRPr="00C30804">
        <w:rPr>
          <w:szCs w:val="24"/>
          <w:lang w:val="fr-FR"/>
        </w:rPr>
        <w:t> </w:t>
      </w:r>
      <w:r w:rsidRPr="00C30804">
        <w:rPr>
          <w:szCs w:val="24"/>
          <w:lang w:val="fr-FR"/>
        </w:rPr>
        <w:t>» (en mm) par rapport à lui.</w:t>
      </w:r>
    </w:p>
    <w:p w:rsidR="00C274C7" w:rsidRPr="00C30804" w:rsidRDefault="00C274C7" w:rsidP="00C274C7">
      <w:pPr>
        <w:pStyle w:val="SingleTxtG"/>
        <w:ind w:firstLine="567"/>
        <w:rPr>
          <w:szCs w:val="24"/>
          <w:lang w:val="fr-FR"/>
        </w:rPr>
      </w:pPr>
      <w:r w:rsidRPr="00C30804">
        <w:rPr>
          <w:szCs w:val="24"/>
          <w:lang w:val="fr-FR"/>
        </w:rPr>
        <w:t>Un récepteur, monté dans le plan d</w:t>
      </w:r>
      <w:r w:rsidR="009D4C0B" w:rsidRPr="00C30804">
        <w:rPr>
          <w:szCs w:val="24"/>
          <w:lang w:val="fr-FR"/>
        </w:rPr>
        <w:t>’</w:t>
      </w:r>
      <w:r w:rsidRPr="00C30804">
        <w:rPr>
          <w:szCs w:val="24"/>
          <w:lang w:val="fr-FR"/>
        </w:rPr>
        <w:t>écran, doit pouvoir se déplacer verticalement sur une ligne correspondant au plan, à une distance «</w:t>
      </w:r>
      <w:r w:rsidR="000B3FC5" w:rsidRPr="00C30804">
        <w:rPr>
          <w:szCs w:val="24"/>
          <w:lang w:val="fr-FR"/>
        </w:rPr>
        <w:t> </w:t>
      </w:r>
      <w:r w:rsidRPr="00C30804">
        <w:rPr>
          <w:szCs w:val="24"/>
          <w:lang w:val="fr-FR"/>
        </w:rPr>
        <w:t>e</w:t>
      </w:r>
      <w:r w:rsidR="000B3FC5" w:rsidRPr="00C30804">
        <w:rPr>
          <w:szCs w:val="24"/>
          <w:lang w:val="fr-FR"/>
        </w:rPr>
        <w:t> </w:t>
      </w:r>
      <w:r w:rsidRPr="00C30804">
        <w:rPr>
          <w:szCs w:val="24"/>
          <w:lang w:val="fr-FR"/>
        </w:rPr>
        <w:t>» du plan de référence de la source lumineuse à décharge.</w:t>
      </w:r>
    </w:p>
    <w:p w:rsidR="00C274C7" w:rsidRPr="00C30804" w:rsidRDefault="00C274C7" w:rsidP="000B3FC5">
      <w:pPr>
        <w:pStyle w:val="SingleTxtG"/>
        <w:ind w:firstLine="567"/>
        <w:rPr>
          <w:lang w:val="fr-FR"/>
        </w:rPr>
      </w:pPr>
      <w:r w:rsidRPr="00C30804">
        <w:rPr>
          <w:szCs w:val="24"/>
          <w:lang w:val="fr-FR"/>
        </w:rPr>
        <w:t>Le récepteur doit avoir la sensibilité spectrale relative de l</w:t>
      </w:r>
      <w:r w:rsidR="009D4C0B" w:rsidRPr="00C30804">
        <w:rPr>
          <w:szCs w:val="24"/>
          <w:lang w:val="fr-FR"/>
        </w:rPr>
        <w:t>’</w:t>
      </w:r>
      <w:r w:rsidRPr="00C30804">
        <w:rPr>
          <w:szCs w:val="24"/>
          <w:lang w:val="fr-FR"/>
        </w:rPr>
        <w:t xml:space="preserve">œil humain, sa taille ne </w:t>
      </w:r>
      <w:r w:rsidRPr="00C30804">
        <w:rPr>
          <w:spacing w:val="-2"/>
          <w:szCs w:val="24"/>
          <w:lang w:val="fr-FR"/>
        </w:rPr>
        <w:t>dépassant pas 0,2 M</w:t>
      </w:r>
      <w:r w:rsidR="000B3FC5" w:rsidRPr="00C30804">
        <w:rPr>
          <w:spacing w:val="-2"/>
          <w:szCs w:val="24"/>
          <w:lang w:val="fr-FR"/>
        </w:rPr>
        <w:t> </w:t>
      </w:r>
      <w:r w:rsidRPr="00C30804">
        <w:rPr>
          <w:spacing w:val="-2"/>
          <w:szCs w:val="24"/>
          <w:lang w:val="fr-FR"/>
        </w:rPr>
        <w:t>mm horizontalement et 0,025 M mm verticalement (M = grossissement).</w:t>
      </w:r>
      <w:r w:rsidRPr="00C30804">
        <w:rPr>
          <w:szCs w:val="24"/>
          <w:lang w:val="fr-FR"/>
        </w:rPr>
        <w:t xml:space="preserve"> L</w:t>
      </w:r>
      <w:r w:rsidR="009D4C0B" w:rsidRPr="00C30804">
        <w:rPr>
          <w:szCs w:val="24"/>
          <w:lang w:val="fr-FR"/>
        </w:rPr>
        <w:t>’</w:t>
      </w:r>
      <w:r w:rsidRPr="00C30804">
        <w:rPr>
          <w:szCs w:val="24"/>
          <w:lang w:val="fr-FR"/>
        </w:rPr>
        <w:t>amplitude du mouvement mesurable permettra d</w:t>
      </w:r>
      <w:r w:rsidR="009D4C0B" w:rsidRPr="00C30804">
        <w:rPr>
          <w:szCs w:val="24"/>
          <w:lang w:val="fr-FR"/>
        </w:rPr>
        <w:t>’</w:t>
      </w:r>
      <w:r w:rsidRPr="00C30804">
        <w:rPr>
          <w:szCs w:val="24"/>
          <w:lang w:val="fr-FR"/>
        </w:rPr>
        <w:t>effectuer les mesures requises de la courbure r et de la diffusion s de l</w:t>
      </w:r>
      <w:r w:rsidR="009D4C0B" w:rsidRPr="00C30804">
        <w:rPr>
          <w:szCs w:val="24"/>
          <w:lang w:val="fr-FR"/>
        </w:rPr>
        <w:t>’</w:t>
      </w:r>
      <w:r w:rsidRPr="00C30804">
        <w:rPr>
          <w:szCs w:val="24"/>
          <w:lang w:val="fr-FR"/>
        </w:rPr>
        <w:t>arc.</w:t>
      </w:r>
      <w:r w:rsidRPr="00C30804">
        <w:rPr>
          <w:lang w:val="fr-FR"/>
        </w:rPr>
        <w:t xml:space="preserve"> Pour la mesure de la lumière parasite, le récepteur doit être de forme circulaire avec un diamètre de 0,2 M mm.</w:t>
      </w:r>
      <w:r w:rsidR="000B3FC5" w:rsidRPr="00C30804">
        <w:rPr>
          <w:lang w:val="fr-FR"/>
        </w:rPr>
        <w:t> </w:t>
      </w:r>
      <w:r w:rsidRPr="00C30804">
        <w:rPr>
          <w:lang w:val="fr-FR"/>
        </w:rPr>
        <w:t>».</w:t>
      </w:r>
    </w:p>
    <w:p w:rsidR="000B3FC5" w:rsidRPr="00C30804" w:rsidRDefault="000B3FC5" w:rsidP="00660FED">
      <w:pPr>
        <w:pStyle w:val="SingleTxtG"/>
        <w:keepNext/>
        <w:rPr>
          <w:lang w:val="fr-FR"/>
        </w:rPr>
      </w:pPr>
      <w:r w:rsidRPr="00C30804">
        <w:rPr>
          <w:i/>
          <w:lang w:val="fr-FR"/>
        </w:rPr>
        <w:t>Annexe 7</w:t>
      </w:r>
      <w:r w:rsidRPr="00C30804">
        <w:rPr>
          <w:lang w:val="fr-FR"/>
        </w:rPr>
        <w:t>,</w:t>
      </w:r>
    </w:p>
    <w:p w:rsidR="000B3FC5" w:rsidRPr="00C30804" w:rsidRDefault="000B3FC5" w:rsidP="00660FED">
      <w:pPr>
        <w:pStyle w:val="SingleTxtG"/>
        <w:keepNext/>
        <w:rPr>
          <w:lang w:val="fr-FR"/>
        </w:rPr>
      </w:pPr>
      <w:r w:rsidRPr="00C30804">
        <w:rPr>
          <w:i/>
          <w:lang w:val="fr-FR"/>
        </w:rPr>
        <w:t xml:space="preserve">Tableau 1, ligne </w:t>
      </w:r>
      <w:r w:rsidRPr="00C30804">
        <w:rPr>
          <w:lang w:val="fr-FR"/>
        </w:rPr>
        <w:t>«</w:t>
      </w:r>
      <w:r w:rsidR="00811552">
        <w:rPr>
          <w:lang w:val="fr-FR"/>
        </w:rPr>
        <w:t> </w:t>
      </w:r>
      <w:r w:rsidRPr="00C30804">
        <w:rPr>
          <w:i/>
          <w:lang w:val="fr-FR"/>
        </w:rPr>
        <w:t>Tension et puissance de la lampe</w:t>
      </w:r>
      <w:r w:rsidR="00811552">
        <w:rPr>
          <w:i/>
          <w:lang w:val="fr-FR"/>
        </w:rPr>
        <w:t> </w:t>
      </w:r>
      <w:r w:rsidRPr="00C30804">
        <w:rPr>
          <w:i/>
          <w:lang w:val="fr-FR"/>
        </w:rPr>
        <w:t xml:space="preserve">», </w:t>
      </w:r>
      <w:r w:rsidRPr="00C30804">
        <w:rPr>
          <w:lang w:val="fr-FR"/>
        </w:rPr>
        <w:t>modifier comme suit</w:t>
      </w:r>
      <w:r w:rsidR="004E118A" w:rsidRPr="00C30804">
        <w:rPr>
          <w:lang w:val="fr-FR"/>
        </w:rPr>
        <w:t> </w:t>
      </w:r>
      <w:r w:rsidRPr="00C30804">
        <w:rPr>
          <w:lang w:val="fr-FR"/>
        </w:rPr>
        <w:t>:</w:t>
      </w:r>
    </w:p>
    <w:p w:rsidR="000B3FC5" w:rsidRDefault="000B3FC5" w:rsidP="00660FED">
      <w:pPr>
        <w:pStyle w:val="SingleTxtG"/>
        <w:keepNext/>
        <w:rPr>
          <w:lang w:val="fr-FR"/>
        </w:rPr>
      </w:pPr>
      <w:r>
        <w:rPr>
          <w:lang w:val="fr-FR"/>
        </w:rPr>
        <w:t>«</w:t>
      </w:r>
      <w:r w:rsidR="00090596">
        <w:rPr>
          <w:lang w:val="fr-FR"/>
        </w:rPr>
        <w:t> </w:t>
      </w:r>
      <w:r w:rsidRPr="0094312F">
        <w:rPr>
          <w:lang w:val="fr-FR"/>
        </w:rPr>
        <w:t>...</w:t>
      </w:r>
    </w:p>
    <w:tbl>
      <w:tblPr>
        <w:tblStyle w:val="TableGrid"/>
        <w:tblW w:w="7370" w:type="dxa"/>
        <w:tblInd w:w="1134" w:type="dxa"/>
        <w:tblLayout w:type="fixed"/>
        <w:tblLook w:val="04A0" w:firstRow="1" w:lastRow="0" w:firstColumn="1" w:lastColumn="0" w:noHBand="0" w:noVBand="1"/>
      </w:tblPr>
      <w:tblGrid>
        <w:gridCol w:w="1848"/>
        <w:gridCol w:w="2410"/>
        <w:gridCol w:w="1411"/>
        <w:gridCol w:w="1701"/>
      </w:tblGrid>
      <w:tr w:rsidR="00090596" w:rsidRPr="0094312F" w:rsidTr="00747904">
        <w:tc>
          <w:tcPr>
            <w:tcW w:w="1848" w:type="dxa"/>
            <w:tcBorders>
              <w:bottom w:val="single" w:sz="12" w:space="0" w:color="auto"/>
            </w:tcBorders>
            <w:shd w:val="clear" w:color="auto" w:fill="auto"/>
            <w:vAlign w:val="bottom"/>
          </w:tcPr>
          <w:p w:rsidR="00090596" w:rsidRPr="0094312F" w:rsidRDefault="00090596" w:rsidP="006067FC">
            <w:pPr>
              <w:spacing w:before="60" w:after="60" w:line="200" w:lineRule="exact"/>
              <w:ind w:left="57" w:right="57"/>
              <w:rPr>
                <w:i/>
                <w:sz w:val="16"/>
                <w:lang w:val="fr-FR"/>
              </w:rPr>
            </w:pPr>
            <w:r w:rsidRPr="0094312F">
              <w:rPr>
                <w:i/>
                <w:sz w:val="16"/>
                <w:lang w:val="fr-FR"/>
              </w:rPr>
              <w:t xml:space="preserve">Groupe </w:t>
            </w:r>
            <w:r w:rsidR="00747904">
              <w:rPr>
                <w:i/>
                <w:sz w:val="16"/>
                <w:lang w:val="fr-FR"/>
              </w:rPr>
              <w:br/>
            </w:r>
            <w:r w:rsidRPr="0094312F">
              <w:rPr>
                <w:i/>
                <w:sz w:val="16"/>
                <w:lang w:val="fr-FR"/>
              </w:rPr>
              <w:t xml:space="preserve">de caractéristiques </w:t>
            </w:r>
          </w:p>
        </w:tc>
        <w:tc>
          <w:tcPr>
            <w:tcW w:w="2410" w:type="dxa"/>
            <w:tcBorders>
              <w:bottom w:val="single" w:sz="12" w:space="0" w:color="auto"/>
            </w:tcBorders>
            <w:shd w:val="clear" w:color="auto" w:fill="auto"/>
            <w:vAlign w:val="bottom"/>
          </w:tcPr>
          <w:p w:rsidR="00090596" w:rsidRPr="0094312F" w:rsidRDefault="00090596" w:rsidP="006067FC">
            <w:pPr>
              <w:spacing w:before="60" w:after="60" w:line="200" w:lineRule="exact"/>
              <w:ind w:left="57" w:right="57"/>
              <w:rPr>
                <w:i/>
                <w:sz w:val="16"/>
                <w:lang w:val="fr-FR"/>
              </w:rPr>
            </w:pPr>
            <w:r w:rsidRPr="00846B2D">
              <w:rPr>
                <w:i/>
                <w:iCs/>
                <w:spacing w:val="-3"/>
                <w:sz w:val="16"/>
                <w:szCs w:val="16"/>
                <w:lang w:val="fr-FR"/>
              </w:rPr>
              <w:t>Groupement</w:t>
            </w:r>
            <w:r w:rsidRPr="00846B2D">
              <w:rPr>
                <w:i/>
                <w:spacing w:val="-3"/>
                <w:sz w:val="16"/>
                <w:szCs w:val="18"/>
                <w:lang w:val="fr-FR"/>
              </w:rPr>
              <w:t xml:space="preserve">* </w:t>
            </w:r>
            <w:r w:rsidRPr="00846B2D">
              <w:rPr>
                <w:i/>
                <w:iCs/>
                <w:spacing w:val="-3"/>
                <w:sz w:val="16"/>
                <w:szCs w:val="16"/>
                <w:lang w:val="fr-FR"/>
              </w:rPr>
              <w:t xml:space="preserve">des </w:t>
            </w:r>
            <w:r w:rsidR="00846B2D" w:rsidRPr="00846B2D">
              <w:rPr>
                <w:i/>
                <w:iCs/>
                <w:spacing w:val="-3"/>
                <w:sz w:val="16"/>
                <w:szCs w:val="16"/>
                <w:lang w:val="fr-FR"/>
              </w:rPr>
              <w:t>p</w:t>
            </w:r>
            <w:r w:rsidRPr="00846B2D">
              <w:rPr>
                <w:i/>
                <w:iCs/>
                <w:spacing w:val="-3"/>
                <w:sz w:val="16"/>
                <w:szCs w:val="16"/>
                <w:lang w:val="fr-FR"/>
              </w:rPr>
              <w:t>rocès</w:t>
            </w:r>
            <w:r w:rsidRPr="00846B2D">
              <w:rPr>
                <w:i/>
                <w:iCs/>
                <w:spacing w:val="-3"/>
                <w:sz w:val="16"/>
                <w:szCs w:val="16"/>
                <w:lang w:val="fr-FR"/>
              </w:rPr>
              <w:noBreakHyphen/>
              <w:t>verbaux</w:t>
            </w:r>
            <w:r w:rsidRPr="0094312F">
              <w:rPr>
                <w:i/>
                <w:iCs/>
                <w:sz w:val="16"/>
                <w:szCs w:val="16"/>
                <w:lang w:val="fr-FR"/>
              </w:rPr>
              <w:t xml:space="preserve"> d</w:t>
            </w:r>
            <w:r w:rsidR="009D4C0B">
              <w:rPr>
                <w:i/>
                <w:iCs/>
                <w:sz w:val="16"/>
                <w:szCs w:val="16"/>
                <w:lang w:val="fr-FR"/>
              </w:rPr>
              <w:t>’</w:t>
            </w:r>
            <w:r w:rsidRPr="0094312F">
              <w:rPr>
                <w:i/>
                <w:iCs/>
                <w:sz w:val="16"/>
                <w:szCs w:val="16"/>
                <w:lang w:val="fr-FR"/>
              </w:rPr>
              <w:t xml:space="preserve">essais selon les types de sources lumineuses à décharge </w:t>
            </w:r>
          </w:p>
        </w:tc>
        <w:tc>
          <w:tcPr>
            <w:tcW w:w="1411" w:type="dxa"/>
            <w:tcBorders>
              <w:bottom w:val="single" w:sz="12" w:space="0" w:color="auto"/>
            </w:tcBorders>
            <w:shd w:val="clear" w:color="auto" w:fill="auto"/>
            <w:vAlign w:val="bottom"/>
          </w:tcPr>
          <w:p w:rsidR="00090596" w:rsidRPr="0094312F" w:rsidRDefault="00090596" w:rsidP="006067FC">
            <w:pPr>
              <w:spacing w:before="60" w:after="60" w:line="200" w:lineRule="exact"/>
              <w:ind w:left="57" w:right="57"/>
              <w:rPr>
                <w:i/>
                <w:sz w:val="16"/>
                <w:lang w:val="fr-FR"/>
              </w:rPr>
            </w:pPr>
            <w:r w:rsidRPr="0094312F">
              <w:rPr>
                <w:i/>
                <w:sz w:val="16"/>
                <w:lang w:val="fr-FR"/>
              </w:rPr>
              <w:t xml:space="preserve">Échantillon </w:t>
            </w:r>
            <w:r w:rsidR="005F4D13">
              <w:rPr>
                <w:i/>
                <w:sz w:val="16"/>
                <w:lang w:val="fr-FR"/>
              </w:rPr>
              <w:br/>
            </w:r>
            <w:r w:rsidRPr="0094312F">
              <w:rPr>
                <w:i/>
                <w:iCs/>
                <w:sz w:val="16"/>
                <w:szCs w:val="16"/>
                <w:lang w:val="fr-FR"/>
              </w:rPr>
              <w:t>annuel</w:t>
            </w:r>
            <w:r w:rsidR="005F4D13">
              <w:rPr>
                <w:i/>
                <w:iCs/>
                <w:sz w:val="16"/>
                <w:szCs w:val="16"/>
                <w:lang w:val="fr-FR"/>
              </w:rPr>
              <w:t xml:space="preserve"> </w:t>
            </w:r>
            <w:r w:rsidRPr="0094312F">
              <w:rPr>
                <w:i/>
                <w:iCs/>
                <w:sz w:val="16"/>
                <w:szCs w:val="16"/>
                <w:lang w:val="fr-FR"/>
              </w:rPr>
              <w:t>minimum par groupe</w:t>
            </w:r>
            <w:r w:rsidRPr="005F4D13">
              <w:rPr>
                <w:iCs/>
                <w:sz w:val="16"/>
                <w:szCs w:val="18"/>
                <w:lang w:val="fr-FR"/>
              </w:rPr>
              <w:t>*</w:t>
            </w:r>
          </w:p>
        </w:tc>
        <w:tc>
          <w:tcPr>
            <w:tcW w:w="1701" w:type="dxa"/>
            <w:tcBorders>
              <w:bottom w:val="single" w:sz="12" w:space="0" w:color="auto"/>
            </w:tcBorders>
            <w:shd w:val="clear" w:color="auto" w:fill="auto"/>
            <w:vAlign w:val="bottom"/>
          </w:tcPr>
          <w:p w:rsidR="00090596" w:rsidRPr="0094312F" w:rsidRDefault="00090596" w:rsidP="006067FC">
            <w:pPr>
              <w:spacing w:before="60" w:after="60" w:line="200" w:lineRule="exact"/>
              <w:ind w:left="57" w:right="57"/>
              <w:rPr>
                <w:i/>
                <w:sz w:val="16"/>
                <w:lang w:val="fr-FR"/>
              </w:rPr>
            </w:pPr>
            <w:r w:rsidRPr="0094312F">
              <w:rPr>
                <w:i/>
                <w:sz w:val="16"/>
                <w:lang w:val="fr-FR"/>
              </w:rPr>
              <w:t>Niveau acceptable</w:t>
            </w:r>
            <w:r w:rsidRPr="0094312F">
              <w:rPr>
                <w:i/>
                <w:sz w:val="16"/>
                <w:lang w:val="fr-FR"/>
              </w:rPr>
              <w:br/>
              <w:t>de non-conformité</w:t>
            </w:r>
            <w:r w:rsidRPr="0094312F">
              <w:rPr>
                <w:i/>
                <w:sz w:val="16"/>
                <w:lang w:val="fr-FR"/>
              </w:rPr>
              <w:br/>
              <w:t>par groupe de caractéristiques (%)</w:t>
            </w:r>
          </w:p>
        </w:tc>
      </w:tr>
      <w:tr w:rsidR="00090596" w:rsidRPr="0094312F" w:rsidTr="00747904">
        <w:tc>
          <w:tcPr>
            <w:tcW w:w="1848" w:type="dxa"/>
            <w:tcBorders>
              <w:top w:val="single" w:sz="12" w:space="0" w:color="auto"/>
            </w:tcBorders>
            <w:shd w:val="clear" w:color="auto" w:fill="auto"/>
          </w:tcPr>
          <w:p w:rsidR="00090596" w:rsidRPr="0094312F" w:rsidRDefault="00090596" w:rsidP="00B05679">
            <w:pPr>
              <w:spacing w:before="60" w:after="60" w:line="220" w:lineRule="exact"/>
              <w:ind w:left="57" w:right="57"/>
              <w:rPr>
                <w:sz w:val="18"/>
                <w:szCs w:val="18"/>
                <w:lang w:val="fr-FR"/>
              </w:rPr>
            </w:pPr>
            <w:r w:rsidRPr="0094312F">
              <w:rPr>
                <w:sz w:val="18"/>
                <w:szCs w:val="18"/>
                <w:lang w:val="fr-FR"/>
              </w:rPr>
              <w:t>…</w:t>
            </w:r>
          </w:p>
        </w:tc>
        <w:tc>
          <w:tcPr>
            <w:tcW w:w="2410" w:type="dxa"/>
            <w:tcBorders>
              <w:top w:val="single" w:sz="12" w:space="0" w:color="auto"/>
            </w:tcBorders>
            <w:shd w:val="clear" w:color="auto" w:fill="auto"/>
          </w:tcPr>
          <w:p w:rsidR="00090596" w:rsidRPr="0094312F" w:rsidRDefault="00090596" w:rsidP="00B05679">
            <w:pPr>
              <w:spacing w:before="60" w:after="60" w:line="220" w:lineRule="exact"/>
              <w:ind w:left="57" w:right="57"/>
              <w:rPr>
                <w:sz w:val="18"/>
                <w:szCs w:val="18"/>
                <w:lang w:val="fr-FR"/>
              </w:rPr>
            </w:pPr>
            <w:r w:rsidRPr="0094312F">
              <w:rPr>
                <w:sz w:val="18"/>
                <w:szCs w:val="18"/>
                <w:lang w:val="fr-FR"/>
              </w:rPr>
              <w:t>…</w:t>
            </w:r>
          </w:p>
        </w:tc>
        <w:tc>
          <w:tcPr>
            <w:tcW w:w="1411" w:type="dxa"/>
            <w:tcBorders>
              <w:top w:val="single" w:sz="12" w:space="0" w:color="auto"/>
            </w:tcBorders>
            <w:shd w:val="clear" w:color="auto" w:fill="auto"/>
          </w:tcPr>
          <w:p w:rsidR="00090596" w:rsidRPr="0094312F" w:rsidRDefault="00090596" w:rsidP="00EE0F91">
            <w:pPr>
              <w:spacing w:before="60" w:after="60" w:line="220" w:lineRule="exact"/>
              <w:ind w:left="57" w:right="57"/>
              <w:jc w:val="center"/>
              <w:rPr>
                <w:sz w:val="18"/>
                <w:szCs w:val="18"/>
                <w:lang w:val="fr-FR"/>
              </w:rPr>
            </w:pPr>
            <w:r w:rsidRPr="0094312F">
              <w:rPr>
                <w:sz w:val="18"/>
                <w:szCs w:val="18"/>
                <w:lang w:val="fr-FR"/>
              </w:rPr>
              <w:t>…</w:t>
            </w:r>
          </w:p>
        </w:tc>
        <w:tc>
          <w:tcPr>
            <w:tcW w:w="1701" w:type="dxa"/>
            <w:tcBorders>
              <w:top w:val="single" w:sz="12" w:space="0" w:color="auto"/>
            </w:tcBorders>
            <w:shd w:val="clear" w:color="auto" w:fill="auto"/>
          </w:tcPr>
          <w:p w:rsidR="00090596" w:rsidRPr="0094312F" w:rsidRDefault="00090596" w:rsidP="00EE0F91">
            <w:pPr>
              <w:spacing w:before="60" w:after="60" w:line="220" w:lineRule="exact"/>
              <w:ind w:left="57" w:right="57"/>
              <w:jc w:val="center"/>
              <w:rPr>
                <w:sz w:val="18"/>
                <w:szCs w:val="18"/>
                <w:lang w:val="fr-FR"/>
              </w:rPr>
            </w:pPr>
            <w:r w:rsidRPr="0094312F">
              <w:rPr>
                <w:sz w:val="18"/>
                <w:szCs w:val="18"/>
                <w:lang w:val="fr-FR"/>
              </w:rPr>
              <w:t>…</w:t>
            </w:r>
          </w:p>
        </w:tc>
      </w:tr>
      <w:tr w:rsidR="00090596" w:rsidRPr="0094312F" w:rsidTr="00747904">
        <w:tc>
          <w:tcPr>
            <w:tcW w:w="1848" w:type="dxa"/>
            <w:shd w:val="clear" w:color="auto" w:fill="auto"/>
          </w:tcPr>
          <w:p w:rsidR="00090596" w:rsidRPr="0094312F" w:rsidRDefault="00090596" w:rsidP="00B05679">
            <w:pPr>
              <w:spacing w:before="60" w:after="60" w:line="220" w:lineRule="exact"/>
              <w:ind w:left="57" w:right="57"/>
              <w:rPr>
                <w:sz w:val="18"/>
                <w:szCs w:val="18"/>
                <w:lang w:val="fr-FR"/>
              </w:rPr>
            </w:pPr>
            <w:r w:rsidRPr="0094312F">
              <w:rPr>
                <w:sz w:val="18"/>
                <w:szCs w:val="18"/>
                <w:lang w:val="fr-FR"/>
              </w:rPr>
              <w:t xml:space="preserve">Tension et puissance </w:t>
            </w:r>
            <w:r w:rsidR="00747904">
              <w:rPr>
                <w:sz w:val="18"/>
                <w:szCs w:val="18"/>
                <w:lang w:val="fr-FR"/>
              </w:rPr>
              <w:br/>
            </w:r>
            <w:r w:rsidRPr="0094312F">
              <w:rPr>
                <w:sz w:val="18"/>
                <w:szCs w:val="18"/>
                <w:lang w:val="fr-FR"/>
              </w:rPr>
              <w:t xml:space="preserve">de la source lumineuse à décharge </w:t>
            </w:r>
          </w:p>
        </w:tc>
        <w:tc>
          <w:tcPr>
            <w:tcW w:w="2410" w:type="dxa"/>
            <w:shd w:val="clear" w:color="auto" w:fill="auto"/>
          </w:tcPr>
          <w:p w:rsidR="00090596" w:rsidRPr="0094312F" w:rsidRDefault="00090596" w:rsidP="00B05679">
            <w:pPr>
              <w:spacing w:before="60" w:after="60" w:line="220" w:lineRule="exact"/>
              <w:ind w:left="57" w:right="57"/>
              <w:rPr>
                <w:sz w:val="18"/>
                <w:szCs w:val="18"/>
                <w:lang w:val="fr-FR"/>
              </w:rPr>
            </w:pPr>
            <w:r w:rsidRPr="0094312F">
              <w:rPr>
                <w:sz w:val="18"/>
                <w:szCs w:val="18"/>
                <w:lang w:val="fr-FR"/>
              </w:rPr>
              <w:t>Tous types de la même catégorie</w:t>
            </w:r>
          </w:p>
        </w:tc>
        <w:tc>
          <w:tcPr>
            <w:tcW w:w="1411" w:type="dxa"/>
            <w:shd w:val="clear" w:color="auto" w:fill="auto"/>
          </w:tcPr>
          <w:p w:rsidR="00090596" w:rsidRPr="0094312F" w:rsidRDefault="00090596" w:rsidP="00EE0F91">
            <w:pPr>
              <w:spacing w:before="60" w:after="60" w:line="220" w:lineRule="exact"/>
              <w:ind w:left="57" w:right="57"/>
              <w:jc w:val="center"/>
              <w:rPr>
                <w:sz w:val="18"/>
                <w:szCs w:val="18"/>
                <w:lang w:val="fr-FR"/>
              </w:rPr>
            </w:pPr>
            <w:r w:rsidRPr="0094312F">
              <w:rPr>
                <w:sz w:val="18"/>
                <w:szCs w:val="18"/>
                <w:lang w:val="fr-FR"/>
              </w:rPr>
              <w:t>200</w:t>
            </w:r>
          </w:p>
        </w:tc>
        <w:tc>
          <w:tcPr>
            <w:tcW w:w="1701" w:type="dxa"/>
            <w:shd w:val="clear" w:color="auto" w:fill="auto"/>
          </w:tcPr>
          <w:p w:rsidR="00090596" w:rsidRPr="0094312F" w:rsidRDefault="00090596" w:rsidP="00EE0F91">
            <w:pPr>
              <w:spacing w:before="60" w:after="60" w:line="220" w:lineRule="exact"/>
              <w:ind w:left="57" w:right="57"/>
              <w:jc w:val="center"/>
              <w:rPr>
                <w:sz w:val="18"/>
                <w:szCs w:val="18"/>
                <w:lang w:val="fr-FR"/>
              </w:rPr>
            </w:pPr>
            <w:r w:rsidRPr="0094312F">
              <w:rPr>
                <w:sz w:val="18"/>
                <w:szCs w:val="18"/>
                <w:lang w:val="fr-FR"/>
              </w:rPr>
              <w:t>1</w:t>
            </w:r>
          </w:p>
        </w:tc>
      </w:tr>
      <w:tr w:rsidR="00090596" w:rsidRPr="0094312F" w:rsidTr="00747904">
        <w:tc>
          <w:tcPr>
            <w:tcW w:w="1848" w:type="dxa"/>
            <w:tcBorders>
              <w:bottom w:val="single" w:sz="12" w:space="0" w:color="auto"/>
            </w:tcBorders>
            <w:shd w:val="clear" w:color="auto" w:fill="auto"/>
          </w:tcPr>
          <w:p w:rsidR="00090596" w:rsidRPr="0094312F" w:rsidRDefault="00090596" w:rsidP="00B05679">
            <w:pPr>
              <w:spacing w:before="60" w:after="60" w:line="220" w:lineRule="exact"/>
              <w:ind w:left="57" w:right="57"/>
              <w:rPr>
                <w:sz w:val="18"/>
                <w:szCs w:val="18"/>
                <w:lang w:val="fr-FR"/>
              </w:rPr>
            </w:pPr>
            <w:r w:rsidRPr="0094312F">
              <w:rPr>
                <w:sz w:val="18"/>
                <w:szCs w:val="18"/>
                <w:lang w:val="fr-FR"/>
              </w:rPr>
              <w:t>…</w:t>
            </w:r>
          </w:p>
        </w:tc>
        <w:tc>
          <w:tcPr>
            <w:tcW w:w="2410" w:type="dxa"/>
            <w:tcBorders>
              <w:bottom w:val="single" w:sz="12" w:space="0" w:color="auto"/>
            </w:tcBorders>
            <w:shd w:val="clear" w:color="auto" w:fill="auto"/>
          </w:tcPr>
          <w:p w:rsidR="00090596" w:rsidRPr="0094312F" w:rsidRDefault="00090596" w:rsidP="00B05679">
            <w:pPr>
              <w:spacing w:before="60" w:after="60" w:line="220" w:lineRule="exact"/>
              <w:ind w:left="57" w:right="57"/>
              <w:rPr>
                <w:sz w:val="18"/>
                <w:szCs w:val="18"/>
                <w:lang w:val="fr-FR"/>
              </w:rPr>
            </w:pPr>
            <w:r w:rsidRPr="0094312F">
              <w:rPr>
                <w:sz w:val="18"/>
                <w:szCs w:val="18"/>
                <w:lang w:val="fr-FR"/>
              </w:rPr>
              <w:t>…</w:t>
            </w:r>
          </w:p>
        </w:tc>
        <w:tc>
          <w:tcPr>
            <w:tcW w:w="1411" w:type="dxa"/>
            <w:tcBorders>
              <w:bottom w:val="single" w:sz="12" w:space="0" w:color="auto"/>
            </w:tcBorders>
            <w:shd w:val="clear" w:color="auto" w:fill="auto"/>
          </w:tcPr>
          <w:p w:rsidR="00090596" w:rsidRPr="0094312F" w:rsidRDefault="00090596" w:rsidP="00EE0F91">
            <w:pPr>
              <w:spacing w:before="60" w:after="60" w:line="220" w:lineRule="exact"/>
              <w:ind w:left="57" w:right="57"/>
              <w:jc w:val="center"/>
              <w:rPr>
                <w:sz w:val="18"/>
                <w:szCs w:val="18"/>
                <w:lang w:val="fr-FR"/>
              </w:rPr>
            </w:pPr>
            <w:r w:rsidRPr="0094312F">
              <w:rPr>
                <w:sz w:val="18"/>
                <w:szCs w:val="18"/>
                <w:lang w:val="fr-FR"/>
              </w:rPr>
              <w:t>…</w:t>
            </w:r>
          </w:p>
        </w:tc>
        <w:tc>
          <w:tcPr>
            <w:tcW w:w="1701" w:type="dxa"/>
            <w:tcBorders>
              <w:bottom w:val="single" w:sz="12" w:space="0" w:color="auto"/>
            </w:tcBorders>
            <w:shd w:val="clear" w:color="auto" w:fill="auto"/>
          </w:tcPr>
          <w:p w:rsidR="00090596" w:rsidRPr="0094312F" w:rsidRDefault="00090596" w:rsidP="00EE0F91">
            <w:pPr>
              <w:spacing w:before="60" w:after="60" w:line="220" w:lineRule="exact"/>
              <w:ind w:left="57" w:right="57"/>
              <w:jc w:val="center"/>
              <w:rPr>
                <w:sz w:val="18"/>
                <w:szCs w:val="18"/>
                <w:lang w:val="fr-FR"/>
              </w:rPr>
            </w:pPr>
            <w:r w:rsidRPr="0094312F">
              <w:rPr>
                <w:sz w:val="18"/>
                <w:szCs w:val="18"/>
                <w:lang w:val="fr-FR"/>
              </w:rPr>
              <w:t>…</w:t>
            </w:r>
          </w:p>
        </w:tc>
      </w:tr>
    </w:tbl>
    <w:p w:rsidR="00090596" w:rsidRDefault="00F932C7" w:rsidP="009A0BCC">
      <w:pPr>
        <w:pStyle w:val="SingleTxtG"/>
      </w:pPr>
      <w:r>
        <w:t>… ».</w:t>
      </w:r>
    </w:p>
    <w:p w:rsidR="00F932C7" w:rsidRPr="0094312F" w:rsidRDefault="00F932C7" w:rsidP="00F932C7">
      <w:pPr>
        <w:pStyle w:val="SingleTxtG"/>
        <w:rPr>
          <w:lang w:val="fr-FR"/>
        </w:rPr>
      </w:pPr>
      <w:bookmarkStart w:id="6" w:name="_Toc386203019"/>
      <w:r w:rsidRPr="0094312F">
        <w:rPr>
          <w:i/>
          <w:lang w:val="fr-FR"/>
        </w:rPr>
        <w:t>Tableau 3</w:t>
      </w:r>
      <w:bookmarkEnd w:id="6"/>
      <w:r w:rsidRPr="0094312F">
        <w:rPr>
          <w:i/>
          <w:lang w:val="fr-FR"/>
        </w:rPr>
        <w:t>, ligne d</w:t>
      </w:r>
      <w:r w:rsidR="009D4C0B">
        <w:rPr>
          <w:i/>
          <w:lang w:val="fr-FR"/>
        </w:rPr>
        <w:t>’</w:t>
      </w:r>
      <w:r w:rsidRPr="0094312F">
        <w:rPr>
          <w:i/>
          <w:lang w:val="fr-FR"/>
        </w:rPr>
        <w:t>en-tête</w:t>
      </w:r>
      <w:r w:rsidRPr="0094312F">
        <w:rPr>
          <w:lang w:val="fr-FR"/>
        </w:rPr>
        <w:t>, modifier comme suit</w:t>
      </w:r>
      <w:r>
        <w:rPr>
          <w:lang w:val="fr-FR"/>
        </w:rPr>
        <w:t> :</w:t>
      </w:r>
    </w:p>
    <w:p w:rsidR="00F932C7" w:rsidRDefault="00F932C7" w:rsidP="00F932C7">
      <w:pPr>
        <w:pStyle w:val="SingleTxtG"/>
        <w:rPr>
          <w:lang w:val="fr-FR"/>
        </w:rPr>
      </w:pPr>
      <w:r w:rsidRPr="0094312F">
        <w:rPr>
          <w:lang w:val="fr-FR"/>
        </w:rPr>
        <w:t>«</w:t>
      </w:r>
      <w:r>
        <w:rPr>
          <w:lang w:val="fr-FR"/>
        </w:rPr>
        <w:t>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1227"/>
        <w:gridCol w:w="1229"/>
        <w:gridCol w:w="1229"/>
        <w:gridCol w:w="1229"/>
        <w:gridCol w:w="1229"/>
      </w:tblGrid>
      <w:tr w:rsidR="00F932C7" w:rsidRPr="0094312F" w:rsidTr="00CC6EF6">
        <w:tc>
          <w:tcPr>
            <w:tcW w:w="1629" w:type="dxa"/>
            <w:tcBorders>
              <w:left w:val="single" w:sz="4" w:space="0" w:color="auto"/>
              <w:right w:val="single" w:sz="4" w:space="0" w:color="auto"/>
            </w:tcBorders>
            <w:shd w:val="clear" w:color="auto" w:fill="auto"/>
            <w:vAlign w:val="bottom"/>
          </w:tcPr>
          <w:p w:rsidR="00F932C7" w:rsidRPr="0094312F" w:rsidRDefault="00F932C7" w:rsidP="006067FC">
            <w:pPr>
              <w:spacing w:before="60" w:after="60" w:line="200" w:lineRule="exact"/>
              <w:ind w:left="57" w:right="57"/>
              <w:rPr>
                <w:i/>
                <w:sz w:val="16"/>
                <w:lang w:val="fr-FR"/>
              </w:rPr>
            </w:pPr>
            <w:r w:rsidRPr="0094312F">
              <w:rPr>
                <w:i/>
                <w:sz w:val="16"/>
                <w:lang w:val="fr-FR"/>
              </w:rPr>
              <w:t>Nombre</w:t>
            </w:r>
            <w:r w:rsidRPr="0094312F">
              <w:rPr>
                <w:i/>
                <w:sz w:val="16"/>
                <w:lang w:val="fr-FR"/>
              </w:rPr>
              <w:br/>
              <w:t>des sources lumineuses</w:t>
            </w:r>
            <w:r w:rsidRPr="0094312F">
              <w:rPr>
                <w:i/>
                <w:sz w:val="16"/>
                <w:lang w:val="fr-FR"/>
              </w:rPr>
              <w:br/>
              <w:t>à décharge figurant sur les procès-verbaux</w:t>
            </w:r>
          </w:p>
        </w:tc>
        <w:tc>
          <w:tcPr>
            <w:tcW w:w="1629" w:type="dxa"/>
            <w:tcBorders>
              <w:left w:val="single" w:sz="4" w:space="0" w:color="auto"/>
              <w:right w:val="single" w:sz="4" w:space="0" w:color="auto"/>
            </w:tcBorders>
            <w:shd w:val="clear" w:color="auto" w:fill="auto"/>
            <w:vAlign w:val="bottom"/>
          </w:tcPr>
          <w:p w:rsidR="00F932C7" w:rsidRPr="0094312F" w:rsidRDefault="00F932C7" w:rsidP="006067FC">
            <w:pPr>
              <w:spacing w:before="60" w:after="60" w:line="200" w:lineRule="exact"/>
              <w:ind w:left="57" w:right="57"/>
              <w:rPr>
                <w:i/>
                <w:sz w:val="16"/>
                <w:lang w:val="fr-FR"/>
              </w:rPr>
            </w:pPr>
            <w:r w:rsidRPr="0094312F">
              <w:rPr>
                <w:i/>
                <w:sz w:val="16"/>
                <w:lang w:val="fr-FR"/>
              </w:rPr>
              <w:t>Tolérance</w:t>
            </w:r>
          </w:p>
        </w:tc>
        <w:tc>
          <w:tcPr>
            <w:tcW w:w="1630" w:type="dxa"/>
            <w:tcBorders>
              <w:left w:val="single" w:sz="4" w:space="0" w:color="auto"/>
              <w:right w:val="single" w:sz="4" w:space="0" w:color="auto"/>
            </w:tcBorders>
            <w:shd w:val="clear" w:color="auto" w:fill="auto"/>
            <w:vAlign w:val="bottom"/>
          </w:tcPr>
          <w:p w:rsidR="00F932C7" w:rsidRPr="0094312F" w:rsidRDefault="00F932C7" w:rsidP="006067FC">
            <w:pPr>
              <w:spacing w:before="60" w:after="60" w:line="200" w:lineRule="exact"/>
              <w:ind w:left="57" w:right="57"/>
              <w:rPr>
                <w:i/>
                <w:sz w:val="16"/>
                <w:lang w:val="fr-FR"/>
              </w:rPr>
            </w:pPr>
            <w:r w:rsidRPr="0094312F">
              <w:rPr>
                <w:i/>
                <w:sz w:val="16"/>
                <w:lang w:val="fr-FR"/>
              </w:rPr>
              <w:t>Nombre</w:t>
            </w:r>
            <w:r w:rsidRPr="0094312F">
              <w:rPr>
                <w:i/>
                <w:sz w:val="16"/>
                <w:lang w:val="fr-FR"/>
              </w:rPr>
              <w:br/>
              <w:t>des sources lumineuses</w:t>
            </w:r>
            <w:r w:rsidRPr="0094312F">
              <w:rPr>
                <w:i/>
                <w:sz w:val="16"/>
                <w:lang w:val="fr-FR"/>
              </w:rPr>
              <w:br/>
              <w:t xml:space="preserve">à décharge figurant sur les procès-verbaux </w:t>
            </w:r>
          </w:p>
        </w:tc>
        <w:tc>
          <w:tcPr>
            <w:tcW w:w="1630" w:type="dxa"/>
            <w:tcBorders>
              <w:left w:val="single" w:sz="4" w:space="0" w:color="auto"/>
              <w:right w:val="single" w:sz="4" w:space="0" w:color="auto"/>
            </w:tcBorders>
            <w:shd w:val="clear" w:color="auto" w:fill="auto"/>
            <w:vAlign w:val="bottom"/>
          </w:tcPr>
          <w:p w:rsidR="00F932C7" w:rsidRPr="0094312F" w:rsidRDefault="00F932C7" w:rsidP="006067FC">
            <w:pPr>
              <w:spacing w:before="60" w:after="60" w:line="200" w:lineRule="exact"/>
              <w:ind w:left="57" w:right="57"/>
              <w:rPr>
                <w:i/>
                <w:sz w:val="16"/>
                <w:lang w:val="fr-FR"/>
              </w:rPr>
            </w:pPr>
            <w:r w:rsidRPr="0094312F">
              <w:rPr>
                <w:i/>
                <w:sz w:val="16"/>
                <w:lang w:val="fr-FR"/>
              </w:rPr>
              <w:t>Tolérance</w:t>
            </w:r>
          </w:p>
        </w:tc>
        <w:tc>
          <w:tcPr>
            <w:tcW w:w="1630" w:type="dxa"/>
            <w:tcBorders>
              <w:left w:val="single" w:sz="4" w:space="0" w:color="auto"/>
              <w:right w:val="single" w:sz="4" w:space="0" w:color="auto"/>
            </w:tcBorders>
            <w:shd w:val="clear" w:color="auto" w:fill="auto"/>
            <w:vAlign w:val="bottom"/>
          </w:tcPr>
          <w:p w:rsidR="00F932C7" w:rsidRPr="0094312F" w:rsidRDefault="00F932C7" w:rsidP="006067FC">
            <w:pPr>
              <w:spacing w:before="60" w:after="60" w:line="200" w:lineRule="exact"/>
              <w:ind w:left="57" w:right="57"/>
              <w:rPr>
                <w:i/>
                <w:sz w:val="16"/>
                <w:lang w:val="fr-FR"/>
              </w:rPr>
            </w:pPr>
            <w:r w:rsidRPr="0094312F">
              <w:rPr>
                <w:i/>
                <w:sz w:val="16"/>
                <w:lang w:val="fr-FR"/>
              </w:rPr>
              <w:t>Nombre</w:t>
            </w:r>
            <w:r w:rsidRPr="0094312F">
              <w:rPr>
                <w:i/>
                <w:sz w:val="16"/>
                <w:lang w:val="fr-FR"/>
              </w:rPr>
              <w:br/>
              <w:t>des sources lumineuses</w:t>
            </w:r>
            <w:r w:rsidRPr="0094312F">
              <w:rPr>
                <w:i/>
                <w:sz w:val="16"/>
                <w:lang w:val="fr-FR"/>
              </w:rPr>
              <w:br/>
              <w:t xml:space="preserve">à décharge figurant sur les procès-verbaux </w:t>
            </w:r>
          </w:p>
        </w:tc>
        <w:tc>
          <w:tcPr>
            <w:tcW w:w="1630" w:type="dxa"/>
            <w:tcBorders>
              <w:left w:val="single" w:sz="4" w:space="0" w:color="auto"/>
              <w:right w:val="single" w:sz="4" w:space="0" w:color="auto"/>
            </w:tcBorders>
            <w:shd w:val="clear" w:color="auto" w:fill="auto"/>
            <w:vAlign w:val="bottom"/>
          </w:tcPr>
          <w:p w:rsidR="00F932C7" w:rsidRPr="0094312F" w:rsidRDefault="00F932C7" w:rsidP="006067FC">
            <w:pPr>
              <w:spacing w:before="60" w:after="60" w:line="200" w:lineRule="exact"/>
              <w:ind w:left="57" w:right="57"/>
              <w:rPr>
                <w:i/>
                <w:sz w:val="16"/>
                <w:lang w:val="fr-FR"/>
              </w:rPr>
            </w:pPr>
            <w:r w:rsidRPr="0094312F">
              <w:rPr>
                <w:i/>
                <w:sz w:val="16"/>
                <w:lang w:val="fr-FR"/>
              </w:rPr>
              <w:t xml:space="preserve">Tolérance </w:t>
            </w:r>
          </w:p>
        </w:tc>
      </w:tr>
    </w:tbl>
    <w:p w:rsidR="00F932C7" w:rsidRDefault="009D4C0B" w:rsidP="009D4C0B">
      <w:pPr>
        <w:pStyle w:val="SingleTxtG"/>
        <w:spacing w:before="120"/>
        <w:jc w:val="right"/>
      </w:pPr>
      <w:r>
        <w:t> ».</w:t>
      </w:r>
    </w:p>
    <w:p w:rsidR="009D4C0B" w:rsidRPr="009D4C0B" w:rsidRDefault="009D4C0B" w:rsidP="009D4C0B">
      <w:pPr>
        <w:pStyle w:val="SingleTxtG"/>
        <w:spacing w:before="240" w:after="0"/>
        <w:jc w:val="center"/>
        <w:rPr>
          <w:u w:val="single"/>
        </w:rPr>
      </w:pPr>
      <w:r>
        <w:rPr>
          <w:u w:val="single"/>
        </w:rPr>
        <w:tab/>
      </w:r>
      <w:r>
        <w:rPr>
          <w:u w:val="single"/>
        </w:rPr>
        <w:tab/>
      </w:r>
      <w:r>
        <w:rPr>
          <w:u w:val="single"/>
        </w:rPr>
        <w:tab/>
      </w:r>
    </w:p>
    <w:sectPr w:rsidR="009D4C0B" w:rsidRPr="009D4C0B" w:rsidSect="00B3162C">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C1" w:rsidRDefault="002F1FC1"/>
  </w:endnote>
  <w:endnote w:type="continuationSeparator" w:id="0">
    <w:p w:rsidR="002F1FC1" w:rsidRDefault="002F1FC1">
      <w:pPr>
        <w:pStyle w:val="Footer"/>
      </w:pPr>
    </w:p>
  </w:endnote>
  <w:endnote w:type="continuationNotice" w:id="1">
    <w:p w:rsidR="002F1FC1" w:rsidRPr="00C451B9" w:rsidRDefault="002F1FC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2C" w:rsidRPr="00B3162C" w:rsidRDefault="00B3162C" w:rsidP="00B3162C">
    <w:pPr>
      <w:pStyle w:val="Footer"/>
      <w:tabs>
        <w:tab w:val="right" w:pos="9638"/>
      </w:tabs>
    </w:pPr>
    <w:r w:rsidRPr="00B3162C">
      <w:rPr>
        <w:b/>
        <w:sz w:val="18"/>
      </w:rPr>
      <w:fldChar w:fldCharType="begin"/>
    </w:r>
    <w:r w:rsidRPr="00B3162C">
      <w:rPr>
        <w:b/>
        <w:sz w:val="18"/>
      </w:rPr>
      <w:instrText xml:space="preserve"> PAGE  \* MERGEFORMAT </w:instrText>
    </w:r>
    <w:r w:rsidRPr="00B3162C">
      <w:rPr>
        <w:b/>
        <w:sz w:val="18"/>
      </w:rPr>
      <w:fldChar w:fldCharType="separate"/>
    </w:r>
    <w:r w:rsidR="009A6564">
      <w:rPr>
        <w:b/>
        <w:noProof/>
        <w:sz w:val="18"/>
      </w:rPr>
      <w:t>2</w:t>
    </w:r>
    <w:r w:rsidRPr="00B3162C">
      <w:rPr>
        <w:b/>
        <w:sz w:val="18"/>
      </w:rPr>
      <w:fldChar w:fldCharType="end"/>
    </w:r>
    <w:r>
      <w:rPr>
        <w:b/>
        <w:sz w:val="18"/>
      </w:rPr>
      <w:tab/>
    </w:r>
    <w:r>
      <w:t>GE.17-11491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2C" w:rsidRPr="00B3162C" w:rsidRDefault="00B3162C" w:rsidP="00B3162C">
    <w:pPr>
      <w:pStyle w:val="Footer"/>
      <w:tabs>
        <w:tab w:val="right" w:pos="9638"/>
      </w:tabs>
      <w:rPr>
        <w:b/>
        <w:sz w:val="18"/>
      </w:rPr>
    </w:pPr>
    <w:r>
      <w:t>GE.17-11491</w:t>
    </w:r>
    <w:r>
      <w:tab/>
    </w:r>
    <w:r w:rsidRPr="00B3162C">
      <w:rPr>
        <w:b/>
        <w:sz w:val="18"/>
      </w:rPr>
      <w:fldChar w:fldCharType="begin"/>
    </w:r>
    <w:r w:rsidRPr="00B3162C">
      <w:rPr>
        <w:b/>
        <w:sz w:val="18"/>
      </w:rPr>
      <w:instrText xml:space="preserve"> PAGE  \* MERGEFORMAT </w:instrText>
    </w:r>
    <w:r w:rsidRPr="00B3162C">
      <w:rPr>
        <w:b/>
        <w:sz w:val="18"/>
      </w:rPr>
      <w:fldChar w:fldCharType="separate"/>
    </w:r>
    <w:r w:rsidR="009A6564">
      <w:rPr>
        <w:b/>
        <w:noProof/>
        <w:sz w:val="18"/>
      </w:rPr>
      <w:t>3</w:t>
    </w:r>
    <w:r w:rsidRPr="00B316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B3162C" w:rsidRDefault="00B3162C" w:rsidP="00B3162C">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17-11491  (F)</w:t>
    </w:r>
    <w:r w:rsidR="00CE7533">
      <w:rPr>
        <w:sz w:val="20"/>
      </w:rPr>
      <w:t xml:space="preserve">    121217    121217</w:t>
    </w:r>
    <w:r>
      <w:rPr>
        <w:sz w:val="20"/>
      </w:rPr>
      <w:br/>
    </w:r>
    <w:r w:rsidRPr="00B3162C">
      <w:rPr>
        <w:rFonts w:ascii="C39T30Lfz" w:hAnsi="C39T30Lfz"/>
        <w:sz w:val="56"/>
      </w:rPr>
      <w:t></w:t>
    </w:r>
    <w:r w:rsidRPr="00B3162C">
      <w:rPr>
        <w:rFonts w:ascii="C39T30Lfz" w:hAnsi="C39T30Lfz"/>
        <w:sz w:val="56"/>
      </w:rPr>
      <w:t></w:t>
    </w:r>
    <w:r w:rsidRPr="00B3162C">
      <w:rPr>
        <w:rFonts w:ascii="C39T30Lfz" w:hAnsi="C39T30Lfz"/>
        <w:sz w:val="56"/>
      </w:rPr>
      <w:t></w:t>
    </w:r>
    <w:r w:rsidRPr="00B3162C">
      <w:rPr>
        <w:rFonts w:ascii="C39T30Lfz" w:hAnsi="C39T30Lfz"/>
        <w:sz w:val="56"/>
      </w:rPr>
      <w:t></w:t>
    </w:r>
    <w:r w:rsidRPr="00B3162C">
      <w:rPr>
        <w:rFonts w:ascii="C39T30Lfz" w:hAnsi="C39T30Lfz"/>
        <w:sz w:val="56"/>
      </w:rPr>
      <w:t></w:t>
    </w:r>
    <w:r w:rsidRPr="00B3162C">
      <w:rPr>
        <w:rFonts w:ascii="C39T30Lfz" w:hAnsi="C39T30Lfz"/>
        <w:sz w:val="56"/>
      </w:rPr>
      <w:t></w:t>
    </w:r>
    <w:r w:rsidRPr="00B3162C">
      <w:rPr>
        <w:rFonts w:ascii="C39T30Lfz" w:hAnsi="C39T30Lfz"/>
        <w:sz w:val="56"/>
      </w:rPr>
      <w:t></w:t>
    </w:r>
    <w:r w:rsidRPr="00B3162C">
      <w:rPr>
        <w:rFonts w:ascii="C39T30Lfz" w:hAnsi="C39T30Lfz"/>
        <w:sz w:val="56"/>
      </w:rPr>
      <w:t></w:t>
    </w:r>
    <w:r w:rsidRPr="00B3162C">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98/Rev.3/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98/Rev.3/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C1" w:rsidRPr="00D27D5E" w:rsidRDefault="002F1FC1" w:rsidP="00D27D5E">
      <w:pPr>
        <w:tabs>
          <w:tab w:val="right" w:pos="2155"/>
        </w:tabs>
        <w:spacing w:after="80"/>
        <w:ind w:left="680"/>
        <w:rPr>
          <w:u w:val="single"/>
        </w:rPr>
      </w:pPr>
      <w:r>
        <w:rPr>
          <w:u w:val="single"/>
        </w:rPr>
        <w:tab/>
      </w:r>
    </w:p>
  </w:footnote>
  <w:footnote w:type="continuationSeparator" w:id="0">
    <w:p w:rsidR="002F1FC1" w:rsidRPr="00D171D4" w:rsidRDefault="002F1FC1" w:rsidP="00D171D4">
      <w:pPr>
        <w:tabs>
          <w:tab w:val="right" w:pos="2155"/>
        </w:tabs>
        <w:spacing w:after="80"/>
        <w:ind w:left="680"/>
        <w:rPr>
          <w:u w:val="single"/>
        </w:rPr>
      </w:pPr>
      <w:r w:rsidRPr="00D171D4">
        <w:rPr>
          <w:u w:val="single"/>
        </w:rPr>
        <w:tab/>
      </w:r>
    </w:p>
  </w:footnote>
  <w:footnote w:type="continuationNotice" w:id="1">
    <w:p w:rsidR="002F1FC1" w:rsidRPr="00C451B9" w:rsidRDefault="002F1FC1"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4B68F9">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ootnote>
  <w:footnote w:id="3">
    <w:p w:rsidR="00C60B94" w:rsidRPr="00964799" w:rsidRDefault="00C60B94" w:rsidP="00C60B94">
      <w:pPr>
        <w:pStyle w:val="FootnoteText"/>
        <w:widowControl w:val="0"/>
        <w:tabs>
          <w:tab w:val="clear" w:pos="1021"/>
          <w:tab w:val="right" w:pos="1020"/>
        </w:tabs>
      </w:pPr>
      <w:r w:rsidRPr="006A527D">
        <w:tab/>
      </w:r>
      <w:r>
        <w:rPr>
          <w:rStyle w:val="FootnoteReference"/>
        </w:rPr>
        <w:footnoteRef/>
      </w:r>
      <w:r w:rsidRPr="00964799">
        <w:tab/>
        <w:t>Cette méthode de mesure est fournie à titre d’exemple</w:t>
      </w:r>
      <w:r>
        <w:t> </w:t>
      </w:r>
      <w:r w:rsidRPr="00964799">
        <w:t>; toute méthode ayant un degré de pr</w:t>
      </w:r>
      <w:r>
        <w:t>é</w:t>
      </w:r>
      <w:r w:rsidRPr="00964799">
        <w:t xml:space="preserve">cision </w:t>
      </w:r>
      <w:r>
        <w:t>é</w:t>
      </w:r>
      <w:r w:rsidRPr="00964799">
        <w:t>quivalent est acceptable.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2C" w:rsidRPr="00B3162C" w:rsidRDefault="00B3162C">
    <w:pPr>
      <w:pStyle w:val="Header"/>
      <w:rPr>
        <w:lang w:val="en-US"/>
      </w:rPr>
    </w:pPr>
    <w:r>
      <w:fldChar w:fldCharType="begin"/>
    </w:r>
    <w:r w:rsidRPr="00B3162C">
      <w:rPr>
        <w:lang w:val="en-US"/>
      </w:rPr>
      <w:instrText xml:space="preserve"> TITLE  \* MERGEFORMAT </w:instrText>
    </w:r>
    <w:r>
      <w:fldChar w:fldCharType="separate"/>
    </w:r>
    <w:r w:rsidR="009A6564">
      <w:rPr>
        <w:lang w:val="en-US"/>
      </w:rPr>
      <w:t>E/ECE/324/Rev.1/Add.98/Rev.3/Amend.3</w:t>
    </w:r>
    <w:r>
      <w:fldChar w:fldCharType="end"/>
    </w:r>
    <w:r w:rsidRPr="00B3162C">
      <w:rPr>
        <w:lang w:val="en-US"/>
      </w:rPr>
      <w:br/>
    </w:r>
    <w:r>
      <w:fldChar w:fldCharType="begin"/>
    </w:r>
    <w:r w:rsidRPr="00B3162C">
      <w:rPr>
        <w:lang w:val="en-US"/>
      </w:rPr>
      <w:instrText xml:space="preserve"> KEYWORDS  \* MERGEFORMAT </w:instrText>
    </w:r>
    <w:r>
      <w:fldChar w:fldCharType="separate"/>
    </w:r>
    <w:r w:rsidR="009A6564">
      <w:rPr>
        <w:lang w:val="en-US"/>
      </w:rPr>
      <w:t>E/ECE/TRANS/505/Rev.1/Add.98/Rev.3/Amend.3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2C" w:rsidRPr="00B3162C" w:rsidRDefault="00B3162C" w:rsidP="00B3162C">
    <w:pPr>
      <w:pStyle w:val="Header"/>
      <w:jc w:val="right"/>
      <w:rPr>
        <w:lang w:val="en-US"/>
      </w:rPr>
    </w:pPr>
    <w:r>
      <w:fldChar w:fldCharType="begin"/>
    </w:r>
    <w:r w:rsidRPr="00B3162C">
      <w:rPr>
        <w:lang w:val="en-US"/>
      </w:rPr>
      <w:instrText xml:space="preserve"> TITLE  \* MERGEFORMAT </w:instrText>
    </w:r>
    <w:r>
      <w:fldChar w:fldCharType="separate"/>
    </w:r>
    <w:r w:rsidR="009A6564">
      <w:rPr>
        <w:lang w:val="en-US"/>
      </w:rPr>
      <w:t>E/ECE/324/Rev.1/Add.98/Rev.3/Amend.3</w:t>
    </w:r>
    <w:r>
      <w:fldChar w:fldCharType="end"/>
    </w:r>
    <w:r w:rsidRPr="00B3162C">
      <w:rPr>
        <w:lang w:val="en-US"/>
      </w:rPr>
      <w:br/>
    </w:r>
    <w:r>
      <w:fldChar w:fldCharType="begin"/>
    </w:r>
    <w:r w:rsidRPr="00B3162C">
      <w:rPr>
        <w:lang w:val="en-US"/>
      </w:rPr>
      <w:instrText xml:space="preserve"> KEYWORDS  \* MERGEFORMAT </w:instrText>
    </w:r>
    <w:r>
      <w:fldChar w:fldCharType="separate"/>
    </w:r>
    <w:r w:rsidR="009A6564">
      <w:rPr>
        <w:lang w:val="en-US"/>
      </w:rPr>
      <w:t>E/ECE/TRANS/505/Rev.1/Add.98/Rev.3/Amend.3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C1"/>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6"/>
    <w:rsid w:val="00090599"/>
    <w:rsid w:val="000A1501"/>
    <w:rsid w:val="000A2494"/>
    <w:rsid w:val="000A6B7E"/>
    <w:rsid w:val="000B20D3"/>
    <w:rsid w:val="000B3FC5"/>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A71FB"/>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56C9"/>
    <w:rsid w:val="0029791D"/>
    <w:rsid w:val="002A2A2C"/>
    <w:rsid w:val="002A5D07"/>
    <w:rsid w:val="002D25CA"/>
    <w:rsid w:val="002D3DA4"/>
    <w:rsid w:val="002E19F4"/>
    <w:rsid w:val="002E2F5C"/>
    <w:rsid w:val="002F0C48"/>
    <w:rsid w:val="002F1FC1"/>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04B9"/>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30C9"/>
    <w:rsid w:val="00464191"/>
    <w:rsid w:val="00467412"/>
    <w:rsid w:val="004676D8"/>
    <w:rsid w:val="00467F2C"/>
    <w:rsid w:val="00476265"/>
    <w:rsid w:val="0048687D"/>
    <w:rsid w:val="00490F56"/>
    <w:rsid w:val="00491F39"/>
    <w:rsid w:val="004A49A5"/>
    <w:rsid w:val="004A66A2"/>
    <w:rsid w:val="004B07A3"/>
    <w:rsid w:val="004B261D"/>
    <w:rsid w:val="004B51CD"/>
    <w:rsid w:val="004B576C"/>
    <w:rsid w:val="004B68F9"/>
    <w:rsid w:val="004C54C0"/>
    <w:rsid w:val="004C56B2"/>
    <w:rsid w:val="004C6F4A"/>
    <w:rsid w:val="004D00B2"/>
    <w:rsid w:val="004E118A"/>
    <w:rsid w:val="004E3182"/>
    <w:rsid w:val="004E4963"/>
    <w:rsid w:val="004E6809"/>
    <w:rsid w:val="004E7F24"/>
    <w:rsid w:val="004F2753"/>
    <w:rsid w:val="005111B1"/>
    <w:rsid w:val="0051457E"/>
    <w:rsid w:val="0051714B"/>
    <w:rsid w:val="00520F80"/>
    <w:rsid w:val="005239FF"/>
    <w:rsid w:val="00523DB8"/>
    <w:rsid w:val="00533150"/>
    <w:rsid w:val="00542403"/>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2361"/>
    <w:rsid w:val="005E32D1"/>
    <w:rsid w:val="005E5D1F"/>
    <w:rsid w:val="005F0207"/>
    <w:rsid w:val="005F4D13"/>
    <w:rsid w:val="005F5C1F"/>
    <w:rsid w:val="006067FC"/>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0FED"/>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47904"/>
    <w:rsid w:val="00755D4F"/>
    <w:rsid w:val="007607B1"/>
    <w:rsid w:val="00764851"/>
    <w:rsid w:val="00765296"/>
    <w:rsid w:val="00766D28"/>
    <w:rsid w:val="00766FFF"/>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1552"/>
    <w:rsid w:val="008149F9"/>
    <w:rsid w:val="008245B7"/>
    <w:rsid w:val="0082755E"/>
    <w:rsid w:val="00831A18"/>
    <w:rsid w:val="00837345"/>
    <w:rsid w:val="00844750"/>
    <w:rsid w:val="00846B2D"/>
    <w:rsid w:val="00846CFD"/>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82711"/>
    <w:rsid w:val="00996562"/>
    <w:rsid w:val="009A0BCC"/>
    <w:rsid w:val="009A3048"/>
    <w:rsid w:val="009A6564"/>
    <w:rsid w:val="009A6C26"/>
    <w:rsid w:val="009B17AD"/>
    <w:rsid w:val="009B3F8C"/>
    <w:rsid w:val="009B45E0"/>
    <w:rsid w:val="009B540F"/>
    <w:rsid w:val="009D182C"/>
    <w:rsid w:val="009D3A8C"/>
    <w:rsid w:val="009D4C0B"/>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05679"/>
    <w:rsid w:val="00B101DB"/>
    <w:rsid w:val="00B13E4F"/>
    <w:rsid w:val="00B21751"/>
    <w:rsid w:val="00B256F0"/>
    <w:rsid w:val="00B3162C"/>
    <w:rsid w:val="00B31654"/>
    <w:rsid w:val="00B31D7D"/>
    <w:rsid w:val="00B32E2D"/>
    <w:rsid w:val="00B33F8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4C7"/>
    <w:rsid w:val="00C27662"/>
    <w:rsid w:val="00C30804"/>
    <w:rsid w:val="00C32914"/>
    <w:rsid w:val="00C33100"/>
    <w:rsid w:val="00C42EDB"/>
    <w:rsid w:val="00C451B9"/>
    <w:rsid w:val="00C51D9C"/>
    <w:rsid w:val="00C54DA4"/>
    <w:rsid w:val="00C55118"/>
    <w:rsid w:val="00C577D1"/>
    <w:rsid w:val="00C57A2D"/>
    <w:rsid w:val="00C6018C"/>
    <w:rsid w:val="00C60B94"/>
    <w:rsid w:val="00C6525D"/>
    <w:rsid w:val="00C67D23"/>
    <w:rsid w:val="00C71827"/>
    <w:rsid w:val="00C75D25"/>
    <w:rsid w:val="00C825E5"/>
    <w:rsid w:val="00C95EB8"/>
    <w:rsid w:val="00CA0756"/>
    <w:rsid w:val="00CB02C5"/>
    <w:rsid w:val="00CB0D41"/>
    <w:rsid w:val="00CB39CD"/>
    <w:rsid w:val="00CC2A62"/>
    <w:rsid w:val="00CC6EF6"/>
    <w:rsid w:val="00CC7CE6"/>
    <w:rsid w:val="00CD044C"/>
    <w:rsid w:val="00CD1A71"/>
    <w:rsid w:val="00CD1FBB"/>
    <w:rsid w:val="00CE033D"/>
    <w:rsid w:val="00CE08E5"/>
    <w:rsid w:val="00CE7533"/>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0CB"/>
    <w:rsid w:val="00DA5E1D"/>
    <w:rsid w:val="00DB01CD"/>
    <w:rsid w:val="00DC161C"/>
    <w:rsid w:val="00DC3628"/>
    <w:rsid w:val="00DC4F43"/>
    <w:rsid w:val="00DE083E"/>
    <w:rsid w:val="00DE6D90"/>
    <w:rsid w:val="00DF002F"/>
    <w:rsid w:val="00E0244D"/>
    <w:rsid w:val="00E026DF"/>
    <w:rsid w:val="00E02F48"/>
    <w:rsid w:val="00E03712"/>
    <w:rsid w:val="00E06B3F"/>
    <w:rsid w:val="00E10409"/>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E0F91"/>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2C7"/>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669D7AFF-CEFB-476B-97A9-FF571D86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5956</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E/ECE/324/Rev.1/Add.98/Rev.3/Amend.3</vt:lpstr>
      <vt:lpstr>E/ECE/324/Rev.1/Add.98/Rev.3/Amend.3</vt:lpstr>
    </vt:vector>
  </TitlesOfParts>
  <Company>CSD</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E/ECE/324/Rev.1/Add.98/Rev.3/Amend.3</dc:title>
  <dc:creator>Corinne ROBERT</dc:creator>
  <cp:keywords>E/ECE/TRANS/505/Rev.1/Add.98/Rev.3/Amend.3</cp:keywords>
  <cp:lastModifiedBy>Marie-Claude Collet</cp:lastModifiedBy>
  <cp:revision>3</cp:revision>
  <cp:lastPrinted>2017-12-14T12:12:00Z</cp:lastPrinted>
  <dcterms:created xsi:type="dcterms:W3CDTF">2017-12-14T12:12:00Z</dcterms:created>
  <dcterms:modified xsi:type="dcterms:W3CDTF">2017-12-14T12:13:00Z</dcterms:modified>
</cp:coreProperties>
</file>