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446E8" w:rsidTr="00A27C92">
        <w:trPr>
          <w:trHeight w:hRule="exact" w:val="851"/>
        </w:trPr>
        <w:tc>
          <w:tcPr>
            <w:tcW w:w="9639" w:type="dxa"/>
            <w:gridSpan w:val="2"/>
            <w:tcBorders>
              <w:bottom w:val="single" w:sz="4" w:space="0" w:color="auto"/>
            </w:tcBorders>
            <w:shd w:val="clear" w:color="auto" w:fill="auto"/>
            <w:vAlign w:val="bottom"/>
          </w:tcPr>
          <w:p w:rsidR="00B446E8" w:rsidRPr="00B446E8" w:rsidRDefault="00B446E8" w:rsidP="00B446E8">
            <w:pPr>
              <w:jc w:val="right"/>
              <w:rPr>
                <w:lang w:val="en-US"/>
              </w:rPr>
            </w:pPr>
            <w:bookmarkStart w:id="0" w:name="_GoBack"/>
            <w:bookmarkEnd w:id="0"/>
            <w:r w:rsidRPr="00B446E8">
              <w:rPr>
                <w:sz w:val="40"/>
                <w:lang w:val="en-US"/>
              </w:rPr>
              <w:t>E</w:t>
            </w:r>
            <w:r w:rsidRPr="00B446E8">
              <w:rPr>
                <w:lang w:val="en-US"/>
              </w:rPr>
              <w:t>/ECE/324/Rev.1/Add.82/Rev.5/Amend.4−</w:t>
            </w:r>
            <w:r w:rsidRPr="00B446E8">
              <w:rPr>
                <w:sz w:val="40"/>
                <w:lang w:val="en-US"/>
              </w:rPr>
              <w:t>E</w:t>
            </w:r>
            <w:r w:rsidRPr="00B446E8">
              <w:rPr>
                <w:lang w:val="en-US"/>
              </w:rPr>
              <w:t>/ECE/TRANS/505/Rev.1/Add.82/Rev.5/Amend.4</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446E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446E8" w:rsidP="00A27C92">
            <w:pPr>
              <w:spacing w:before="480" w:line="240" w:lineRule="exact"/>
            </w:pPr>
            <w:r>
              <w:t>26 juillet 2017</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Concernant l</w:t>
      </w:r>
      <w:r w:rsidR="00901CDB">
        <w:t>’</w:t>
      </w:r>
      <w:r w:rsidR="00421A10" w:rsidRPr="00583D68">
        <w:t>adoption de prescriptions techniques uniformes applicables aux véhicules à roues, aux équipements et aux pièces susceptibles d</w:t>
      </w:r>
      <w:r w:rsidR="00901CDB">
        <w:t>’</w:t>
      </w:r>
      <w:r w:rsidR="00421A10" w:rsidRPr="00583D68">
        <w:t>être montés ou utilisés sur un véhicule à roues</w:t>
      </w:r>
      <w:r w:rsidR="00421A10">
        <w:br/>
      </w:r>
      <w:r w:rsidR="00421A10" w:rsidRPr="00583D68">
        <w:t>et les conditions de reconnaissance réciproque des homologations délivrées conformément à ces prescriptions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8B2866">
        <w:t>2</w:t>
      </w:r>
      <w:r w:rsidRPr="006549FF">
        <w:t>, comprenant les amen</w:t>
      </w:r>
      <w:r>
        <w:t>dements entrés en vigueur le 16</w:t>
      </w:r>
      <w:r w:rsidR="008B2866">
        <w:t> </w:t>
      </w:r>
      <w:r w:rsidRPr="006549FF">
        <w:t>octobre 1995)</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8B2866">
        <w:t>82 </w:t>
      </w:r>
      <w:r w:rsidR="00421A10" w:rsidRPr="006549FF">
        <w:t>: Règlement</w:t>
      </w:r>
      <w:r w:rsidR="00421A10">
        <w:t xml:space="preserve"> </w:t>
      </w:r>
      <w:r w:rsidR="00421A10" w:rsidRPr="00B371BF">
        <w:t>n</w:t>
      </w:r>
      <w:r w:rsidR="00421A10" w:rsidRPr="00B371BF">
        <w:rPr>
          <w:vertAlign w:val="superscript"/>
        </w:rPr>
        <w:t>o</w:t>
      </w:r>
      <w:r w:rsidR="00421A10">
        <w:t> </w:t>
      </w:r>
      <w:r w:rsidR="00687F90">
        <w:t>83</w:t>
      </w:r>
    </w:p>
    <w:p w:rsidR="00421A10" w:rsidRPr="006549FF" w:rsidRDefault="0029791D" w:rsidP="0029791D">
      <w:pPr>
        <w:pStyle w:val="H1G"/>
      </w:pPr>
      <w:r>
        <w:tab/>
      </w:r>
      <w:r>
        <w:tab/>
      </w:r>
      <w:r w:rsidR="00421A10" w:rsidRPr="006549FF">
        <w:t xml:space="preserve">Révision </w:t>
      </w:r>
      <w:r w:rsidR="00687F90">
        <w:t>5 − Amendement 4</w:t>
      </w:r>
    </w:p>
    <w:p w:rsidR="00421A10" w:rsidRPr="004A7E44" w:rsidRDefault="00687F90" w:rsidP="0029791D">
      <w:pPr>
        <w:pStyle w:val="SingleTxtG"/>
        <w:spacing w:after="0"/>
      </w:pPr>
      <w:r>
        <w:t xml:space="preserve">Complément </w:t>
      </w:r>
      <w:r w:rsidRPr="00140506">
        <w:rPr>
          <w:spacing w:val="-2"/>
          <w:szCs w:val="24"/>
        </w:rPr>
        <w:t>4 à la série 07 d</w:t>
      </w:r>
      <w:r w:rsidR="00901CDB">
        <w:rPr>
          <w:spacing w:val="-2"/>
          <w:szCs w:val="24"/>
        </w:rPr>
        <w:t>’</w:t>
      </w:r>
      <w:r w:rsidRPr="00140506">
        <w:rPr>
          <w:spacing w:val="-2"/>
          <w:szCs w:val="24"/>
        </w:rPr>
        <w:t>amend</w:t>
      </w:r>
      <w:r>
        <w:rPr>
          <w:spacing w:val="-2"/>
          <w:szCs w:val="24"/>
        </w:rPr>
        <w:t>e</w:t>
      </w:r>
      <w:r w:rsidRPr="00140506">
        <w:rPr>
          <w:spacing w:val="-2"/>
          <w:szCs w:val="24"/>
        </w:rPr>
        <w:t xml:space="preserve">ments </w:t>
      </w:r>
      <w:r w:rsidR="00FC2DA3">
        <w:rPr>
          <w:spacing w:val="-2"/>
          <w:szCs w:val="24"/>
        </w:rPr>
        <w:t>−</w:t>
      </w:r>
      <w:r w:rsidRPr="00140506">
        <w:rPr>
          <w:spacing w:val="-2"/>
          <w:szCs w:val="24"/>
        </w:rPr>
        <w:t xml:space="preserve"> Date </w:t>
      </w:r>
      <w:r>
        <w:rPr>
          <w:spacing w:val="-2"/>
          <w:szCs w:val="24"/>
        </w:rPr>
        <w:t>d</w:t>
      </w:r>
      <w:r w:rsidR="00901CDB">
        <w:rPr>
          <w:spacing w:val="-2"/>
          <w:szCs w:val="24"/>
        </w:rPr>
        <w:t>’</w:t>
      </w:r>
      <w:r>
        <w:rPr>
          <w:spacing w:val="-2"/>
          <w:szCs w:val="24"/>
        </w:rPr>
        <w:t>entrée en vigueur</w:t>
      </w:r>
      <w:r w:rsidR="00FC2DA3">
        <w:rPr>
          <w:spacing w:val="-2"/>
          <w:szCs w:val="24"/>
        </w:rPr>
        <w:t> </w:t>
      </w:r>
      <w:r w:rsidRPr="00140506">
        <w:rPr>
          <w:spacing w:val="-2"/>
          <w:szCs w:val="24"/>
        </w:rPr>
        <w:t xml:space="preserve">: </w:t>
      </w:r>
      <w:r w:rsidRPr="00140506">
        <w:rPr>
          <w:szCs w:val="24"/>
        </w:rPr>
        <w:t>22</w:t>
      </w:r>
      <w:r w:rsidR="00FC2DA3">
        <w:rPr>
          <w:szCs w:val="24"/>
        </w:rPr>
        <w:t> </w:t>
      </w:r>
      <w:r>
        <w:rPr>
          <w:szCs w:val="24"/>
        </w:rPr>
        <w:t>juin</w:t>
      </w:r>
      <w:r w:rsidRPr="00140506">
        <w:rPr>
          <w:szCs w:val="24"/>
        </w:rPr>
        <w:t xml:space="preserve"> 2017</w:t>
      </w:r>
    </w:p>
    <w:p w:rsidR="00421A10" w:rsidRDefault="0029791D" w:rsidP="0029791D">
      <w:pPr>
        <w:pStyle w:val="H1G"/>
        <w:rPr>
          <w:szCs w:val="24"/>
        </w:rPr>
      </w:pPr>
      <w:r>
        <w:tab/>
      </w:r>
      <w:r>
        <w:tab/>
      </w:r>
      <w:r w:rsidR="00421A10" w:rsidRPr="007619D3">
        <w:t xml:space="preserve">Prescriptions uniformes relatives </w:t>
      </w:r>
      <w:r w:rsidR="00687F90" w:rsidRPr="00140506">
        <w:rPr>
          <w:szCs w:val="24"/>
        </w:rPr>
        <w:t>à l</w:t>
      </w:r>
      <w:r w:rsidR="00901CDB">
        <w:rPr>
          <w:szCs w:val="24"/>
        </w:rPr>
        <w:t>’</w:t>
      </w:r>
      <w:r w:rsidR="00687F90" w:rsidRPr="00140506">
        <w:rPr>
          <w:szCs w:val="24"/>
        </w:rPr>
        <w:t>homologation des véhicules</w:t>
      </w:r>
      <w:r w:rsidR="00687F90">
        <w:rPr>
          <w:szCs w:val="24"/>
        </w:rPr>
        <w:t xml:space="preserve"> </w:t>
      </w:r>
      <w:r w:rsidR="00687F90">
        <w:rPr>
          <w:szCs w:val="24"/>
        </w:rPr>
        <w:br/>
      </w:r>
      <w:r w:rsidR="00687F90" w:rsidRPr="00140506">
        <w:rPr>
          <w:szCs w:val="24"/>
        </w:rPr>
        <w:t>en ce qui concerne les émissions de polluants selon les exigences</w:t>
      </w:r>
      <w:r w:rsidR="00687F90">
        <w:rPr>
          <w:szCs w:val="24"/>
        </w:rPr>
        <w:t xml:space="preserve"> </w:t>
      </w:r>
      <w:r w:rsidR="00687F90">
        <w:rPr>
          <w:szCs w:val="24"/>
        </w:rPr>
        <w:br/>
      </w:r>
      <w:r w:rsidR="00687F90" w:rsidRPr="00140506">
        <w:rPr>
          <w:szCs w:val="24"/>
        </w:rPr>
        <w:t>du moteur en matière de carburant</w:t>
      </w:r>
    </w:p>
    <w:p w:rsidR="00CC5C32" w:rsidRPr="00CC5C32" w:rsidRDefault="00CC5C32" w:rsidP="00CC5C32">
      <w:pPr>
        <w:pStyle w:val="SingleTxtG"/>
        <w:ind w:firstLine="567"/>
      </w:pPr>
      <w:r w:rsidRPr="00FC2DA3">
        <w:rPr>
          <w:spacing w:val="-4"/>
          <w:szCs w:val="24"/>
          <w:lang w:eastAsia="en-GB"/>
        </w:rPr>
        <w:t>Le présent document est communiqué uniquement à titre d</w:t>
      </w:r>
      <w:r w:rsidR="00901CDB">
        <w:rPr>
          <w:spacing w:val="-4"/>
          <w:szCs w:val="24"/>
          <w:lang w:eastAsia="en-GB"/>
        </w:rPr>
        <w:t>’</w:t>
      </w:r>
      <w:r w:rsidRPr="00FC2DA3">
        <w:rPr>
          <w:spacing w:val="-4"/>
          <w:szCs w:val="24"/>
          <w:lang w:eastAsia="en-GB"/>
        </w:rPr>
        <w:t>information. Le texte authentique, juridiquement contraignant, est celui du document</w:t>
      </w:r>
      <w:r w:rsidR="00C3551F" w:rsidRPr="00FC2DA3">
        <w:rPr>
          <w:spacing w:val="-4"/>
          <w:szCs w:val="24"/>
          <w:lang w:eastAsia="en-GB"/>
        </w:rPr>
        <w:t xml:space="preserve"> </w:t>
      </w:r>
      <w:r w:rsidRPr="00FC2DA3">
        <w:rPr>
          <w:spacing w:val="-4"/>
          <w:szCs w:val="24"/>
          <w:lang w:eastAsia="en-GB"/>
        </w:rPr>
        <w:t>ECE/TRANS/WP.29/2016/109</w:t>
      </w:r>
      <w:r>
        <w:rPr>
          <w:spacing w:val="-6"/>
          <w:szCs w:val="24"/>
          <w:lang w:eastAsia="en-GB"/>
        </w:rPr>
        <w:t>.</w:t>
      </w:r>
    </w:p>
    <w:p w:rsidR="00321306" w:rsidRPr="00321306" w:rsidRDefault="00442E31" w:rsidP="00321306">
      <w:pPr>
        <w:pStyle w:val="SingleTxtG"/>
        <w:rPr>
          <w:i/>
        </w:rPr>
      </w:pPr>
      <w:r>
        <w:rPr>
          <w:noProof/>
          <w:lang w:val="en-GB" w:eastAsia="en-GB"/>
        </w:rPr>
        <mc:AlternateContent>
          <mc:Choice Requires="wps">
            <w:drawing>
              <wp:anchor distT="0" distB="0" distL="114300" distR="114300" simplePos="0" relativeHeight="251659776"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552.85pt;width:481.9pt;height:90.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B446E8">
        <w:br w:type="page"/>
      </w:r>
      <w:r w:rsidR="00321306" w:rsidRPr="00321306">
        <w:rPr>
          <w:i/>
        </w:rPr>
        <w:lastRenderedPageBreak/>
        <w:t>Paragraphe 7.1.4.1</w:t>
      </w:r>
      <w:r w:rsidR="00321306" w:rsidRPr="00321306">
        <w:t>, lire</w:t>
      </w:r>
      <w:r w:rsidR="00321306">
        <w:t> </w:t>
      </w:r>
      <w:r w:rsidR="00321306" w:rsidRPr="00321306">
        <w:t>:</w:t>
      </w:r>
    </w:p>
    <w:p w:rsidR="00321306" w:rsidRPr="00321306" w:rsidRDefault="00321306" w:rsidP="006C4C17">
      <w:pPr>
        <w:pStyle w:val="SingleTxtG"/>
        <w:ind w:left="2268" w:hanging="1134"/>
      </w:pPr>
      <w:r w:rsidRPr="00321306">
        <w:t>«</w:t>
      </w:r>
      <w:r w:rsidR="006C4C17">
        <w:t> </w:t>
      </w:r>
      <w:r w:rsidRPr="00321306">
        <w:t>7.1.4.1</w:t>
      </w:r>
      <w:r w:rsidRPr="00321306">
        <w:tab/>
        <w:t>Les paramètres identiques à prendre en compte pour l</w:t>
      </w:r>
      <w:r w:rsidR="00901CDB">
        <w:t>’</w:t>
      </w:r>
      <w:r w:rsidRPr="00321306">
        <w:t>extension de l</w:t>
      </w:r>
      <w:r w:rsidR="00901CDB">
        <w:t>’</w:t>
      </w:r>
      <w:r w:rsidRPr="00321306">
        <w:t>homologation sont les suivants</w:t>
      </w:r>
      <w:r w:rsidR="006C4C17">
        <w:t> </w:t>
      </w:r>
      <w:r w:rsidRPr="00321306">
        <w:t>:</w:t>
      </w:r>
    </w:p>
    <w:p w:rsidR="00321306" w:rsidRPr="00321306" w:rsidRDefault="00321306" w:rsidP="006C4C17">
      <w:pPr>
        <w:pStyle w:val="SingleTxtG"/>
        <w:ind w:left="2268"/>
      </w:pPr>
      <w:r w:rsidRPr="00321306">
        <w:t>Moteur</w:t>
      </w:r>
      <w:r w:rsidR="006C4C17">
        <w:t> </w:t>
      </w:r>
      <w:r w:rsidRPr="00321306">
        <w:t>:</w:t>
      </w:r>
    </w:p>
    <w:p w:rsidR="00321306" w:rsidRPr="00321306" w:rsidRDefault="00321306" w:rsidP="006C4C17">
      <w:pPr>
        <w:pStyle w:val="SingleTxtG"/>
        <w:ind w:left="2268"/>
      </w:pPr>
      <w:r w:rsidRPr="00321306">
        <w:t>a)</w:t>
      </w:r>
      <w:r w:rsidRPr="00321306">
        <w:tab/>
        <w:t>Procédé de combustion.</w:t>
      </w:r>
    </w:p>
    <w:p w:rsidR="00321306" w:rsidRPr="00321306" w:rsidRDefault="00321306" w:rsidP="006C4C17">
      <w:pPr>
        <w:pStyle w:val="SingleTxtG"/>
        <w:ind w:left="2268"/>
      </w:pPr>
      <w:r w:rsidRPr="00321306">
        <w:t>Dispositif à régénération discontinue (catalyseur, piège à particules) :</w:t>
      </w:r>
    </w:p>
    <w:p w:rsidR="00321306" w:rsidRPr="00321306" w:rsidRDefault="00321306" w:rsidP="00744639">
      <w:pPr>
        <w:pStyle w:val="SingleTxtG"/>
        <w:ind w:left="2835" w:hanging="567"/>
      </w:pPr>
      <w:r w:rsidRPr="00321306">
        <w:t>a)</w:t>
      </w:r>
      <w:r w:rsidRPr="00321306">
        <w:tab/>
        <w:t>Configuration (type d</w:t>
      </w:r>
      <w:r w:rsidR="00901CDB">
        <w:t>’</w:t>
      </w:r>
      <w:r w:rsidRPr="00321306">
        <w:t>enveloppe, nature du métal précieux et du substrat, densité alvéolaire)</w:t>
      </w:r>
      <w:r w:rsidR="00DB47C1">
        <w:t> </w:t>
      </w:r>
      <w:r w:rsidRPr="00321306">
        <w:t>;</w:t>
      </w:r>
    </w:p>
    <w:p w:rsidR="00321306" w:rsidRPr="00321306" w:rsidRDefault="00321306" w:rsidP="006C4C17">
      <w:pPr>
        <w:pStyle w:val="SingleTxtG"/>
        <w:ind w:left="2268"/>
      </w:pPr>
      <w:r w:rsidRPr="00321306">
        <w:t>b)</w:t>
      </w:r>
      <w:r w:rsidRPr="00321306">
        <w:tab/>
        <w:t>Type et principe de fonctionnement</w:t>
      </w:r>
      <w:r w:rsidR="00DB47C1">
        <w:t> </w:t>
      </w:r>
      <w:r w:rsidRPr="00321306">
        <w:t>;</w:t>
      </w:r>
    </w:p>
    <w:p w:rsidR="00321306" w:rsidRPr="00321306" w:rsidRDefault="00321306" w:rsidP="006C4C17">
      <w:pPr>
        <w:pStyle w:val="SingleTxtG"/>
        <w:ind w:left="2268"/>
      </w:pPr>
      <w:r w:rsidRPr="00321306">
        <w:t>c)</w:t>
      </w:r>
      <w:r w:rsidRPr="00321306">
        <w:tab/>
        <w:t>Système d</w:t>
      </w:r>
      <w:r w:rsidR="00901CDB">
        <w:t>’</w:t>
      </w:r>
      <w:r w:rsidRPr="00321306">
        <w:t>additif et dosage</w:t>
      </w:r>
      <w:r w:rsidR="00DB47C1">
        <w:t> </w:t>
      </w:r>
      <w:r w:rsidRPr="00321306">
        <w:t>;</w:t>
      </w:r>
    </w:p>
    <w:p w:rsidR="00321306" w:rsidRPr="00321306" w:rsidRDefault="00321306" w:rsidP="006C4C17">
      <w:pPr>
        <w:pStyle w:val="SingleTxtG"/>
        <w:ind w:left="2268"/>
      </w:pPr>
      <w:r w:rsidRPr="00321306">
        <w:t>d)</w:t>
      </w:r>
      <w:r w:rsidRPr="00321306">
        <w:tab/>
        <w:t xml:space="preserve">Volume </w:t>
      </w:r>
      <w:r w:rsidR="00DB47C1">
        <w:sym w:font="Symbol" w:char="F0B1"/>
      </w:r>
      <w:r w:rsidRPr="00321306">
        <w:t>10</w:t>
      </w:r>
      <w:r w:rsidR="00DB47C1">
        <w:t> % </w:t>
      </w:r>
      <w:r w:rsidRPr="00321306">
        <w:t>; et</w:t>
      </w:r>
    </w:p>
    <w:p w:rsidR="00321306" w:rsidRPr="00321306" w:rsidRDefault="00321306" w:rsidP="00894871">
      <w:pPr>
        <w:pStyle w:val="SingleTxtG"/>
        <w:ind w:left="2835" w:hanging="567"/>
        <w:rPr>
          <w:i/>
        </w:rPr>
      </w:pPr>
      <w:r w:rsidRPr="00321306">
        <w:t>e)</w:t>
      </w:r>
      <w:r w:rsidRPr="00321306">
        <w:tab/>
        <w:t xml:space="preserve">Emplacement (température </w:t>
      </w:r>
      <w:r w:rsidR="00DB47C1">
        <w:sym w:font="Symbol" w:char="F0B1"/>
      </w:r>
      <w:r w:rsidRPr="00321306">
        <w:t>50</w:t>
      </w:r>
      <w:r w:rsidR="00DB47C1">
        <w:t> </w:t>
      </w:r>
      <w:r w:rsidRPr="00321306">
        <w:t>°C à 120</w:t>
      </w:r>
      <w:r w:rsidR="00DB47C1">
        <w:t> </w:t>
      </w:r>
      <w:r w:rsidRPr="00321306">
        <w:t>km/h ou température maximale moins 5</w:t>
      </w:r>
      <w:r w:rsidR="00DB47C1">
        <w:t> </w:t>
      </w:r>
      <w:r w:rsidRPr="00321306">
        <w:t>% à la pression maximale).</w:t>
      </w:r>
      <w:r w:rsidR="00DB47C1">
        <w:t> </w:t>
      </w:r>
      <w:r w:rsidRPr="00321306">
        <w:t>».</w:t>
      </w:r>
    </w:p>
    <w:p w:rsidR="00321306" w:rsidRPr="00321306" w:rsidRDefault="00321306" w:rsidP="008A2DB0">
      <w:pPr>
        <w:pStyle w:val="SingleTxtG"/>
        <w:ind w:left="2268" w:hanging="1134"/>
        <w:rPr>
          <w:i/>
        </w:rPr>
      </w:pPr>
      <w:r w:rsidRPr="00321306">
        <w:rPr>
          <w:i/>
        </w:rPr>
        <w:t>Appendice 6, ajouter un nouveau paragraphe 8.1.1</w:t>
      </w:r>
      <w:r w:rsidRPr="008A2DB0">
        <w:t>,</w:t>
      </w:r>
      <w:r w:rsidRPr="00321306">
        <w:rPr>
          <w:i/>
        </w:rPr>
        <w:t xml:space="preserve"> </w:t>
      </w:r>
      <w:r w:rsidRPr="00321306">
        <w:t>libellé comme suit</w:t>
      </w:r>
      <w:r w:rsidR="008A2DB0">
        <w:t> </w:t>
      </w:r>
      <w:r w:rsidRPr="00321306">
        <w:t>:</w:t>
      </w:r>
    </w:p>
    <w:p w:rsidR="00321306" w:rsidRPr="00321306" w:rsidRDefault="00321306" w:rsidP="008A2DB0">
      <w:pPr>
        <w:pStyle w:val="SingleTxtG"/>
        <w:ind w:left="2268" w:hanging="1134"/>
      </w:pPr>
      <w:r w:rsidRPr="00321306">
        <w:t>«</w:t>
      </w:r>
      <w:r w:rsidR="008A2DB0">
        <w:t> </w:t>
      </w:r>
      <w:r w:rsidRPr="00321306">
        <w:t>8.1.1</w:t>
      </w:r>
      <w:r w:rsidRPr="00321306">
        <w:tab/>
        <w:t>Cette prescription ne s</w:t>
      </w:r>
      <w:r w:rsidR="00901CDB">
        <w:t>’</w:t>
      </w:r>
      <w:r w:rsidRPr="00321306">
        <w:t>applique pas aux véhicules conçus et construits pour être utilisés par les services de secours, les forces armées, la protection civile, les pompiers et les forces de maintien de l</w:t>
      </w:r>
      <w:r w:rsidR="00901CDB">
        <w:t>’</w:t>
      </w:r>
      <w:r w:rsidRPr="00321306">
        <w:t>ordre. La désactivation permanente du système d</w:t>
      </w:r>
      <w:r w:rsidR="00901CDB">
        <w:t>’</w:t>
      </w:r>
      <w:r w:rsidRPr="00321306">
        <w:t>incitation du conducteur ne peut être effectuée que par le constructeur du véhicule.</w:t>
      </w:r>
      <w:r w:rsidR="008A2DB0">
        <w:t> </w:t>
      </w:r>
      <w:r w:rsidRPr="00321306">
        <w:t>».</w:t>
      </w:r>
    </w:p>
    <w:p w:rsidR="00321306" w:rsidRPr="00321306" w:rsidRDefault="00321306" w:rsidP="00321306">
      <w:pPr>
        <w:pStyle w:val="SingleTxtG"/>
        <w:rPr>
          <w:i/>
        </w:rPr>
      </w:pPr>
      <w:r w:rsidRPr="00321306">
        <w:rPr>
          <w:i/>
        </w:rPr>
        <w:t>Annexe 2, additif, point 2.1.1</w:t>
      </w:r>
      <w:r w:rsidRPr="008A2DB0">
        <w:t>,</w:t>
      </w:r>
      <w:r w:rsidRPr="00321306">
        <w:rPr>
          <w:i/>
        </w:rPr>
        <w:t xml:space="preserve"> </w:t>
      </w:r>
      <w:r w:rsidRPr="00321306">
        <w:t>lire</w:t>
      </w:r>
      <w:r w:rsidR="008A2DB0">
        <w:t> </w:t>
      </w:r>
      <w:r w:rsidRPr="00321306">
        <w:t>:</w:t>
      </w:r>
    </w:p>
    <w:p w:rsidR="00321306" w:rsidRPr="00321306" w:rsidRDefault="00321306" w:rsidP="008A2DB0">
      <w:pPr>
        <w:pStyle w:val="SingleTxtG"/>
        <w:ind w:left="2268" w:hanging="1134"/>
      </w:pPr>
      <w:r w:rsidRPr="00321306">
        <w:t>«</w:t>
      </w:r>
      <w:r w:rsidR="008A2DB0">
        <w:t> </w:t>
      </w:r>
      <w:r w:rsidRPr="00321306">
        <w:t>2.1.1</w:t>
      </w:r>
      <w:r w:rsidRPr="00321306">
        <w:tab/>
        <w:t>Dans le cas des véhicules bicarburant, il faut reproduire le tableau du type I pour les deux carburants. S</w:t>
      </w:r>
      <w:r w:rsidR="00901CDB">
        <w:t>’</w:t>
      </w:r>
      <w:r w:rsidRPr="00321306">
        <w:t>agissant des véhicules polycarburant, lorsqu</w:t>
      </w:r>
      <w:r w:rsidR="00901CDB">
        <w:t>’</w:t>
      </w:r>
      <w:r w:rsidRPr="00321306">
        <w:t>il faut effectuer des essais du type</w:t>
      </w:r>
      <w:r w:rsidR="008A2DB0">
        <w:t> </w:t>
      </w:r>
      <w:r w:rsidRPr="00321306">
        <w:t>I sur les deux carburants conformément au tableau</w:t>
      </w:r>
      <w:r w:rsidR="008A2DB0">
        <w:t> </w:t>
      </w:r>
      <w:r w:rsidRPr="00321306">
        <w:t>A du présent Règlement, ainsi que pour les véhicules fonctionnant au GPL ou au GN/biométhane, qu</w:t>
      </w:r>
      <w:r w:rsidR="00901CDB">
        <w:t>’</w:t>
      </w:r>
      <w:r w:rsidRPr="00321306">
        <w:t>ils soient monocarburant ou bicarburant, il faut reproduire le tableau pour chacun des gaz de référence utilisés lors de l</w:t>
      </w:r>
      <w:r w:rsidR="00901CDB">
        <w:t>’</w:t>
      </w:r>
      <w:r w:rsidRPr="00321306">
        <w:t>essai et un tableau supplémentaire doit présenter les plus mauvais résultats obtenus. Le cas échéant, conformément aux paragraphes</w:t>
      </w:r>
      <w:r w:rsidR="008A2DB0">
        <w:t> </w:t>
      </w:r>
      <w:r w:rsidRPr="00321306">
        <w:t>3.1.4 et 3.1.5 de l</w:t>
      </w:r>
      <w:r w:rsidR="00901CDB">
        <w:t>’</w:t>
      </w:r>
      <w:r w:rsidRPr="00321306">
        <w:t>annexe</w:t>
      </w:r>
      <w:r w:rsidR="008A2DB0">
        <w:t> </w:t>
      </w:r>
      <w:r w:rsidRPr="00321306">
        <w:t>12 du présent Règlement, il faut indiquer si les résultats ont été mesurés ou calculés.</w:t>
      </w:r>
      <w:r w:rsidR="008A2DB0">
        <w:t> </w:t>
      </w:r>
      <w:r w:rsidRPr="00321306">
        <w:t>».</w:t>
      </w:r>
    </w:p>
    <w:p w:rsidR="00321306" w:rsidRPr="00321306" w:rsidRDefault="00321306" w:rsidP="00321306">
      <w:pPr>
        <w:pStyle w:val="SingleTxtG"/>
        <w:rPr>
          <w:i/>
        </w:rPr>
      </w:pPr>
      <w:r w:rsidRPr="00321306">
        <w:rPr>
          <w:i/>
        </w:rPr>
        <w:t>Annexe 4a, appendice 3, paragraphe 1.2.12.6</w:t>
      </w:r>
      <w:r w:rsidRPr="0068461F">
        <w:t>,</w:t>
      </w:r>
      <w:r w:rsidRPr="00321306">
        <w:rPr>
          <w:i/>
        </w:rPr>
        <w:t xml:space="preserve"> </w:t>
      </w:r>
      <w:r w:rsidRPr="00321306">
        <w:t>lire</w:t>
      </w:r>
      <w:r w:rsidR="0068461F">
        <w:t> </w:t>
      </w:r>
      <w:r w:rsidRPr="00321306">
        <w:t>:</w:t>
      </w:r>
    </w:p>
    <w:p w:rsidR="00321306" w:rsidRPr="00321306" w:rsidRDefault="00321306" w:rsidP="0068461F">
      <w:pPr>
        <w:pStyle w:val="SingleTxtG"/>
        <w:ind w:left="2268" w:hanging="1134"/>
      </w:pPr>
      <w:r w:rsidRPr="00321306">
        <w:t>«</w:t>
      </w:r>
      <w:r w:rsidR="0068461F">
        <w:t> </w:t>
      </w:r>
      <w:r w:rsidRPr="00321306">
        <w:t>1.2.12.6</w:t>
      </w:r>
      <w:r w:rsidRPr="00321306">
        <w:tab/>
        <w:t>Le détecteur à ionisation de flamme chauffé (HFID) doit être utilisé avec un système à débit constant (échangeur de chaleur) pour assurer un prélèvement représentatif, à moins qu</w:t>
      </w:r>
      <w:r w:rsidR="00901CDB">
        <w:t>’</w:t>
      </w:r>
      <w:r w:rsidRPr="00321306">
        <w:t>une compensation ne soit effectuée pour la variation du débit volumique en cas d</w:t>
      </w:r>
      <w:r w:rsidR="00901CDB">
        <w:t>’</w:t>
      </w:r>
      <w:r w:rsidRPr="00321306">
        <w:t>utilisation d</w:t>
      </w:r>
      <w:r w:rsidR="00901CDB">
        <w:t>’</w:t>
      </w:r>
      <w:r w:rsidRPr="00321306">
        <w:t>un CVS.</w:t>
      </w:r>
      <w:r w:rsidR="002F7B6D">
        <w:t> </w:t>
      </w:r>
      <w:r w:rsidRPr="00321306">
        <w:t>».</w:t>
      </w:r>
    </w:p>
    <w:p w:rsidR="00321306" w:rsidRPr="00321306" w:rsidRDefault="00321306" w:rsidP="00321306">
      <w:pPr>
        <w:pStyle w:val="SingleTxtG"/>
        <w:rPr>
          <w:i/>
        </w:rPr>
      </w:pPr>
      <w:r w:rsidRPr="00321306">
        <w:rPr>
          <w:i/>
        </w:rPr>
        <w:t>Annexe 10, Type</w:t>
      </w:r>
      <w:r w:rsidR="002F7B6D">
        <w:rPr>
          <w:i/>
        </w:rPr>
        <w:t> </w:t>
      </w:r>
      <w:r w:rsidRPr="00321306">
        <w:rPr>
          <w:i/>
        </w:rPr>
        <w:t>: Essence (E10), tableau</w:t>
      </w:r>
      <w:r w:rsidRPr="002F7B6D">
        <w:t>,</w:t>
      </w:r>
      <w:r w:rsidRPr="00321306">
        <w:rPr>
          <w:i/>
        </w:rPr>
        <w:t xml:space="preserve"> </w:t>
      </w:r>
      <w:r w:rsidRPr="00321306">
        <w:t>lire</w:t>
      </w:r>
      <w:r w:rsidR="002F7B6D">
        <w:t> </w:t>
      </w:r>
      <w:r w:rsidRPr="00321306">
        <w:t>:</w:t>
      </w:r>
    </w:p>
    <w:p w:rsidR="00321306" w:rsidRDefault="00321306" w:rsidP="00321306">
      <w:pPr>
        <w:pStyle w:val="SingleTxtG"/>
      </w:pPr>
      <w:r w:rsidRPr="002F7B6D">
        <w:t>«</w:t>
      </w:r>
      <w:r w:rsidR="002F7B6D">
        <w:t> </w:t>
      </w:r>
    </w:p>
    <w:tbl>
      <w:tblPr>
        <w:tblW w:w="0" w:type="auto"/>
        <w:tblInd w:w="1134" w:type="dxa"/>
        <w:tblLayout w:type="fixed"/>
        <w:tblCellMar>
          <w:left w:w="0" w:type="dxa"/>
          <w:right w:w="0" w:type="dxa"/>
        </w:tblCellMar>
        <w:tblLook w:val="0000" w:firstRow="0" w:lastRow="0" w:firstColumn="0" w:lastColumn="0" w:noHBand="0" w:noVBand="0"/>
      </w:tblPr>
      <w:tblGrid>
        <w:gridCol w:w="1842"/>
        <w:gridCol w:w="1843"/>
        <w:gridCol w:w="1843"/>
        <w:gridCol w:w="1843"/>
      </w:tblGrid>
      <w:tr w:rsidR="002F7B6D" w:rsidRPr="00B11162" w:rsidTr="006953D1">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tcPr>
          <w:p w:rsidR="002F7B6D" w:rsidRPr="00B11162" w:rsidRDefault="002F7B6D" w:rsidP="006953D1">
            <w:pPr>
              <w:pStyle w:val="SingleTxtG"/>
              <w:spacing w:before="60" w:after="60"/>
              <w:ind w:left="57" w:right="57"/>
            </w:pPr>
            <w:r w:rsidRPr="00B11162">
              <w:t>…</w:t>
            </w:r>
          </w:p>
        </w:tc>
      </w:tr>
      <w:tr w:rsidR="002F7B6D" w:rsidRPr="00B11162" w:rsidTr="006953D1">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Teneur en eau</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 v/v</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max 0,05</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EN 12937</w:t>
            </w:r>
          </w:p>
        </w:tc>
      </w:tr>
      <w:tr w:rsidR="002F7B6D" w:rsidRPr="00B11162" w:rsidTr="006953D1">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 xml:space="preserve">Aspect à </w:t>
            </w:r>
            <w:r>
              <w:t>-7 </w:t>
            </w:r>
            <w:r w:rsidRPr="00B11162">
              <w:t>°C</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Claire et brillante</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p>
        </w:tc>
      </w:tr>
      <w:tr w:rsidR="002F7B6D" w:rsidRPr="00B11162" w:rsidTr="006953D1">
        <w:trPr>
          <w:trHeight w:val="20"/>
        </w:trPr>
        <w:tc>
          <w:tcPr>
            <w:tcW w:w="1842"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w:t>
            </w:r>
          </w:p>
        </w:tc>
        <w:tc>
          <w:tcPr>
            <w:tcW w:w="1843" w:type="dxa"/>
            <w:tcBorders>
              <w:top w:val="single" w:sz="2" w:space="0" w:color="auto"/>
              <w:left w:val="single" w:sz="2" w:space="0" w:color="auto"/>
              <w:bottom w:val="single" w:sz="2" w:space="0" w:color="auto"/>
              <w:right w:val="single" w:sz="2" w:space="0" w:color="auto"/>
            </w:tcBorders>
            <w:tcMar>
              <w:top w:w="0" w:type="dxa"/>
              <w:bottom w:w="0" w:type="dxa"/>
            </w:tcMar>
            <w:vAlign w:val="center"/>
          </w:tcPr>
          <w:p w:rsidR="002F7B6D" w:rsidRPr="00B11162" w:rsidRDefault="002F7B6D" w:rsidP="006953D1">
            <w:pPr>
              <w:pStyle w:val="SingleTxtG"/>
              <w:spacing w:before="60" w:after="60"/>
              <w:ind w:left="57" w:right="57"/>
            </w:pPr>
            <w:r w:rsidRPr="00B11162">
              <w:t>…</w:t>
            </w:r>
          </w:p>
        </w:tc>
      </w:tr>
    </w:tbl>
    <w:p w:rsidR="00321306" w:rsidRPr="00321306" w:rsidRDefault="00321306" w:rsidP="002F7B6D">
      <w:pPr>
        <w:pStyle w:val="SingleTxtG"/>
        <w:spacing w:before="120"/>
        <w:jc w:val="right"/>
        <w:rPr>
          <w:i/>
        </w:rPr>
      </w:pPr>
      <w:r w:rsidRPr="002F7B6D">
        <w:t>»</w:t>
      </w:r>
      <w:r w:rsidR="002F7B6D">
        <w:t>.</w:t>
      </w:r>
    </w:p>
    <w:p w:rsidR="00321306" w:rsidRPr="00321306" w:rsidRDefault="00321306" w:rsidP="00922034">
      <w:pPr>
        <w:pStyle w:val="SingleTxtG"/>
        <w:keepNext/>
        <w:keepLines/>
        <w:rPr>
          <w:i/>
        </w:rPr>
      </w:pPr>
      <w:r w:rsidRPr="00321306">
        <w:rPr>
          <w:i/>
        </w:rPr>
        <w:lastRenderedPageBreak/>
        <w:t>Annexe 11</w:t>
      </w:r>
      <w:r w:rsidRPr="00BB46C5">
        <w:t>,</w:t>
      </w:r>
    </w:p>
    <w:p w:rsidR="00321306" w:rsidRPr="00321306" w:rsidRDefault="00321306" w:rsidP="00922034">
      <w:pPr>
        <w:pStyle w:val="SingleTxtG"/>
        <w:keepNext/>
        <w:keepLines/>
        <w:rPr>
          <w:i/>
        </w:rPr>
      </w:pPr>
      <w:r w:rsidRPr="00321306">
        <w:rPr>
          <w:i/>
        </w:rPr>
        <w:t>Paragraphe 3.3.3.1</w:t>
      </w:r>
      <w:r w:rsidRPr="00321306">
        <w:t>, lire</w:t>
      </w:r>
      <w:r w:rsidR="00BB46C5">
        <w:t> </w:t>
      </w:r>
      <w:r w:rsidRPr="00321306">
        <w:t>:</w:t>
      </w:r>
    </w:p>
    <w:p w:rsidR="00321306" w:rsidRPr="00321306" w:rsidRDefault="00321306" w:rsidP="00922034">
      <w:pPr>
        <w:pStyle w:val="SingleTxtG"/>
        <w:keepNext/>
        <w:keepLines/>
        <w:ind w:left="2268" w:hanging="1134"/>
      </w:pPr>
      <w:r w:rsidRPr="00321306">
        <w:t>«</w:t>
      </w:r>
      <w:r w:rsidR="00BB46C5">
        <w:t> </w:t>
      </w:r>
      <w:r w:rsidRPr="00321306">
        <w:t>3.3.3.1</w:t>
      </w:r>
      <w:r w:rsidRPr="00321306">
        <w:tab/>
        <w:t>La baisse d</w:t>
      </w:r>
      <w:r w:rsidR="00901CDB">
        <w:t>’</w:t>
      </w:r>
      <w:r w:rsidRPr="00321306">
        <w:t>efficacité du convertisseur catalytique en ce qui concerne les émissions de HCT et de NO</w:t>
      </w:r>
      <w:r w:rsidRPr="00176972">
        <w:rPr>
          <w:vertAlign w:val="subscript"/>
        </w:rPr>
        <w:t>x</w:t>
      </w:r>
      <w:r w:rsidRPr="00321306">
        <w:t>. Les constructeurs peuvent prévoir un dispositif de surveillance uniquement pour le catalyseur en amont ou en combinaison avec le ou les catalyseurs suivants en aval. Un catalyseur ou un assemblage de catalyseurs est réputé dysfonctionner lorsque les émissions dépassent les valeurs limites de NMHC ou NO</w:t>
      </w:r>
      <w:r w:rsidRPr="00176972">
        <w:rPr>
          <w:vertAlign w:val="subscript"/>
        </w:rPr>
        <w:t>x</w:t>
      </w:r>
      <w:r w:rsidRPr="00321306">
        <w:t xml:space="preserve"> visées au paragraphe</w:t>
      </w:r>
      <w:r w:rsidR="00176972">
        <w:t> </w:t>
      </w:r>
      <w:r w:rsidRPr="00321306">
        <w:t>3.3.2 de la présente annexe.</w:t>
      </w:r>
      <w:r w:rsidR="00176972">
        <w:t> </w:t>
      </w:r>
      <w:r w:rsidRPr="00321306">
        <w:t>».</w:t>
      </w:r>
    </w:p>
    <w:p w:rsidR="00321306" w:rsidRPr="00321306" w:rsidRDefault="00321306" w:rsidP="00321306">
      <w:pPr>
        <w:pStyle w:val="SingleTxtG"/>
        <w:rPr>
          <w:i/>
        </w:rPr>
      </w:pPr>
      <w:r w:rsidRPr="00321306">
        <w:rPr>
          <w:i/>
        </w:rPr>
        <w:t>Paragraphe 3.3.3.4</w:t>
      </w:r>
      <w:r w:rsidRPr="00321306">
        <w:t>, lire</w:t>
      </w:r>
      <w:r w:rsidR="00176972">
        <w:t> </w:t>
      </w:r>
      <w:r w:rsidRPr="00321306">
        <w:t>:</w:t>
      </w:r>
    </w:p>
    <w:p w:rsidR="00321306" w:rsidRPr="00321306" w:rsidRDefault="00321306" w:rsidP="00BB46C5">
      <w:pPr>
        <w:pStyle w:val="SingleTxtG"/>
        <w:ind w:left="2268" w:hanging="1134"/>
      </w:pPr>
      <w:r w:rsidRPr="00321306">
        <w:t>« 3.3.3.4</w:t>
      </w:r>
      <w:r w:rsidRPr="00321306">
        <w:tab/>
        <w:t>S</w:t>
      </w:r>
      <w:r w:rsidR="00901CDB">
        <w:t>’</w:t>
      </w:r>
      <w:r w:rsidRPr="00321306">
        <w:t>ils sont actifs sur le type de carburant sélectionné, les autres composants ou dispositifs du système antipollution, ou les composants ou systèmes du groupe motopropulseur relatifs aux émissions, qui sont raccordés à un ordinateur et dont la défaillance peut entraîner des émissions à l</w:t>
      </w:r>
      <w:r w:rsidR="00901CDB">
        <w:t>’</w:t>
      </w:r>
      <w:r w:rsidRPr="00321306">
        <w:t>échappement dépassant les valeurs limites OBD indiquées au paragraphe</w:t>
      </w:r>
      <w:r w:rsidR="00176972">
        <w:t> </w:t>
      </w:r>
      <w:r w:rsidRPr="00321306">
        <w:t>3.3.2 de la présente annexe.</w:t>
      </w:r>
      <w:r w:rsidR="00176972">
        <w:t> </w:t>
      </w:r>
      <w:r w:rsidRPr="00321306">
        <w:t>».</w:t>
      </w:r>
    </w:p>
    <w:p w:rsidR="00321306" w:rsidRPr="00321306" w:rsidRDefault="00321306" w:rsidP="00321306">
      <w:pPr>
        <w:pStyle w:val="SingleTxtG"/>
        <w:rPr>
          <w:i/>
        </w:rPr>
      </w:pPr>
      <w:r w:rsidRPr="00321306">
        <w:rPr>
          <w:i/>
        </w:rPr>
        <w:t>Paragraphe 3.3.4.4</w:t>
      </w:r>
      <w:r w:rsidRPr="00176972">
        <w:t>,</w:t>
      </w:r>
      <w:r w:rsidRPr="00321306">
        <w:rPr>
          <w:i/>
        </w:rPr>
        <w:t xml:space="preserve"> </w:t>
      </w:r>
      <w:r w:rsidRPr="00321306">
        <w:t>lire</w:t>
      </w:r>
      <w:r w:rsidR="00176972">
        <w:t> </w:t>
      </w:r>
      <w:r w:rsidRPr="00321306">
        <w:t>:</w:t>
      </w:r>
    </w:p>
    <w:p w:rsidR="00321306" w:rsidRPr="00321306" w:rsidRDefault="00321306" w:rsidP="00BB46C5">
      <w:pPr>
        <w:pStyle w:val="SingleTxtG"/>
        <w:ind w:left="2268" w:hanging="1134"/>
      </w:pPr>
      <w:r w:rsidRPr="00321306">
        <w:t>«</w:t>
      </w:r>
      <w:r w:rsidR="00176972">
        <w:t> </w:t>
      </w:r>
      <w:r w:rsidRPr="00321306">
        <w:t>3.3.4.4</w:t>
      </w:r>
      <w:r w:rsidRPr="00321306">
        <w:tab/>
        <w:t>Les autres composants ou systèmes du système antipollution, ou les composants ou systèmes du groupe propulseur relatifs aux émissions, qui sont connectés à un ordinateur, et dont la défaillance peut entraîner des émissions à l</w:t>
      </w:r>
      <w:r w:rsidR="00901CDB">
        <w:t>’</w:t>
      </w:r>
      <w:r w:rsidRPr="00321306">
        <w:t>échappement dépassant les valeurs limites OBD indiquées au paragraphe</w:t>
      </w:r>
      <w:r w:rsidR="00176972">
        <w:t> </w:t>
      </w:r>
      <w:r w:rsidRPr="00321306">
        <w:t>3.3.2 de la présente annexe. Il s</w:t>
      </w:r>
      <w:r w:rsidR="00901CDB">
        <w:t>’</w:t>
      </w:r>
      <w:r w:rsidRPr="00321306">
        <w:t>agit, par exemple, des composants ou systèmes chargés de surveiller et de contrôler le débit d</w:t>
      </w:r>
      <w:r w:rsidR="00901CDB">
        <w:t>’</w:t>
      </w:r>
      <w:r w:rsidRPr="00321306">
        <w:t>air massique, le débit volumétrique (et la température), la pression de suralimentation et la pression dans la tubulure d</w:t>
      </w:r>
      <w:r w:rsidR="00901CDB">
        <w:t>’</w:t>
      </w:r>
      <w:r w:rsidRPr="00321306">
        <w:t>admission (ainsi que des capteurs qui permettent l</w:t>
      </w:r>
      <w:r w:rsidR="00901CDB">
        <w:t>’</w:t>
      </w:r>
      <w:r w:rsidRPr="00321306">
        <w:t>exécution de ces contrôles).</w:t>
      </w:r>
      <w:r w:rsidR="00176972">
        <w:t> </w:t>
      </w:r>
      <w:r w:rsidRPr="00321306">
        <w:t>».</w:t>
      </w:r>
    </w:p>
    <w:p w:rsidR="00321306" w:rsidRPr="00321306" w:rsidRDefault="00321306" w:rsidP="00321306">
      <w:pPr>
        <w:pStyle w:val="SingleTxtG"/>
        <w:rPr>
          <w:i/>
        </w:rPr>
      </w:pPr>
      <w:r w:rsidRPr="00321306">
        <w:rPr>
          <w:i/>
        </w:rPr>
        <w:t>Paragraphes 3.3.5 à 3.3.5.2</w:t>
      </w:r>
      <w:r w:rsidRPr="00176972">
        <w:t>,</w:t>
      </w:r>
      <w:r w:rsidRPr="00321306">
        <w:rPr>
          <w:i/>
        </w:rPr>
        <w:t xml:space="preserve"> </w:t>
      </w:r>
      <w:r w:rsidRPr="00321306">
        <w:t>lire</w:t>
      </w:r>
      <w:r w:rsidR="00176972">
        <w:t> </w:t>
      </w:r>
      <w:r w:rsidRPr="00321306">
        <w:t>:</w:t>
      </w:r>
    </w:p>
    <w:p w:rsidR="00321306" w:rsidRPr="00321306" w:rsidRDefault="00321306" w:rsidP="00BB46C5">
      <w:pPr>
        <w:pStyle w:val="SingleTxtG"/>
        <w:ind w:left="2268" w:hanging="1134"/>
      </w:pPr>
      <w:r w:rsidRPr="00321306">
        <w:t>«</w:t>
      </w:r>
      <w:r w:rsidR="00176972">
        <w:t> </w:t>
      </w:r>
      <w:r w:rsidRPr="00321306">
        <w:t>3.3.5</w:t>
      </w:r>
      <w:r w:rsidRPr="00321306">
        <w:tab/>
        <w:t>Les constructeurs peuvent démontrer à l</w:t>
      </w:r>
      <w:r w:rsidR="00901CDB">
        <w:t>’</w:t>
      </w:r>
      <w:r w:rsidRPr="00321306">
        <w:t>autorité chargée de l</w:t>
      </w:r>
      <w:r w:rsidR="00901CDB">
        <w:t>’</w:t>
      </w:r>
      <w:r w:rsidRPr="00321306">
        <w:t>homologation que certains composants ou systèmes ne doivent pas être soumis à une surveillance si le niveau des émissions ne dépasse pas les valeurs limites OBD indiquées au paragraphe 3.3.2 de la présente annexe.</w:t>
      </w:r>
    </w:p>
    <w:p w:rsidR="00321306" w:rsidRPr="00321306" w:rsidRDefault="00321306" w:rsidP="00BB46C5">
      <w:pPr>
        <w:pStyle w:val="SingleTxtG"/>
        <w:ind w:left="2268" w:hanging="1134"/>
      </w:pPr>
      <w:r w:rsidRPr="00321306">
        <w:t>3.3.5.1</w:t>
      </w:r>
      <w:r w:rsidRPr="00321306">
        <w:tab/>
        <w:t>Sur les dispositifs ci-après, la défaillance totale ou le retrait doivent cependant faire l</w:t>
      </w:r>
      <w:r w:rsidR="00901CDB">
        <w:t>’</w:t>
      </w:r>
      <w:r w:rsidRPr="00321306">
        <w:t>objet d</w:t>
      </w:r>
      <w:r w:rsidR="00901CDB">
        <w:t>’</w:t>
      </w:r>
      <w:r w:rsidRPr="00321306">
        <w:t>une surveillance (si le retrait est susceptible d</w:t>
      </w:r>
      <w:r w:rsidR="00901CDB">
        <w:t>’</w:t>
      </w:r>
      <w:r w:rsidRPr="00321306">
        <w:t>entraîner un dépassement des limites d</w:t>
      </w:r>
      <w:r w:rsidR="00901CDB">
        <w:t>’</w:t>
      </w:r>
      <w:r w:rsidRPr="00321306">
        <w:t>émission applicables définies au paragraphe</w:t>
      </w:r>
      <w:r w:rsidR="00176972">
        <w:t> </w:t>
      </w:r>
      <w:r w:rsidRPr="00321306">
        <w:t>5.3.1.4 du présent Règlement)</w:t>
      </w:r>
      <w:r w:rsidR="00176972">
        <w:t> </w:t>
      </w:r>
      <w:r w:rsidRPr="00321306">
        <w:t>:</w:t>
      </w:r>
    </w:p>
    <w:p w:rsidR="00321306" w:rsidRPr="00321306" w:rsidRDefault="00321306" w:rsidP="00176972">
      <w:pPr>
        <w:pStyle w:val="SingleTxtG"/>
        <w:ind w:left="2835" w:hanging="567"/>
      </w:pPr>
      <w:r w:rsidRPr="00321306">
        <w:t>a)</w:t>
      </w:r>
      <w:r w:rsidRPr="00321306">
        <w:tab/>
        <w:t>Un filtre à particules installé sur des moteurs à allumage par compression en tant qu</w:t>
      </w:r>
      <w:r w:rsidR="00901CDB">
        <w:t>’</w:t>
      </w:r>
      <w:r w:rsidRPr="00321306">
        <w:t>élément distinct ou intégré dans un dispositif de réduction des émissions combiné</w:t>
      </w:r>
      <w:r w:rsidR="00BB46C5">
        <w:t> </w:t>
      </w:r>
      <w:r w:rsidRPr="00321306">
        <w:t>;</w:t>
      </w:r>
    </w:p>
    <w:p w:rsidR="00321306" w:rsidRPr="00321306" w:rsidRDefault="00321306" w:rsidP="00176972">
      <w:pPr>
        <w:pStyle w:val="SingleTxtG"/>
        <w:ind w:left="2835" w:hanging="567"/>
      </w:pPr>
      <w:r w:rsidRPr="00321306">
        <w:t>b)</w:t>
      </w:r>
      <w:r w:rsidRPr="00321306">
        <w:tab/>
        <w:t>Un dispositif de traitement aval des NO</w:t>
      </w:r>
      <w:r w:rsidRPr="00BB46C5">
        <w:rPr>
          <w:vertAlign w:val="subscript"/>
        </w:rPr>
        <w:t>x</w:t>
      </w:r>
      <w:r w:rsidRPr="00321306">
        <w:t xml:space="preserve"> installé sur des moteurs à allumage par compression en tant qu</w:t>
      </w:r>
      <w:r w:rsidR="00901CDB">
        <w:t>’</w:t>
      </w:r>
      <w:r w:rsidRPr="00321306">
        <w:t>élément distinct ou intégré dans un dispositif de réduction des émissions combiné</w:t>
      </w:r>
      <w:r w:rsidR="00176972">
        <w:t> </w:t>
      </w:r>
      <w:r w:rsidRPr="00321306">
        <w:t>;</w:t>
      </w:r>
    </w:p>
    <w:p w:rsidR="00321306" w:rsidRPr="00321306" w:rsidRDefault="00321306" w:rsidP="00176972">
      <w:pPr>
        <w:pStyle w:val="SingleTxtG"/>
        <w:ind w:left="2835" w:hanging="567"/>
      </w:pPr>
      <w:r w:rsidRPr="00321306">
        <w:t>c)</w:t>
      </w:r>
      <w:r w:rsidRPr="00321306">
        <w:tab/>
        <w:t>Un catalyseur à oxydation pour moteur diesel installé sur des moteurs à allumage par compression en tant qu</w:t>
      </w:r>
      <w:r w:rsidR="00901CDB">
        <w:t>’</w:t>
      </w:r>
      <w:r w:rsidRPr="00321306">
        <w:t>élément distinct ou intégré dans un dispositif de réduction des émissions combiné.</w:t>
      </w:r>
    </w:p>
    <w:p w:rsidR="005F0207" w:rsidRDefault="00321306" w:rsidP="00BB46C5">
      <w:pPr>
        <w:pStyle w:val="SingleTxtG"/>
        <w:ind w:left="2268" w:hanging="1134"/>
      </w:pPr>
      <w:r w:rsidRPr="00321306">
        <w:t>3.3.5.2</w:t>
      </w:r>
      <w:r w:rsidRPr="00321306">
        <w:tab/>
        <w:t>Les dispositifs visés au paragraphe</w:t>
      </w:r>
      <w:r w:rsidR="00BB46C5">
        <w:t> </w:t>
      </w:r>
      <w:r w:rsidRPr="00321306">
        <w:t>3.3.5.1 de la présente annexe doivent également être soumis à une surveillance au cas où une défaillance quelconque entraînerait un dépassement des valeurs limites OBD.</w:t>
      </w:r>
      <w:r w:rsidR="00BB46C5">
        <w:t> </w:t>
      </w:r>
      <w:r w:rsidRPr="00321306">
        <w:t>».</w:t>
      </w:r>
    </w:p>
    <w:p w:rsidR="00BB46C5" w:rsidRPr="00BB46C5" w:rsidRDefault="00BB46C5" w:rsidP="00BB46C5">
      <w:pPr>
        <w:pStyle w:val="SingleTxtG"/>
        <w:spacing w:before="240" w:after="0"/>
        <w:jc w:val="center"/>
        <w:rPr>
          <w:u w:val="single"/>
        </w:rPr>
      </w:pPr>
      <w:r>
        <w:rPr>
          <w:u w:val="single"/>
        </w:rPr>
        <w:tab/>
      </w:r>
      <w:r>
        <w:rPr>
          <w:u w:val="single"/>
        </w:rPr>
        <w:tab/>
      </w:r>
      <w:r>
        <w:rPr>
          <w:u w:val="single"/>
        </w:rPr>
        <w:tab/>
      </w:r>
    </w:p>
    <w:sectPr w:rsidR="00BB46C5" w:rsidRPr="00BB46C5" w:rsidSect="00B446E8">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31" w:rsidRDefault="008B4931"/>
  </w:endnote>
  <w:endnote w:type="continuationSeparator" w:id="0">
    <w:p w:rsidR="008B4931" w:rsidRDefault="008B4931">
      <w:pPr>
        <w:pStyle w:val="Footer"/>
      </w:pPr>
    </w:p>
  </w:endnote>
  <w:endnote w:type="continuationNotice" w:id="1">
    <w:p w:rsidR="008B4931" w:rsidRPr="00C451B9" w:rsidRDefault="008B4931"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E8" w:rsidRPr="00B446E8" w:rsidRDefault="00B446E8" w:rsidP="00B446E8">
    <w:pPr>
      <w:pStyle w:val="Footer"/>
      <w:tabs>
        <w:tab w:val="right" w:pos="9638"/>
      </w:tabs>
    </w:pPr>
    <w:r w:rsidRPr="00B446E8">
      <w:rPr>
        <w:b/>
        <w:sz w:val="18"/>
      </w:rPr>
      <w:fldChar w:fldCharType="begin"/>
    </w:r>
    <w:r w:rsidRPr="00B446E8">
      <w:rPr>
        <w:b/>
        <w:sz w:val="18"/>
      </w:rPr>
      <w:instrText xml:space="preserve"> PAGE  \* MERGEFORMAT </w:instrText>
    </w:r>
    <w:r w:rsidRPr="00B446E8">
      <w:rPr>
        <w:b/>
        <w:sz w:val="18"/>
      </w:rPr>
      <w:fldChar w:fldCharType="separate"/>
    </w:r>
    <w:r w:rsidR="00ED04CA">
      <w:rPr>
        <w:b/>
        <w:noProof/>
        <w:sz w:val="18"/>
      </w:rPr>
      <w:t>2</w:t>
    </w:r>
    <w:r w:rsidRPr="00B446E8">
      <w:rPr>
        <w:b/>
        <w:sz w:val="18"/>
      </w:rPr>
      <w:fldChar w:fldCharType="end"/>
    </w:r>
    <w:r>
      <w:rPr>
        <w:b/>
        <w:sz w:val="18"/>
      </w:rPr>
      <w:tab/>
    </w:r>
    <w:r>
      <w:t>GE.17-11489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E8" w:rsidRPr="00B446E8" w:rsidRDefault="00B446E8" w:rsidP="00B446E8">
    <w:pPr>
      <w:pStyle w:val="Footer"/>
      <w:tabs>
        <w:tab w:val="right" w:pos="9638"/>
      </w:tabs>
      <w:rPr>
        <w:b/>
        <w:sz w:val="18"/>
      </w:rPr>
    </w:pPr>
    <w:r>
      <w:t>GE.17-11489</w:t>
    </w:r>
    <w:r>
      <w:tab/>
    </w:r>
    <w:r w:rsidRPr="00B446E8">
      <w:rPr>
        <w:b/>
        <w:sz w:val="18"/>
      </w:rPr>
      <w:fldChar w:fldCharType="begin"/>
    </w:r>
    <w:r w:rsidRPr="00B446E8">
      <w:rPr>
        <w:b/>
        <w:sz w:val="18"/>
      </w:rPr>
      <w:instrText xml:space="preserve"> PAGE  \* MERGEFORMAT </w:instrText>
    </w:r>
    <w:r w:rsidRPr="00B446E8">
      <w:rPr>
        <w:b/>
        <w:sz w:val="18"/>
      </w:rPr>
      <w:fldChar w:fldCharType="separate"/>
    </w:r>
    <w:r w:rsidR="00ED04CA">
      <w:rPr>
        <w:b/>
        <w:noProof/>
        <w:sz w:val="18"/>
      </w:rPr>
      <w:t>3</w:t>
    </w:r>
    <w:r w:rsidRPr="00B446E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F2C" w:rsidRPr="00B446E8" w:rsidRDefault="00B446E8" w:rsidP="00B446E8">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17-11489  (F)</w:t>
    </w:r>
    <w:r w:rsidR="003159C2">
      <w:rPr>
        <w:sz w:val="20"/>
      </w:rPr>
      <w:t xml:space="preserve">    </w:t>
    </w:r>
    <w:r w:rsidR="00873F54">
      <w:rPr>
        <w:sz w:val="20"/>
      </w:rPr>
      <w:t>231117    231117</w:t>
    </w:r>
    <w:r>
      <w:rPr>
        <w:sz w:val="20"/>
      </w:rPr>
      <w:br/>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sidRPr="00B446E8">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2/Rev.5/Amend.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2/Rev.5/Amend.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31" w:rsidRPr="00D27D5E" w:rsidRDefault="008B4931" w:rsidP="00D27D5E">
      <w:pPr>
        <w:tabs>
          <w:tab w:val="right" w:pos="2155"/>
        </w:tabs>
        <w:spacing w:after="80"/>
        <w:ind w:left="680"/>
        <w:rPr>
          <w:u w:val="single"/>
        </w:rPr>
      </w:pPr>
      <w:r>
        <w:rPr>
          <w:u w:val="single"/>
        </w:rPr>
        <w:tab/>
      </w:r>
    </w:p>
  </w:footnote>
  <w:footnote w:type="continuationSeparator" w:id="0">
    <w:p w:rsidR="008B4931" w:rsidRPr="00D171D4" w:rsidRDefault="008B4931" w:rsidP="00D171D4">
      <w:pPr>
        <w:tabs>
          <w:tab w:val="right" w:pos="2155"/>
        </w:tabs>
        <w:spacing w:after="80"/>
        <w:ind w:left="680"/>
        <w:rPr>
          <w:u w:val="single"/>
        </w:rPr>
      </w:pPr>
      <w:r w:rsidRPr="00D171D4">
        <w:rPr>
          <w:u w:val="single"/>
        </w:rPr>
        <w:tab/>
      </w:r>
    </w:p>
  </w:footnote>
  <w:footnote w:type="continuationNotice" w:id="1">
    <w:p w:rsidR="008B4931" w:rsidRPr="00C451B9" w:rsidRDefault="008B4931" w:rsidP="00C451B9">
      <w:pPr>
        <w:spacing w:line="240" w:lineRule="auto"/>
        <w:rPr>
          <w:sz w:val="2"/>
          <w:szCs w:val="2"/>
        </w:rPr>
      </w:pPr>
    </w:p>
  </w:footnote>
  <w:footnote w:id="2">
    <w:p w:rsidR="00442E31" w:rsidRPr="00442E31" w:rsidRDefault="00442E31">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rsidR="00901CDB">
        <w:t>’</w:t>
      </w:r>
      <w:r w:rsidRPr="007817A7">
        <w:t>Accor</w:t>
      </w:r>
      <w:r>
        <w:t>d</w:t>
      </w:r>
      <w:r w:rsidR="00FC2DA3">
        <w:t> </w:t>
      </w:r>
      <w:r>
        <w:t>: Accord concernant l</w:t>
      </w:r>
      <w:r w:rsidR="00901CDB">
        <w:t>’</w:t>
      </w:r>
      <w:r>
        <w:t>a</w:t>
      </w:r>
      <w:r w:rsidRPr="007817A7">
        <w:t>doption de conditions uniformes d</w:t>
      </w:r>
      <w:r w:rsidR="00901CDB">
        <w:t>’</w:t>
      </w:r>
      <w:r w:rsidRPr="007817A7">
        <w:t>homologation et la</w:t>
      </w:r>
      <w:r>
        <w:t> </w:t>
      </w:r>
      <w:r w:rsidRPr="007817A7">
        <w:t>reconnaissance réciproque de l</w:t>
      </w:r>
      <w:r w:rsidR="00901CDB">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E8" w:rsidRPr="00B446E8" w:rsidRDefault="00B446E8">
    <w:pPr>
      <w:pStyle w:val="Header"/>
      <w:rPr>
        <w:lang w:val="en-US"/>
      </w:rPr>
    </w:pPr>
    <w:r>
      <w:fldChar w:fldCharType="begin"/>
    </w:r>
    <w:r w:rsidRPr="00B446E8">
      <w:rPr>
        <w:lang w:val="en-US"/>
      </w:rPr>
      <w:instrText xml:space="preserve"> TITLE  \* MERGEFORMAT </w:instrText>
    </w:r>
    <w:r>
      <w:fldChar w:fldCharType="separate"/>
    </w:r>
    <w:r w:rsidR="00ED04CA">
      <w:rPr>
        <w:lang w:val="en-US"/>
      </w:rPr>
      <w:t>E/ECE/324/Rev.1/Add.82/Rev.5/Amend.4</w:t>
    </w:r>
    <w:r>
      <w:fldChar w:fldCharType="end"/>
    </w:r>
    <w:r w:rsidRPr="00B446E8">
      <w:rPr>
        <w:lang w:val="en-US"/>
      </w:rPr>
      <w:br/>
    </w:r>
    <w:r>
      <w:fldChar w:fldCharType="begin"/>
    </w:r>
    <w:r w:rsidRPr="00B446E8">
      <w:rPr>
        <w:lang w:val="en-US"/>
      </w:rPr>
      <w:instrText xml:space="preserve"> KEYWORDS  \* MERGEFORMAT </w:instrText>
    </w:r>
    <w:r>
      <w:fldChar w:fldCharType="separate"/>
    </w:r>
    <w:r w:rsidR="00ED04CA">
      <w:rPr>
        <w:lang w:val="en-US"/>
      </w:rPr>
      <w:t>E/ECE/TRANS/505/Rev.1/Add.82/Rev.5/Amend.4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6E8" w:rsidRPr="00B446E8" w:rsidRDefault="00B446E8" w:rsidP="00B446E8">
    <w:pPr>
      <w:pStyle w:val="Header"/>
      <w:jc w:val="right"/>
      <w:rPr>
        <w:lang w:val="en-US"/>
      </w:rPr>
    </w:pPr>
    <w:r>
      <w:fldChar w:fldCharType="begin"/>
    </w:r>
    <w:r w:rsidRPr="00B446E8">
      <w:rPr>
        <w:lang w:val="en-US"/>
      </w:rPr>
      <w:instrText xml:space="preserve"> TITLE  \* MERGEFORMAT </w:instrText>
    </w:r>
    <w:r>
      <w:fldChar w:fldCharType="separate"/>
    </w:r>
    <w:r w:rsidR="00ED04CA">
      <w:rPr>
        <w:lang w:val="en-US"/>
      </w:rPr>
      <w:t>E/ECE/324/Rev.1/Add.82/Rev.5/Amend.4</w:t>
    </w:r>
    <w:r>
      <w:fldChar w:fldCharType="end"/>
    </w:r>
    <w:r w:rsidRPr="00B446E8">
      <w:rPr>
        <w:lang w:val="en-US"/>
      </w:rPr>
      <w:br/>
    </w:r>
    <w:r>
      <w:fldChar w:fldCharType="begin"/>
    </w:r>
    <w:r w:rsidRPr="00B446E8">
      <w:rPr>
        <w:lang w:val="en-US"/>
      </w:rPr>
      <w:instrText xml:space="preserve"> KEYWORDS  \* MERGEFORMAT </w:instrText>
    </w:r>
    <w:r>
      <w:fldChar w:fldCharType="separate"/>
    </w:r>
    <w:r w:rsidR="00ED04CA">
      <w:rPr>
        <w:lang w:val="en-US"/>
      </w:rPr>
      <w:t>E/ECE/TRANS/505/Rev.1/Add.82/Rev.5/Amend.4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31"/>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76972"/>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7B6D"/>
    <w:rsid w:val="003016B7"/>
    <w:rsid w:val="0030754C"/>
    <w:rsid w:val="003159C2"/>
    <w:rsid w:val="00317E54"/>
    <w:rsid w:val="00321306"/>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23AD"/>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461F"/>
    <w:rsid w:val="0068562A"/>
    <w:rsid w:val="00687F90"/>
    <w:rsid w:val="006A6B31"/>
    <w:rsid w:val="006A6C95"/>
    <w:rsid w:val="006A7B29"/>
    <w:rsid w:val="006B0EB2"/>
    <w:rsid w:val="006B0FF8"/>
    <w:rsid w:val="006B4590"/>
    <w:rsid w:val="006C340C"/>
    <w:rsid w:val="006C4C17"/>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44639"/>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3F54"/>
    <w:rsid w:val="00894871"/>
    <w:rsid w:val="00895DE5"/>
    <w:rsid w:val="008A0FA8"/>
    <w:rsid w:val="008A1EC0"/>
    <w:rsid w:val="008A2DB0"/>
    <w:rsid w:val="008A4A2E"/>
    <w:rsid w:val="008B2866"/>
    <w:rsid w:val="008B44C4"/>
    <w:rsid w:val="008B4931"/>
    <w:rsid w:val="008C322B"/>
    <w:rsid w:val="008C4B74"/>
    <w:rsid w:val="008D1156"/>
    <w:rsid w:val="008D59DB"/>
    <w:rsid w:val="008E0319"/>
    <w:rsid w:val="008E4DE2"/>
    <w:rsid w:val="008E6252"/>
    <w:rsid w:val="008E7CE2"/>
    <w:rsid w:val="008E7FAE"/>
    <w:rsid w:val="00901CDB"/>
    <w:rsid w:val="00911BF7"/>
    <w:rsid w:val="0091594A"/>
    <w:rsid w:val="00922034"/>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AF0EA8"/>
    <w:rsid w:val="00B01AAD"/>
    <w:rsid w:val="00B101DB"/>
    <w:rsid w:val="00B13E4F"/>
    <w:rsid w:val="00B21751"/>
    <w:rsid w:val="00B256F0"/>
    <w:rsid w:val="00B31D7D"/>
    <w:rsid w:val="00B32E2D"/>
    <w:rsid w:val="00B416B8"/>
    <w:rsid w:val="00B42351"/>
    <w:rsid w:val="00B43741"/>
    <w:rsid w:val="00B446E8"/>
    <w:rsid w:val="00B45642"/>
    <w:rsid w:val="00B52F29"/>
    <w:rsid w:val="00B5388D"/>
    <w:rsid w:val="00B61990"/>
    <w:rsid w:val="00B6249B"/>
    <w:rsid w:val="00B70CCD"/>
    <w:rsid w:val="00B75E66"/>
    <w:rsid w:val="00B773BF"/>
    <w:rsid w:val="00BB46C5"/>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3551F"/>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5C3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1A22"/>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47C1"/>
    <w:rsid w:val="00DC161C"/>
    <w:rsid w:val="00DC3628"/>
    <w:rsid w:val="00DC4F43"/>
    <w:rsid w:val="00DE083E"/>
    <w:rsid w:val="00DE6505"/>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04CA"/>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DA3"/>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F4D1480-5088-4A28-BF06-C5B0F5E29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E/ECE/324/Rev.1/Add.82/Rev.5/Amend.4</vt:lpstr>
      <vt:lpstr>E/ECE/324/Rev.1/Add.82/Rev.5/Amend.4</vt:lpstr>
    </vt:vector>
  </TitlesOfParts>
  <Company>CSD</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E/ECE/324/Rev.1/Add.82/Rev.5/Amend.4</dc:title>
  <dc:creator>Corinne ROBERT</dc:creator>
  <cp:keywords>E/ECE/TRANS/505/Rev.1/Add.82/Rev.5/Amend.4</cp:keywords>
  <cp:lastModifiedBy>Marie-Claude Collet</cp:lastModifiedBy>
  <cp:revision>3</cp:revision>
  <cp:lastPrinted>2017-11-27T07:49:00Z</cp:lastPrinted>
  <dcterms:created xsi:type="dcterms:W3CDTF">2017-11-27T07:49:00Z</dcterms:created>
  <dcterms:modified xsi:type="dcterms:W3CDTF">2017-11-27T07:49:00Z</dcterms:modified>
</cp:coreProperties>
</file>