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DB58B5" w:rsidTr="00457676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373D3" w:rsidRPr="00DB58B5" w:rsidRDefault="007373D3" w:rsidP="007373D3">
            <w:pPr>
              <w:jc w:val="right"/>
            </w:pPr>
            <w:bookmarkStart w:id="0" w:name="_GoBack"/>
            <w:bookmarkEnd w:id="0"/>
            <w:r w:rsidRPr="007373D3">
              <w:rPr>
                <w:sz w:val="40"/>
              </w:rPr>
              <w:t>E</w:t>
            </w:r>
            <w:r>
              <w:t>/ECE/324/Rev.1/Add.74/Rev.2/Amend.3−</w:t>
            </w:r>
            <w:r w:rsidRPr="007373D3">
              <w:rPr>
                <w:sz w:val="40"/>
              </w:rPr>
              <w:t>E</w:t>
            </w:r>
            <w:r>
              <w:t>/ECE/TRANS/505/Rev.1/Add.74/Rev.2/Amend.3</w:t>
            </w:r>
          </w:p>
        </w:tc>
      </w:tr>
      <w:tr w:rsidR="00421A10" w:rsidRPr="00DB58B5" w:rsidTr="00457676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A574B7" w:rsidRDefault="00421A10" w:rsidP="00457676">
            <w:pPr>
              <w:spacing w:before="120" w:line="380" w:lineRule="exact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7373D3" w:rsidP="00457676">
            <w:pPr>
              <w:spacing w:before="480" w:line="240" w:lineRule="exact"/>
            </w:pPr>
            <w:r>
              <w:t>22 février 2017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29791D">
      <w:pPr>
        <w:pStyle w:val="H1G"/>
      </w:pPr>
      <w:r>
        <w:tab/>
      </w:r>
      <w:r>
        <w:tab/>
      </w:r>
      <w:r w:rsidR="00421A10" w:rsidRPr="00583D68">
        <w:t>Concernant l’adoption de prescriptions techniques uniformes applicables aux véhicules à roues, aux équipements et aux pièces susceptibles d’être montés ou utilisés sur un véhicule à roues</w:t>
      </w:r>
      <w:r w:rsidR="00421A10">
        <w:br/>
      </w:r>
      <w:r w:rsidR="00421A10" w:rsidRPr="00583D68">
        <w:t>et les conditions de reconnaissance réciproque des homologations délivrées conformément à ces prescriptions</w:t>
      </w:r>
      <w:r w:rsidR="00442E31" w:rsidRPr="007373D3">
        <w:rPr>
          <w:rStyle w:val="FootnoteReference"/>
          <w:b w:val="0"/>
          <w:sz w:val="20"/>
          <w:vertAlign w:val="baseline"/>
        </w:rPr>
        <w:footnoteReference w:customMarkFollows="1" w:id="2"/>
        <w:t>*</w:t>
      </w:r>
    </w:p>
    <w:p w:rsidR="00421A10" w:rsidRPr="00A12483" w:rsidRDefault="000E56F1" w:rsidP="0029791D">
      <w:pPr>
        <w:pStyle w:val="SingleTxtG"/>
        <w:jc w:val="left"/>
        <w:rPr>
          <w:b/>
          <w:sz w:val="24"/>
          <w:szCs w:val="24"/>
        </w:rPr>
      </w:pPr>
      <w:r>
        <w:t>(Révision 2</w:t>
      </w:r>
      <w:r w:rsidR="00421A10" w:rsidRPr="006549FF">
        <w:t>, comprenant les amen</w:t>
      </w:r>
      <w:r w:rsidR="00816F90">
        <w:t>dements entrés en vigueur le 16 </w:t>
      </w:r>
      <w:r w:rsidR="00421A10" w:rsidRPr="006549FF">
        <w:t>octobre 1995)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F2EB0">
        <w:t>Additif</w:t>
      </w:r>
      <w:r w:rsidR="007B090D">
        <w:t> 74</w:t>
      </w:r>
      <w:r w:rsidR="00855E10">
        <w:t xml:space="preserve"> </w:t>
      </w:r>
      <w:r w:rsidR="003F7E05">
        <w:t>−</w:t>
      </w:r>
      <w:r w:rsidR="00855E10">
        <w:t xml:space="preserve"> </w:t>
      </w:r>
      <w:r w:rsidR="00421A10" w:rsidRPr="006549FF">
        <w:t>Règlement</w:t>
      </w:r>
      <w:r w:rsidR="00421A10">
        <w:t xml:space="preserve">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7356C">
        <w:t> 75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>Rév</w:t>
      </w:r>
      <w:r w:rsidR="0045753C">
        <w:t xml:space="preserve">ision 2 </w:t>
      </w:r>
      <w:r w:rsidR="003F7E05">
        <w:t>−</w:t>
      </w:r>
      <w:r w:rsidR="0045753C">
        <w:t xml:space="preserve"> Amendement 3</w:t>
      </w:r>
    </w:p>
    <w:p w:rsidR="00421A10" w:rsidRPr="003F7E05" w:rsidRDefault="0045753C" w:rsidP="0029791D">
      <w:pPr>
        <w:pStyle w:val="SingleTxtG"/>
        <w:spacing w:after="0"/>
      </w:pPr>
      <w:r w:rsidRPr="003F7E05">
        <w:rPr>
          <w:lang w:val="fr-FR"/>
        </w:rPr>
        <w:t>Complément 16 à la version originale du Règlement</w:t>
      </w:r>
      <w:r w:rsidR="003A3B68" w:rsidRPr="003F7E05">
        <w:rPr>
          <w:lang w:val="fr-FR"/>
        </w:rPr>
        <w:t xml:space="preserve"> </w:t>
      </w:r>
      <w:r w:rsidR="003F7E05" w:rsidRPr="003F7E05">
        <w:rPr>
          <w:lang w:val="fr-FR"/>
        </w:rPr>
        <w:t>−</w:t>
      </w:r>
      <w:r w:rsidRPr="003F7E05">
        <w:rPr>
          <w:lang w:val="fr-FR"/>
        </w:rPr>
        <w:t xml:space="preserve"> Date d’entrée en vigueur</w:t>
      </w:r>
      <w:r w:rsidR="003A3B68" w:rsidRPr="003F7E05">
        <w:rPr>
          <w:lang w:val="fr-FR"/>
        </w:rPr>
        <w:t> </w:t>
      </w:r>
      <w:r w:rsidRPr="003F7E05">
        <w:rPr>
          <w:lang w:val="fr-FR"/>
        </w:rPr>
        <w:t xml:space="preserve">: </w:t>
      </w:r>
      <w:r w:rsidRPr="003F7E05">
        <w:rPr>
          <w:lang w:val="fr-FR"/>
        </w:rPr>
        <w:br/>
      </w:r>
      <w:r w:rsidR="00E100A6" w:rsidRPr="003F7E05">
        <w:rPr>
          <w:lang w:val="fr-FR"/>
        </w:rPr>
        <w:t>9 </w:t>
      </w:r>
      <w:r w:rsidRPr="003F7E05">
        <w:rPr>
          <w:lang w:val="fr-FR"/>
        </w:rPr>
        <w:t>février 2017</w:t>
      </w:r>
    </w:p>
    <w:p w:rsidR="009E6F3F" w:rsidRDefault="0029791D" w:rsidP="009E6F3F">
      <w:pPr>
        <w:pStyle w:val="H1G"/>
      </w:pPr>
      <w:r>
        <w:tab/>
      </w:r>
      <w:r>
        <w:tab/>
      </w:r>
      <w:r w:rsidR="00421A10" w:rsidRPr="007619D3">
        <w:t>Pr</w:t>
      </w:r>
      <w:r w:rsidR="009E6F3F">
        <w:t>escriptions uniformes relatives à l’homologation des pneumatiques pour véhicules de la catégorie L</w:t>
      </w:r>
    </w:p>
    <w:p w:rsidR="00421A10" w:rsidRPr="002877F6" w:rsidRDefault="009E6F3F" w:rsidP="003F7E05">
      <w:pPr>
        <w:pStyle w:val="SingleTxtG"/>
        <w:rPr>
          <w:spacing w:val="-3"/>
        </w:rPr>
      </w:pPr>
      <w:r w:rsidRPr="002877F6">
        <w:rPr>
          <w:spacing w:val="-3"/>
        </w:rPr>
        <w:t>Le présent document est communiqué uniquement à titre d’information. Le texte authentique, juridiquement cont</w:t>
      </w:r>
      <w:r w:rsidR="004429A5" w:rsidRPr="002877F6">
        <w:rPr>
          <w:spacing w:val="-3"/>
        </w:rPr>
        <w:t>raignant, est celui du document </w:t>
      </w:r>
      <w:r w:rsidR="003B6C39" w:rsidRPr="002877F6">
        <w:rPr>
          <w:spacing w:val="-3"/>
          <w:lang w:val="fr-FR"/>
        </w:rPr>
        <w:t>ECE/TRANS/WP.29/2016/55</w:t>
      </w:r>
      <w:r w:rsidR="003F7E05" w:rsidRPr="002877F6">
        <w:rPr>
          <w:spacing w:val="-3"/>
          <w:lang w:val="fr-FR"/>
        </w:rPr>
        <w:t>.</w:t>
      </w:r>
    </w:p>
    <w:p w:rsidR="007373D3" w:rsidRDefault="00442E31" w:rsidP="005F020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42F4B0" wp14:editId="26B1EDBD">
                <wp:simplePos x="0" y="0"/>
                <wp:positionH relativeFrom="margin">
                  <wp:posOffset>0</wp:posOffset>
                </wp:positionH>
                <wp:positionV relativeFrom="margin">
                  <wp:posOffset>7021195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2CF3668A" wp14:editId="10B19141">
                                  <wp:extent cx="914400" cy="771525"/>
                                  <wp:effectExtent l="0" t="0" r="0" b="9525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42F4B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0;margin-top:552.85pt;width:481.9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AZQkdT3wAAAAo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2CF3668A" wp14:editId="10B19141">
                            <wp:extent cx="914400" cy="771525"/>
                            <wp:effectExtent l="0" t="0" r="0" b="9525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5F0207" w:rsidRDefault="005F0207" w:rsidP="005F0207"/>
    <w:p w:rsidR="007373D3" w:rsidRDefault="007373D3" w:rsidP="005F0207"/>
    <w:p w:rsidR="007373D3" w:rsidRDefault="007373D3" w:rsidP="005F0207"/>
    <w:p w:rsidR="007373D3" w:rsidRDefault="007373D3" w:rsidP="005F0207"/>
    <w:p w:rsidR="00224CFC" w:rsidRDefault="007373D3" w:rsidP="00810E25">
      <w:pPr>
        <w:pStyle w:val="SingleTxtG"/>
      </w:pPr>
      <w:r>
        <w:br w:type="page"/>
      </w:r>
      <w:r w:rsidR="00A43F97" w:rsidRPr="006E1CA4">
        <w:rPr>
          <w:i/>
        </w:rPr>
        <w:lastRenderedPageBreak/>
        <w:t>Paragraphe </w:t>
      </w:r>
      <w:r w:rsidR="00224CFC" w:rsidRPr="006E1CA4">
        <w:rPr>
          <w:i/>
        </w:rPr>
        <w:t>6.1.1.1</w:t>
      </w:r>
      <w:r w:rsidR="00CE1ECB">
        <w:t>, lire </w:t>
      </w:r>
      <w:r w:rsidR="00224CFC">
        <w:t>:</w:t>
      </w:r>
    </w:p>
    <w:p w:rsidR="00224CFC" w:rsidRDefault="001510AD" w:rsidP="00810E25">
      <w:pPr>
        <w:pStyle w:val="SingleTxtG"/>
      </w:pPr>
      <w:r>
        <w:t>« </w:t>
      </w:r>
      <w:r w:rsidR="00224CFC">
        <w:t>6.1.1.1</w:t>
      </w:r>
      <w:r w:rsidR="00224CFC">
        <w:tab/>
        <w:t xml:space="preserve">La grosseur du boudin est calculée </w:t>
      </w:r>
      <w:r w:rsidR="00234410">
        <w:t>à l’aide de la formule suivante </w:t>
      </w:r>
      <w:r w:rsidR="00224CFC">
        <w:t>:</w:t>
      </w:r>
    </w:p>
    <w:p w:rsidR="00224CFC" w:rsidRDefault="00B83028" w:rsidP="003F4A8D">
      <w:pPr>
        <w:jc w:val="center"/>
      </w:pPr>
      <w:r>
        <w:t>S = </w:t>
      </w:r>
      <w:r w:rsidR="00224CFC">
        <w:t>S</w:t>
      </w:r>
      <w:r w:rsidR="00224CFC" w:rsidRPr="00B83028">
        <w:rPr>
          <w:vertAlign w:val="subscript"/>
        </w:rPr>
        <w:t>1</w:t>
      </w:r>
      <w:r>
        <w:t> + </w:t>
      </w:r>
      <w:r w:rsidR="00224CFC">
        <w:t>K (A-A</w:t>
      </w:r>
      <w:r w:rsidR="00224CFC" w:rsidRPr="00B83028">
        <w:rPr>
          <w:vertAlign w:val="subscript"/>
        </w:rPr>
        <w:t>1</w:t>
      </w:r>
      <w:r w:rsidR="00224CFC">
        <w:t>),</w:t>
      </w:r>
    </w:p>
    <w:p w:rsidR="00224CFC" w:rsidRDefault="003F4A8D" w:rsidP="001A373F">
      <w:pPr>
        <w:pStyle w:val="SingleTxtG"/>
        <w:ind w:left="1701" w:firstLine="567"/>
      </w:pPr>
      <w:r>
        <w:t>dans laquelle </w:t>
      </w:r>
      <w:r w:rsidR="00224CFC">
        <w:t>:</w:t>
      </w:r>
    </w:p>
    <w:p w:rsidR="00224CFC" w:rsidRDefault="00630DD3" w:rsidP="001A373F">
      <w:pPr>
        <w:pStyle w:val="SingleTxtG"/>
        <w:ind w:left="2835" w:hanging="567"/>
      </w:pPr>
      <w:r>
        <w:t>S</w:t>
      </w:r>
      <w:r>
        <w:tab/>
        <w:t xml:space="preserve">est la </w:t>
      </w:r>
      <w:r w:rsidR="00FC2B37">
        <w:rPr>
          <w:lang w:val="en-GB"/>
        </w:rPr>
        <w:t>“</w:t>
      </w:r>
      <w:r w:rsidR="00FC2B37">
        <w:t>grosseur du boudin</w:t>
      </w:r>
      <w:r w:rsidR="000F3CF2">
        <w:rPr>
          <w:lang w:val="en-GB"/>
        </w:rPr>
        <w:t>”</w:t>
      </w:r>
      <w:r w:rsidR="00224CFC">
        <w:t xml:space="preserve"> arrondie au millimètre le plus proche et</w:t>
      </w:r>
      <w:r w:rsidR="00E03F93">
        <w:t xml:space="preserve"> mesurée sur la jante de mesure </w:t>
      </w:r>
      <w:r w:rsidR="00224CFC">
        <w:t>;</w:t>
      </w:r>
    </w:p>
    <w:p w:rsidR="00224CFC" w:rsidRDefault="00224CFC" w:rsidP="001A373F">
      <w:pPr>
        <w:pStyle w:val="SingleTxtG"/>
        <w:ind w:left="2835" w:hanging="567"/>
      </w:pPr>
      <w:r>
        <w:t>S</w:t>
      </w:r>
      <w:r w:rsidRPr="00810E25">
        <w:rPr>
          <w:vertAlign w:val="subscript"/>
        </w:rPr>
        <w:t>1</w:t>
      </w:r>
      <w:r>
        <w:tab/>
        <w:t>est la “grosseur nominale du boudin” (en mm) telle qu’elle figure sur le flanc du pneumatique dans sa désignation</w:t>
      </w:r>
      <w:r w:rsidR="00C04EC8">
        <w:t xml:space="preserve"> conformément aux prescriptions </w:t>
      </w:r>
      <w:r>
        <w:t>;</w:t>
      </w:r>
    </w:p>
    <w:p w:rsidR="00224CFC" w:rsidRDefault="00224CFC" w:rsidP="001A373F">
      <w:pPr>
        <w:pStyle w:val="SingleTxtG"/>
        <w:ind w:left="2835" w:hanging="567"/>
      </w:pPr>
      <w:r>
        <w:t>A</w:t>
      </w:r>
      <w:r>
        <w:tab/>
        <w:t>est la largeur (en mm) de la jante de mesure indiquée par le manufactu</w:t>
      </w:r>
      <w:r w:rsidR="009E701E">
        <w:t>rier dans la notice descriptive </w:t>
      </w:r>
      <w:r>
        <w:t>;</w:t>
      </w:r>
    </w:p>
    <w:p w:rsidR="00224CFC" w:rsidRDefault="0042757F" w:rsidP="0042757F">
      <w:pPr>
        <w:pStyle w:val="SingleTxtG"/>
        <w:ind w:left="2835" w:hanging="567"/>
      </w:pPr>
      <w:r w:rsidRPr="0042757F">
        <w:t>A</w:t>
      </w:r>
      <w:r w:rsidR="00224CFC" w:rsidRPr="0042757F">
        <w:rPr>
          <w:vertAlign w:val="subscript"/>
        </w:rPr>
        <w:t>1</w:t>
      </w:r>
      <w:r w:rsidR="00224CFC">
        <w:tab/>
        <w:t>est la largeu</w:t>
      </w:r>
      <w:r w:rsidR="00991043">
        <w:t>r (en mm) de la jante théorique </w:t>
      </w:r>
      <w:r w:rsidR="00224CFC">
        <w:t>;</w:t>
      </w:r>
    </w:p>
    <w:p w:rsidR="00224CFC" w:rsidRDefault="00224CFC" w:rsidP="00990EBF">
      <w:pPr>
        <w:pStyle w:val="SingleTxtG"/>
        <w:keepLines/>
        <w:ind w:left="2835"/>
      </w:pPr>
      <w:r w:rsidRPr="003B021C">
        <w:t>A</w:t>
      </w:r>
      <w:r w:rsidRPr="00487FA9">
        <w:rPr>
          <w:vertAlign w:val="subscript"/>
        </w:rPr>
        <w:t>1</w:t>
      </w:r>
      <w:r>
        <w:t xml:space="preserve"> doit être éga</w:t>
      </w:r>
      <w:r w:rsidR="001F6EEB">
        <w:t>l à S</w:t>
      </w:r>
      <w:r w:rsidR="001F6EEB" w:rsidRPr="002F49F2">
        <w:rPr>
          <w:vertAlign w:val="subscript"/>
        </w:rPr>
        <w:t>1</w:t>
      </w:r>
      <w:r w:rsidR="001F6EEB">
        <w:t xml:space="preserve"> multiplié par le facteur</w:t>
      </w:r>
      <w:r w:rsidR="00990EBF">
        <w:t> </w:t>
      </w:r>
      <w:r>
        <w:t>X déterminé p</w:t>
      </w:r>
      <w:r w:rsidR="00A44EE2">
        <w:t>ar le fabricant de pneumatiques </w:t>
      </w:r>
      <w:r>
        <w:t>;</w:t>
      </w:r>
    </w:p>
    <w:p w:rsidR="00224CFC" w:rsidRDefault="00224CFC" w:rsidP="009C42E8">
      <w:pPr>
        <w:pStyle w:val="SingleTxtG"/>
        <w:ind w:left="2835" w:hanging="567"/>
      </w:pPr>
      <w:r>
        <w:t>K</w:t>
      </w:r>
      <w:r>
        <w:tab/>
        <w:t>doit</w:t>
      </w:r>
      <w:r w:rsidR="007D02B9">
        <w:t xml:space="preserve"> </w:t>
      </w:r>
      <w:r w:rsidR="009C42E8">
        <w:t>être égal à </w:t>
      </w:r>
      <w:r w:rsidR="007D02B9">
        <w:t>0,4. »</w:t>
      </w:r>
    </w:p>
    <w:p w:rsidR="00224CFC" w:rsidRDefault="007E40F7" w:rsidP="001D227F">
      <w:pPr>
        <w:pStyle w:val="SingleTxtG"/>
      </w:pPr>
      <w:r w:rsidRPr="001D227F">
        <w:rPr>
          <w:i/>
        </w:rPr>
        <w:t>Paragraphe </w:t>
      </w:r>
      <w:r w:rsidR="00224CFC" w:rsidRPr="001D227F">
        <w:rPr>
          <w:i/>
        </w:rPr>
        <w:t>6.1.2.1</w:t>
      </w:r>
      <w:r w:rsidR="00111E2F">
        <w:t>, lire </w:t>
      </w:r>
      <w:r w:rsidR="00224CFC">
        <w:t>:</w:t>
      </w:r>
    </w:p>
    <w:p w:rsidR="00224CFC" w:rsidRDefault="00111E2F" w:rsidP="001E039E">
      <w:pPr>
        <w:pStyle w:val="SingleTxtG"/>
      </w:pPr>
      <w:r>
        <w:t>« </w:t>
      </w:r>
      <w:r w:rsidR="00224CFC">
        <w:t>6.1.2.1</w:t>
      </w:r>
      <w:r w:rsidR="00224CFC">
        <w:tab/>
        <w:t>Le diamètre extérieur d’un pneumatique est</w:t>
      </w:r>
      <w:r w:rsidR="004F2EB0">
        <w:t xml:space="preserve"> obtenu par la formule suivante </w:t>
      </w:r>
      <w:r w:rsidR="00224CFC">
        <w:t>:</w:t>
      </w:r>
    </w:p>
    <w:p w:rsidR="00224CFC" w:rsidRDefault="00020AA6" w:rsidP="001E039E">
      <w:pPr>
        <w:ind w:left="2268" w:hanging="2268"/>
        <w:jc w:val="center"/>
      </w:pPr>
      <w:r>
        <w:t>D = d + </w:t>
      </w:r>
      <w:r w:rsidR="00224CFC">
        <w:t>2H</w:t>
      </w:r>
    </w:p>
    <w:p w:rsidR="00224CFC" w:rsidRDefault="00020AA6" w:rsidP="00020AA6">
      <w:pPr>
        <w:pStyle w:val="SingleTxtG"/>
        <w:ind w:left="1701" w:firstLine="567"/>
      </w:pPr>
      <w:r>
        <w:t>dans laquelle </w:t>
      </w:r>
      <w:r w:rsidR="00224CFC">
        <w:t>:</w:t>
      </w:r>
    </w:p>
    <w:p w:rsidR="00224CFC" w:rsidRDefault="00224CFC" w:rsidP="00020AA6">
      <w:pPr>
        <w:pStyle w:val="SingleTxtG"/>
        <w:ind w:left="2835" w:hanging="567"/>
      </w:pPr>
      <w:r>
        <w:t>D</w:t>
      </w:r>
      <w:r>
        <w:tab/>
        <w:t>est le d</w:t>
      </w:r>
      <w:r w:rsidR="00020AA6">
        <w:t>iamètre extérieur exprimé en mm </w:t>
      </w:r>
      <w:r>
        <w:t>;</w:t>
      </w:r>
    </w:p>
    <w:p w:rsidR="00224CFC" w:rsidRDefault="00224CFC" w:rsidP="006C6104">
      <w:pPr>
        <w:pStyle w:val="SingleTxtG"/>
        <w:ind w:left="2835" w:hanging="567"/>
      </w:pPr>
      <w:r>
        <w:t>d</w:t>
      </w:r>
      <w:r>
        <w:tab/>
        <w:t>est le diamètre nominal de la jante défini au par</w:t>
      </w:r>
      <w:r w:rsidR="006C6104">
        <w:t>agraphe </w:t>
      </w:r>
      <w:r w:rsidR="008226C6">
        <w:t>2.16.3 ci</w:t>
      </w:r>
      <w:r w:rsidR="008226C6">
        <w:noBreakHyphen/>
      </w:r>
      <w:r w:rsidR="001A373F">
        <w:t>dessus, exprimé en millimètres </w:t>
      </w:r>
      <w:r>
        <w:t>;</w:t>
      </w:r>
    </w:p>
    <w:p w:rsidR="00224CFC" w:rsidRDefault="00224CFC" w:rsidP="006C6104">
      <w:pPr>
        <w:pStyle w:val="SingleTxtG"/>
        <w:ind w:left="2835" w:hanging="567"/>
      </w:pPr>
      <w:r>
        <w:t>H</w:t>
      </w:r>
      <w:r>
        <w:tab/>
        <w:t>est la hauteur nominale du boudin arrondie au millimètre le plus proche</w:t>
      </w:r>
      <w:r w:rsidR="006C6104">
        <w:t> ; elle est égale à </w:t>
      </w:r>
      <w:r>
        <w:t>:</w:t>
      </w:r>
    </w:p>
    <w:p w:rsidR="00224CFC" w:rsidRDefault="006C6104" w:rsidP="004522BF">
      <w:pPr>
        <w:pStyle w:val="SingleTxtG"/>
        <w:ind w:firstLine="1701"/>
      </w:pPr>
      <w:r>
        <w:t>H = S1 • 0.01 </w:t>
      </w:r>
      <w:r w:rsidR="00224CFC">
        <w:t>Ra, où</w:t>
      </w:r>
    </w:p>
    <w:p w:rsidR="00224CFC" w:rsidRDefault="00224CFC" w:rsidP="004522BF">
      <w:pPr>
        <w:pStyle w:val="SingleTxtG"/>
        <w:ind w:firstLine="1701"/>
      </w:pPr>
      <w:r>
        <w:t>S</w:t>
      </w:r>
      <w:r w:rsidRPr="006C6104">
        <w:rPr>
          <w:vertAlign w:val="subscript"/>
        </w:rPr>
        <w:t>1</w:t>
      </w:r>
      <w:r>
        <w:tab/>
        <w:t>est la grosseur nominale de boudin en millimètres</w:t>
      </w:r>
      <w:r w:rsidR="006C6104">
        <w:t> </w:t>
      </w:r>
      <w:r>
        <w:t>;</w:t>
      </w:r>
    </w:p>
    <w:p w:rsidR="00224CFC" w:rsidRDefault="00224CFC" w:rsidP="004522BF">
      <w:pPr>
        <w:pStyle w:val="SingleTxtG"/>
        <w:ind w:firstLine="1701"/>
      </w:pPr>
      <w:r>
        <w:t>Ra</w:t>
      </w:r>
      <w:r>
        <w:tab/>
        <w:t>est le rapport nominal d’aspect</w:t>
      </w:r>
      <w:r w:rsidR="006C6104">
        <w:t> </w:t>
      </w:r>
      <w:r>
        <w:t>;</w:t>
      </w:r>
    </w:p>
    <w:p w:rsidR="00224CFC" w:rsidRDefault="00224CFC" w:rsidP="00890AFC">
      <w:pPr>
        <w:pStyle w:val="SingleTxtG"/>
        <w:ind w:left="2268"/>
      </w:pPr>
      <w:r>
        <w:t>tels qu’ils figurent sur le flanc du pneumatique dans sa désignation conformément aux prescriptio</w:t>
      </w:r>
      <w:r w:rsidR="00890AFC">
        <w:t>ns du paragraphe 3.4 ci-dessus. »</w:t>
      </w:r>
    </w:p>
    <w:p w:rsidR="00224CFC" w:rsidRDefault="00181B6A" w:rsidP="00275619">
      <w:pPr>
        <w:pStyle w:val="SingleTxtG"/>
      </w:pPr>
      <w:r>
        <w:rPr>
          <w:i/>
        </w:rPr>
        <w:t>Paragraphe </w:t>
      </w:r>
      <w:r w:rsidR="00224CFC" w:rsidRPr="00275619">
        <w:rPr>
          <w:i/>
        </w:rPr>
        <w:t>6.1.4</w:t>
      </w:r>
      <w:r w:rsidR="00275619">
        <w:t>, lire </w:t>
      </w:r>
      <w:r w:rsidR="00224CFC">
        <w:t>:</w:t>
      </w:r>
    </w:p>
    <w:p w:rsidR="00224CFC" w:rsidRDefault="00275619" w:rsidP="00275619">
      <w:pPr>
        <w:pStyle w:val="SingleTxtG"/>
      </w:pPr>
      <w:r>
        <w:t>« </w:t>
      </w:r>
      <w:r w:rsidR="00224CFC">
        <w:t>6.1.4</w:t>
      </w:r>
      <w:r w:rsidR="00224CFC">
        <w:tab/>
      </w:r>
      <w:r w:rsidR="00224CFC">
        <w:tab/>
        <w:t>Spécifications relatives à la gro</w:t>
      </w:r>
      <w:r>
        <w:t>sseur du boudin du pneumatiques </w:t>
      </w:r>
      <w:r w:rsidR="00181B6A">
        <w:t>.»</w:t>
      </w:r>
    </w:p>
    <w:p w:rsidR="00224CFC" w:rsidRDefault="00224CFC" w:rsidP="00181B6A">
      <w:pPr>
        <w:pStyle w:val="SingleTxtG"/>
      </w:pPr>
      <w:r w:rsidRPr="00181B6A">
        <w:rPr>
          <w:i/>
        </w:rPr>
        <w:t>Paragraphe</w:t>
      </w:r>
      <w:r w:rsidR="00181B6A">
        <w:t> 6.1.4.2, lire </w:t>
      </w:r>
      <w:r>
        <w:t>:</w:t>
      </w:r>
    </w:p>
    <w:p w:rsidR="00224CFC" w:rsidRDefault="00181B6A" w:rsidP="003F100B">
      <w:pPr>
        <w:pStyle w:val="SingleTxtG"/>
        <w:ind w:left="2268" w:hanging="1134"/>
      </w:pPr>
      <w:r>
        <w:t>« </w:t>
      </w:r>
      <w:r w:rsidR="00224CFC">
        <w:t>6.1.4.2</w:t>
      </w:r>
      <w:r w:rsidR="00224CFC">
        <w:tab/>
        <w:t>Elle peut dépasser cette valeur jusqu’</w:t>
      </w:r>
      <w:r>
        <w:t>à la valeur indiquée à l’annexe </w:t>
      </w:r>
      <w:r w:rsidR="00224CFC">
        <w:t>5 ou, pour les désignat</w:t>
      </w:r>
      <w:r>
        <w:t>ions ne figurant pas à l’annexe </w:t>
      </w:r>
      <w:r w:rsidR="00224CFC">
        <w:t>5, des pourcentages suivants, les limites étant arrondi</w:t>
      </w:r>
      <w:r w:rsidR="00784382">
        <w:t>es au millimètre le plus proche</w:t>
      </w:r>
      <w:r w:rsidR="003F100B">
        <w:t>.</w:t>
      </w:r>
      <w:r>
        <w:t> »</w:t>
      </w:r>
    </w:p>
    <w:p w:rsidR="00224CFC" w:rsidRDefault="00A66DF4" w:rsidP="00181B6A">
      <w:pPr>
        <w:pStyle w:val="SingleTxtG"/>
      </w:pPr>
      <w:r>
        <w:rPr>
          <w:i/>
        </w:rPr>
        <w:t>Paragraphe </w:t>
      </w:r>
      <w:r w:rsidR="00224CFC" w:rsidRPr="00181B6A">
        <w:rPr>
          <w:i/>
        </w:rPr>
        <w:t>6.1.5</w:t>
      </w:r>
      <w:r w:rsidR="00181B6A">
        <w:t>, lire </w:t>
      </w:r>
      <w:r w:rsidR="00224CFC">
        <w:t>:</w:t>
      </w:r>
    </w:p>
    <w:p w:rsidR="00224CFC" w:rsidRDefault="00E00F6C" w:rsidP="00181B6A">
      <w:pPr>
        <w:pStyle w:val="SingleTxtG"/>
      </w:pPr>
      <w:r>
        <w:t>« </w:t>
      </w:r>
      <w:r w:rsidR="00224CFC">
        <w:t>6.1.5</w:t>
      </w:r>
      <w:r w:rsidR="00224CFC">
        <w:tab/>
      </w:r>
      <w:r>
        <w:tab/>
      </w:r>
      <w:r w:rsidR="00224CFC">
        <w:t>Spécifications relatives au diamètre extérieur des pneumatiques</w:t>
      </w:r>
    </w:p>
    <w:p w:rsidR="00224CFC" w:rsidRDefault="00224CFC" w:rsidP="002D089B">
      <w:pPr>
        <w:pStyle w:val="SingleTxtG"/>
        <w:ind w:left="2268" w:hanging="1134"/>
      </w:pPr>
      <w:r>
        <w:t>6.1.5.1</w:t>
      </w:r>
      <w:r w:rsidR="009F24D0">
        <w:tab/>
      </w:r>
      <w:r>
        <w:tab/>
        <w:t>Le diamètre extérieur du pneumatique ne doit pas excéder les valeurs D</w:t>
      </w:r>
      <w:r w:rsidRPr="009F24D0">
        <w:rPr>
          <w:vertAlign w:val="subscript"/>
        </w:rPr>
        <w:t>mi</w:t>
      </w:r>
      <w:r w:rsidR="009F24D0" w:rsidRPr="009F24D0">
        <w:rPr>
          <w:vertAlign w:val="subscript"/>
        </w:rPr>
        <w:t>n</w:t>
      </w:r>
      <w:r w:rsidR="009F24D0">
        <w:t xml:space="preserve"> et D</w:t>
      </w:r>
      <w:r w:rsidR="009F24D0" w:rsidRPr="007045A1">
        <w:rPr>
          <w:vertAlign w:val="subscript"/>
        </w:rPr>
        <w:t>max</w:t>
      </w:r>
      <w:r w:rsidR="009F24D0">
        <w:t xml:space="preserve"> spécifiées à l’annexe </w:t>
      </w:r>
      <w:r w:rsidR="00A66DF4">
        <w:t>5.</w:t>
      </w:r>
    </w:p>
    <w:p w:rsidR="00224CFC" w:rsidRDefault="00224CFC" w:rsidP="00B93AA5">
      <w:pPr>
        <w:pStyle w:val="SingleTxtG"/>
        <w:ind w:left="2268" w:hanging="1134"/>
      </w:pPr>
      <w:r>
        <w:t>6.1.5.2</w:t>
      </w:r>
      <w:r>
        <w:tab/>
      </w:r>
      <w:r>
        <w:tab/>
        <w:t>Pour les désignat</w:t>
      </w:r>
      <w:r w:rsidR="00E81E8A">
        <w:t>ions ne figurant pas à l’annexe </w:t>
      </w:r>
      <w:r>
        <w:t>5, le diamètre extérieur du pneumatique ne doit pas être en dehors des valeurs minimale et maximale obtenues en ap</w:t>
      </w:r>
      <w:r w:rsidR="00E81E8A">
        <w:t>pliquant les formules suivantes </w:t>
      </w:r>
      <w:r>
        <w:t>:</w:t>
      </w:r>
    </w:p>
    <w:p w:rsidR="00224CFC" w:rsidRDefault="00224CFC" w:rsidP="003A1CBC">
      <w:pPr>
        <w:pStyle w:val="SingleTxtG"/>
        <w:jc w:val="center"/>
      </w:pPr>
      <w:r>
        <w:t>D</w:t>
      </w:r>
      <w:r w:rsidRPr="00C0120C">
        <w:rPr>
          <w:vertAlign w:val="subscript"/>
        </w:rPr>
        <w:t>min</w:t>
      </w:r>
      <w:r w:rsidR="00C0120C">
        <w:t> = d + 2 • </w:t>
      </w:r>
      <w:r>
        <w:t>H</w:t>
      </w:r>
      <w:r w:rsidRPr="00C0120C">
        <w:rPr>
          <w:vertAlign w:val="subscript"/>
        </w:rPr>
        <w:t>min</w:t>
      </w:r>
    </w:p>
    <w:p w:rsidR="00224CFC" w:rsidRDefault="00C0120C" w:rsidP="003A1CBC">
      <w:pPr>
        <w:pStyle w:val="SingleTxtG"/>
        <w:jc w:val="center"/>
      </w:pPr>
      <w:r>
        <w:t>D</w:t>
      </w:r>
      <w:r w:rsidRPr="00C0120C">
        <w:rPr>
          <w:vertAlign w:val="subscript"/>
        </w:rPr>
        <w:t>max</w:t>
      </w:r>
      <w:r>
        <w:t> = d + 2 • </w:t>
      </w:r>
      <w:r w:rsidR="00224CFC">
        <w:t>H</w:t>
      </w:r>
      <w:r w:rsidR="00224CFC" w:rsidRPr="00C0120C">
        <w:rPr>
          <w:vertAlign w:val="subscript"/>
        </w:rPr>
        <w:t>max</w:t>
      </w:r>
    </w:p>
    <w:p w:rsidR="00224CFC" w:rsidRDefault="00C0120C" w:rsidP="00A34FB3">
      <w:pPr>
        <w:pStyle w:val="SingleTxtG"/>
        <w:keepNext/>
        <w:ind w:left="1701" w:firstLine="567"/>
      </w:pPr>
      <w:r>
        <w:lastRenderedPageBreak/>
        <w:t>Où </w:t>
      </w:r>
      <w:r w:rsidR="00224CFC">
        <w:t>:</w:t>
      </w:r>
    </w:p>
    <w:p w:rsidR="00224CFC" w:rsidRDefault="00224CFC" w:rsidP="00CE3AA2">
      <w:pPr>
        <w:pStyle w:val="SingleTxtG"/>
        <w:ind w:firstLine="1134"/>
      </w:pPr>
      <w:r>
        <w:t>H</w:t>
      </w:r>
      <w:r w:rsidRPr="00C0120C">
        <w:rPr>
          <w:vertAlign w:val="subscript"/>
        </w:rPr>
        <w:t>min</w:t>
      </w:r>
      <w:r w:rsidR="00C0120C">
        <w:t> = H • </w:t>
      </w:r>
      <w:r w:rsidR="00CE3AA2">
        <w:t xml:space="preserve">a </w:t>
      </w:r>
      <w:r>
        <w:t>arrondi au mm le plus proche</w:t>
      </w:r>
    </w:p>
    <w:p w:rsidR="00224CFC" w:rsidRDefault="00224CFC" w:rsidP="00CE3AA2">
      <w:pPr>
        <w:pStyle w:val="SingleTxtG"/>
        <w:ind w:firstLine="1134"/>
      </w:pPr>
      <w:r>
        <w:t>H</w:t>
      </w:r>
      <w:r w:rsidRPr="003A1CBC">
        <w:rPr>
          <w:vertAlign w:val="subscript"/>
        </w:rPr>
        <w:t>max</w:t>
      </w:r>
      <w:r w:rsidR="003A1CBC">
        <w:t> = H • </w:t>
      </w:r>
      <w:r>
        <w:t>b</w:t>
      </w:r>
      <w:r w:rsidR="00CE3AA2">
        <w:t xml:space="preserve"> </w:t>
      </w:r>
      <w:r>
        <w:tab/>
        <w:t>arrondi au mm le plus proche</w:t>
      </w:r>
    </w:p>
    <w:p w:rsidR="00CE3AA2" w:rsidRDefault="00224CFC" w:rsidP="00CE3AA2">
      <w:pPr>
        <w:pStyle w:val="SingleTxtG"/>
        <w:ind w:left="1701" w:firstLine="567"/>
      </w:pPr>
      <w:r>
        <w:t>et</w:t>
      </w:r>
    </w:p>
    <w:p w:rsidR="007373D3" w:rsidRPr="00CE3AA2" w:rsidRDefault="003A1CBC" w:rsidP="00CE3AA2">
      <w:pPr>
        <w:pStyle w:val="SingleTxtG"/>
        <w:ind w:left="2268"/>
      </w:pPr>
      <w:r>
        <w:t>H et </w:t>
      </w:r>
      <w:r w:rsidR="00224CFC">
        <w:t>d sont</w:t>
      </w:r>
      <w:r>
        <w:t xml:space="preserve"> tels que définis au paragraphe </w:t>
      </w:r>
      <w:r w:rsidR="00224CFC">
        <w:t>6.1.2.1 et a et b sont tels que spécifiés</w:t>
      </w:r>
      <w:r>
        <w:t xml:space="preserve"> respectivement aux paragraphes 6.1.5.2.1 et 6.1.5.2.2. </w:t>
      </w:r>
      <w:r w:rsidR="00224CFC">
        <w:t>»</w:t>
      </w:r>
    </w:p>
    <w:p w:rsidR="00F46487" w:rsidRPr="00F46487" w:rsidRDefault="00F46487" w:rsidP="00F46487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F46487" w:rsidRPr="00F46487" w:rsidSect="007373D3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058" w:rsidRDefault="00923058"/>
  </w:endnote>
  <w:endnote w:type="continuationSeparator" w:id="0">
    <w:p w:rsidR="00923058" w:rsidRDefault="00923058">
      <w:pPr>
        <w:pStyle w:val="Footer"/>
      </w:pPr>
    </w:p>
  </w:endnote>
  <w:endnote w:type="continuationNotice" w:id="1">
    <w:p w:rsidR="00923058" w:rsidRPr="00C451B9" w:rsidRDefault="00923058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D3" w:rsidRPr="007373D3" w:rsidRDefault="007373D3" w:rsidP="007373D3">
    <w:pPr>
      <w:pStyle w:val="Footer"/>
      <w:tabs>
        <w:tab w:val="right" w:pos="9638"/>
      </w:tabs>
    </w:pPr>
    <w:r w:rsidRPr="007373D3">
      <w:rPr>
        <w:b/>
        <w:sz w:val="18"/>
      </w:rPr>
      <w:fldChar w:fldCharType="begin"/>
    </w:r>
    <w:r w:rsidRPr="007373D3">
      <w:rPr>
        <w:b/>
        <w:sz w:val="18"/>
      </w:rPr>
      <w:instrText xml:space="preserve"> PAGE  \* MERGEFORMAT </w:instrText>
    </w:r>
    <w:r w:rsidRPr="007373D3">
      <w:rPr>
        <w:b/>
        <w:sz w:val="18"/>
      </w:rPr>
      <w:fldChar w:fldCharType="separate"/>
    </w:r>
    <w:r w:rsidR="00E34C95">
      <w:rPr>
        <w:b/>
        <w:noProof/>
        <w:sz w:val="18"/>
      </w:rPr>
      <w:t>2</w:t>
    </w:r>
    <w:r w:rsidRPr="007373D3">
      <w:rPr>
        <w:b/>
        <w:sz w:val="18"/>
      </w:rPr>
      <w:fldChar w:fldCharType="end"/>
    </w:r>
    <w:r>
      <w:rPr>
        <w:b/>
        <w:sz w:val="18"/>
      </w:rPr>
      <w:tab/>
    </w:r>
    <w:r>
      <w:t>GE.17-01964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D3" w:rsidRPr="007373D3" w:rsidRDefault="007373D3" w:rsidP="007373D3">
    <w:pPr>
      <w:pStyle w:val="Footer"/>
      <w:tabs>
        <w:tab w:val="right" w:pos="9638"/>
      </w:tabs>
      <w:rPr>
        <w:b/>
        <w:sz w:val="18"/>
      </w:rPr>
    </w:pPr>
    <w:r>
      <w:t>GE.17-01964</w:t>
    </w:r>
    <w:r>
      <w:tab/>
    </w:r>
    <w:r w:rsidRPr="007373D3">
      <w:rPr>
        <w:b/>
        <w:sz w:val="18"/>
      </w:rPr>
      <w:fldChar w:fldCharType="begin"/>
    </w:r>
    <w:r w:rsidRPr="007373D3">
      <w:rPr>
        <w:b/>
        <w:sz w:val="18"/>
      </w:rPr>
      <w:instrText xml:space="preserve"> PAGE  \* MERGEFORMAT </w:instrText>
    </w:r>
    <w:r w:rsidRPr="007373D3">
      <w:rPr>
        <w:b/>
        <w:sz w:val="18"/>
      </w:rPr>
      <w:fldChar w:fldCharType="separate"/>
    </w:r>
    <w:r w:rsidR="00E34C95">
      <w:rPr>
        <w:b/>
        <w:noProof/>
        <w:sz w:val="18"/>
      </w:rPr>
      <w:t>3</w:t>
    </w:r>
    <w:r w:rsidRPr="007373D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F2C" w:rsidRPr="007373D3" w:rsidRDefault="007373D3" w:rsidP="007373D3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51CEDEEC" wp14:editId="084AF388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17-01964  (F)</w:t>
    </w:r>
    <w:r w:rsidR="00E23A4F">
      <w:rPr>
        <w:sz w:val="20"/>
      </w:rPr>
      <w:t xml:space="preserve">    230217    140317</w:t>
    </w:r>
    <w:r>
      <w:rPr>
        <w:sz w:val="20"/>
      </w:rPr>
      <w:br/>
    </w:r>
    <w:r w:rsidRPr="007373D3">
      <w:rPr>
        <w:rFonts w:ascii="C39T30Lfz" w:hAnsi="C39T30Lfz"/>
        <w:sz w:val="56"/>
      </w:rPr>
      <w:t></w:t>
    </w:r>
    <w:r w:rsidRPr="007373D3">
      <w:rPr>
        <w:rFonts w:ascii="C39T30Lfz" w:hAnsi="C39T30Lfz"/>
        <w:sz w:val="56"/>
      </w:rPr>
      <w:t></w:t>
    </w:r>
    <w:r w:rsidRPr="007373D3">
      <w:rPr>
        <w:rFonts w:ascii="C39T30Lfz" w:hAnsi="C39T30Lfz"/>
        <w:sz w:val="56"/>
      </w:rPr>
      <w:t></w:t>
    </w:r>
    <w:r w:rsidRPr="007373D3">
      <w:rPr>
        <w:rFonts w:ascii="C39T30Lfz" w:hAnsi="C39T30Lfz"/>
        <w:sz w:val="56"/>
      </w:rPr>
      <w:t></w:t>
    </w:r>
    <w:r w:rsidRPr="007373D3">
      <w:rPr>
        <w:rFonts w:ascii="C39T30Lfz" w:hAnsi="C39T30Lfz"/>
        <w:sz w:val="56"/>
      </w:rPr>
      <w:t></w:t>
    </w:r>
    <w:r w:rsidRPr="007373D3">
      <w:rPr>
        <w:rFonts w:ascii="C39T30Lfz" w:hAnsi="C39T30Lfz"/>
        <w:sz w:val="56"/>
      </w:rPr>
      <w:t></w:t>
    </w:r>
    <w:r w:rsidRPr="007373D3">
      <w:rPr>
        <w:rFonts w:ascii="C39T30Lfz" w:hAnsi="C39T30Lfz"/>
        <w:sz w:val="56"/>
      </w:rPr>
      <w:t></w:t>
    </w:r>
    <w:r w:rsidRPr="007373D3">
      <w:rPr>
        <w:rFonts w:ascii="C39T30Lfz" w:hAnsi="C39T30Lfz"/>
        <w:sz w:val="56"/>
      </w:rPr>
      <w:t></w:t>
    </w:r>
    <w:r w:rsidRPr="007373D3">
      <w:rPr>
        <w:rFonts w:ascii="C39T30Lfz" w:hAnsi="C39T30Lfz"/>
        <w:sz w:val="56"/>
      </w:rPr>
      <w:t></w:t>
    </w:r>
    <w:r>
      <w:rPr>
        <w:noProof/>
        <w:sz w:val="20"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://undocs.org/m2/QRCode.ashx?DS=E/ECE/324/Rev.1/Add.74/Rev.2/Amend.3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/ECE/324/Rev.1/Add.74/Rev.2/Amend.3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058" w:rsidRPr="00D27D5E" w:rsidRDefault="00923058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23058" w:rsidRPr="00D171D4" w:rsidRDefault="00923058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923058" w:rsidRPr="00C451B9" w:rsidRDefault="00923058" w:rsidP="00C451B9">
      <w:pPr>
        <w:spacing w:line="240" w:lineRule="auto"/>
        <w:rPr>
          <w:sz w:val="2"/>
          <w:szCs w:val="2"/>
        </w:rPr>
      </w:pPr>
    </w:p>
  </w:footnote>
  <w:footnote w:id="2">
    <w:p w:rsidR="00442E31" w:rsidRPr="00442E31" w:rsidRDefault="00442E31">
      <w:pPr>
        <w:pStyle w:val="FootnoteText"/>
      </w:pPr>
      <w:r>
        <w:rPr>
          <w:rStyle w:val="FootnoteReference"/>
        </w:rPr>
        <w:tab/>
      </w:r>
      <w:r w:rsidRPr="00442E31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7817A7">
        <w:t>Ancien titre de l</w:t>
      </w:r>
      <w:r>
        <w:t>’</w:t>
      </w:r>
      <w:r w:rsidRPr="007817A7">
        <w:t>Accor</w:t>
      </w:r>
      <w:r>
        <w:t>d</w:t>
      </w:r>
      <w:r w:rsidR="00A648F1">
        <w:t> </w:t>
      </w:r>
      <w:r>
        <w:t>: Accord concernant l’a</w:t>
      </w:r>
      <w:r w:rsidRPr="007817A7">
        <w:t>doption de conditions uniformes d</w:t>
      </w:r>
      <w:r>
        <w:t>’</w:t>
      </w:r>
      <w:r w:rsidRPr="007817A7">
        <w:t>homologation et la</w:t>
      </w:r>
      <w:r>
        <w:t> </w:t>
      </w:r>
      <w:r w:rsidRPr="007817A7">
        <w:t>reconnaissance réciproque de l</w:t>
      </w:r>
      <w:r>
        <w:t>’</w:t>
      </w:r>
      <w:r w:rsidRPr="007817A7">
        <w:t>homologation des équipements et pièces de véhicules à m</w:t>
      </w:r>
      <w:r>
        <w:t>oteur, en date, à Genève, du 20</w:t>
      </w:r>
      <w:r w:rsidR="00231DF2">
        <w:t> </w:t>
      </w:r>
      <w:r w:rsidRPr="007817A7">
        <w:t>mars 1958.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D3" w:rsidRPr="007373D3" w:rsidRDefault="00E34C95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000747">
      <w:t>E/ECE/324/Rev.1/Add.74/Rev.2/Amend.3</w:t>
    </w:r>
    <w:r>
      <w:fldChar w:fldCharType="end"/>
    </w:r>
    <w:r w:rsidR="007373D3">
      <w:br/>
    </w:r>
    <w:r>
      <w:fldChar w:fldCharType="begin"/>
    </w:r>
    <w:r>
      <w:instrText xml:space="preserve"> KEYWORDS  \* MERGEFORMAT </w:instrText>
    </w:r>
    <w:r>
      <w:fldChar w:fldCharType="separate"/>
    </w:r>
    <w:r w:rsidR="00000747">
      <w:t>E/ECE/TRANS/505/Rev.1/Add.74/Rev.2/Amend.3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73D3" w:rsidRPr="007373D3" w:rsidRDefault="00E34C95" w:rsidP="007373D3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000747">
      <w:t>E/ECE/324/Rev.1/Add.74/Rev.2/Amend.3</w:t>
    </w:r>
    <w:r>
      <w:fldChar w:fldCharType="end"/>
    </w:r>
    <w:r w:rsidR="007373D3">
      <w:br/>
    </w:r>
    <w:r>
      <w:fldChar w:fldCharType="begin"/>
    </w:r>
    <w:r>
      <w:instrText xml:space="preserve"> KEYWORDS  \* MERGEFORMAT </w:instrText>
    </w:r>
    <w:r>
      <w:fldChar w:fldCharType="separate"/>
    </w:r>
    <w:r w:rsidR="00000747">
      <w:t>E/ECE/TRANS/505/Rev.1/Add.74/Rev.2/Amend.3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58"/>
    <w:rsid w:val="00000747"/>
    <w:rsid w:val="0001470D"/>
    <w:rsid w:val="00016165"/>
    <w:rsid w:val="00016AC5"/>
    <w:rsid w:val="00020AA6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E56F1"/>
    <w:rsid w:val="000F3CF2"/>
    <w:rsid w:val="000F41F2"/>
    <w:rsid w:val="0010373B"/>
    <w:rsid w:val="00111E2F"/>
    <w:rsid w:val="0011415F"/>
    <w:rsid w:val="00125446"/>
    <w:rsid w:val="001358D9"/>
    <w:rsid w:val="00141E26"/>
    <w:rsid w:val="00143EB9"/>
    <w:rsid w:val="00147C95"/>
    <w:rsid w:val="001510AD"/>
    <w:rsid w:val="00152C5A"/>
    <w:rsid w:val="0015389C"/>
    <w:rsid w:val="00160540"/>
    <w:rsid w:val="00166C68"/>
    <w:rsid w:val="00174814"/>
    <w:rsid w:val="00181A90"/>
    <w:rsid w:val="00181B6A"/>
    <w:rsid w:val="00190D5D"/>
    <w:rsid w:val="00192EEB"/>
    <w:rsid w:val="00194484"/>
    <w:rsid w:val="001A2040"/>
    <w:rsid w:val="001A20FB"/>
    <w:rsid w:val="001A252F"/>
    <w:rsid w:val="001A373F"/>
    <w:rsid w:val="001A376F"/>
    <w:rsid w:val="001B09BB"/>
    <w:rsid w:val="001C3D8D"/>
    <w:rsid w:val="001C6497"/>
    <w:rsid w:val="001D227F"/>
    <w:rsid w:val="001D7F8A"/>
    <w:rsid w:val="001E039E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F3E68"/>
    <w:rsid w:val="001F4931"/>
    <w:rsid w:val="001F6EEB"/>
    <w:rsid w:val="002000CD"/>
    <w:rsid w:val="00200CBA"/>
    <w:rsid w:val="00204B66"/>
    <w:rsid w:val="002059CE"/>
    <w:rsid w:val="00206AD4"/>
    <w:rsid w:val="00224B8B"/>
    <w:rsid w:val="00224CFC"/>
    <w:rsid w:val="00225A8C"/>
    <w:rsid w:val="00230ED3"/>
    <w:rsid w:val="00231A7F"/>
    <w:rsid w:val="00231DF2"/>
    <w:rsid w:val="00234410"/>
    <w:rsid w:val="00242BBD"/>
    <w:rsid w:val="00244817"/>
    <w:rsid w:val="0024586F"/>
    <w:rsid w:val="00246BC8"/>
    <w:rsid w:val="00251F95"/>
    <w:rsid w:val="00252317"/>
    <w:rsid w:val="002659F1"/>
    <w:rsid w:val="00271E41"/>
    <w:rsid w:val="00275619"/>
    <w:rsid w:val="00284C19"/>
    <w:rsid w:val="00286E23"/>
    <w:rsid w:val="002876A1"/>
    <w:rsid w:val="002877F6"/>
    <w:rsid w:val="00287CA6"/>
    <w:rsid w:val="00287E79"/>
    <w:rsid w:val="002928F9"/>
    <w:rsid w:val="00294D5B"/>
    <w:rsid w:val="0029791D"/>
    <w:rsid w:val="002A2A2C"/>
    <w:rsid w:val="002A5D07"/>
    <w:rsid w:val="002D089B"/>
    <w:rsid w:val="002D25CA"/>
    <w:rsid w:val="002D3DA4"/>
    <w:rsid w:val="002E2F5C"/>
    <w:rsid w:val="002F0C48"/>
    <w:rsid w:val="002F49F2"/>
    <w:rsid w:val="003016B7"/>
    <w:rsid w:val="00303A9A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A1CBC"/>
    <w:rsid w:val="003A3B68"/>
    <w:rsid w:val="003B021C"/>
    <w:rsid w:val="003B53B6"/>
    <w:rsid w:val="003B6C39"/>
    <w:rsid w:val="003D6C68"/>
    <w:rsid w:val="003E01D0"/>
    <w:rsid w:val="003E49B9"/>
    <w:rsid w:val="003E5E5B"/>
    <w:rsid w:val="003E5F12"/>
    <w:rsid w:val="003E786C"/>
    <w:rsid w:val="003F100B"/>
    <w:rsid w:val="003F2A89"/>
    <w:rsid w:val="003F4A54"/>
    <w:rsid w:val="003F4A8D"/>
    <w:rsid w:val="003F7B62"/>
    <w:rsid w:val="003F7E05"/>
    <w:rsid w:val="0040144C"/>
    <w:rsid w:val="004067AE"/>
    <w:rsid w:val="00410521"/>
    <w:rsid w:val="00413BB0"/>
    <w:rsid w:val="004159D0"/>
    <w:rsid w:val="00417326"/>
    <w:rsid w:val="00421A10"/>
    <w:rsid w:val="00422499"/>
    <w:rsid w:val="0042757F"/>
    <w:rsid w:val="00430EFC"/>
    <w:rsid w:val="004342E2"/>
    <w:rsid w:val="00434354"/>
    <w:rsid w:val="00440BC8"/>
    <w:rsid w:val="004429A5"/>
    <w:rsid w:val="00442E31"/>
    <w:rsid w:val="004522BF"/>
    <w:rsid w:val="00454F8D"/>
    <w:rsid w:val="004567EB"/>
    <w:rsid w:val="0045753C"/>
    <w:rsid w:val="00457676"/>
    <w:rsid w:val="00460E72"/>
    <w:rsid w:val="00464191"/>
    <w:rsid w:val="00467412"/>
    <w:rsid w:val="00467F2C"/>
    <w:rsid w:val="0047356C"/>
    <w:rsid w:val="00476265"/>
    <w:rsid w:val="0048687D"/>
    <w:rsid w:val="00487FA9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4F2EB0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0DD3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C6104"/>
    <w:rsid w:val="006E1CA4"/>
    <w:rsid w:val="006E29E5"/>
    <w:rsid w:val="006F1D0B"/>
    <w:rsid w:val="006F27A8"/>
    <w:rsid w:val="006F3493"/>
    <w:rsid w:val="006F3544"/>
    <w:rsid w:val="00700A8B"/>
    <w:rsid w:val="0070347C"/>
    <w:rsid w:val="007045A1"/>
    <w:rsid w:val="007102D2"/>
    <w:rsid w:val="00714A66"/>
    <w:rsid w:val="007176C1"/>
    <w:rsid w:val="00720BC0"/>
    <w:rsid w:val="0072116B"/>
    <w:rsid w:val="00725063"/>
    <w:rsid w:val="00732E72"/>
    <w:rsid w:val="007373D3"/>
    <w:rsid w:val="00741D90"/>
    <w:rsid w:val="007607B1"/>
    <w:rsid w:val="00765296"/>
    <w:rsid w:val="00766D28"/>
    <w:rsid w:val="007723C2"/>
    <w:rsid w:val="007815B9"/>
    <w:rsid w:val="00783E82"/>
    <w:rsid w:val="00784382"/>
    <w:rsid w:val="00785F1F"/>
    <w:rsid w:val="007869B6"/>
    <w:rsid w:val="00790B9D"/>
    <w:rsid w:val="00796316"/>
    <w:rsid w:val="007A1C58"/>
    <w:rsid w:val="007A20D2"/>
    <w:rsid w:val="007A79CD"/>
    <w:rsid w:val="007B090D"/>
    <w:rsid w:val="007C16EA"/>
    <w:rsid w:val="007D02B9"/>
    <w:rsid w:val="007D2668"/>
    <w:rsid w:val="007D3119"/>
    <w:rsid w:val="007E40F7"/>
    <w:rsid w:val="007F1867"/>
    <w:rsid w:val="007F1EC4"/>
    <w:rsid w:val="007F55CB"/>
    <w:rsid w:val="007F768E"/>
    <w:rsid w:val="008021D4"/>
    <w:rsid w:val="00810E25"/>
    <w:rsid w:val="008149F9"/>
    <w:rsid w:val="00816F90"/>
    <w:rsid w:val="008226C6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5E10"/>
    <w:rsid w:val="00856DB2"/>
    <w:rsid w:val="00890AFC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8F0152"/>
    <w:rsid w:val="00911BF7"/>
    <w:rsid w:val="0091594A"/>
    <w:rsid w:val="00923058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0EBF"/>
    <w:rsid w:val="00991043"/>
    <w:rsid w:val="00996562"/>
    <w:rsid w:val="009A3048"/>
    <w:rsid w:val="009A6C26"/>
    <w:rsid w:val="009B17AD"/>
    <w:rsid w:val="009B3F8C"/>
    <w:rsid w:val="009B45E0"/>
    <w:rsid w:val="009B540F"/>
    <w:rsid w:val="009C42E8"/>
    <w:rsid w:val="009D3A8C"/>
    <w:rsid w:val="009E1BA9"/>
    <w:rsid w:val="009E2876"/>
    <w:rsid w:val="009E2F0B"/>
    <w:rsid w:val="009E6F3F"/>
    <w:rsid w:val="009E701E"/>
    <w:rsid w:val="009E7956"/>
    <w:rsid w:val="009F072F"/>
    <w:rsid w:val="009F24D0"/>
    <w:rsid w:val="009F26C1"/>
    <w:rsid w:val="009F3F95"/>
    <w:rsid w:val="00A023FC"/>
    <w:rsid w:val="00A0338D"/>
    <w:rsid w:val="00A05DD1"/>
    <w:rsid w:val="00A077E9"/>
    <w:rsid w:val="00A2492E"/>
    <w:rsid w:val="00A31163"/>
    <w:rsid w:val="00A34593"/>
    <w:rsid w:val="00A34FB3"/>
    <w:rsid w:val="00A35774"/>
    <w:rsid w:val="00A364DB"/>
    <w:rsid w:val="00A43F97"/>
    <w:rsid w:val="00A44EE2"/>
    <w:rsid w:val="00A45E90"/>
    <w:rsid w:val="00A4770F"/>
    <w:rsid w:val="00A50D6B"/>
    <w:rsid w:val="00A51050"/>
    <w:rsid w:val="00A56945"/>
    <w:rsid w:val="00A57027"/>
    <w:rsid w:val="00A5750C"/>
    <w:rsid w:val="00A648F1"/>
    <w:rsid w:val="00A66DF4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83028"/>
    <w:rsid w:val="00B93AA5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120C"/>
    <w:rsid w:val="00C024A1"/>
    <w:rsid w:val="00C02C42"/>
    <w:rsid w:val="00C04EC8"/>
    <w:rsid w:val="00C10FB1"/>
    <w:rsid w:val="00C11282"/>
    <w:rsid w:val="00C14108"/>
    <w:rsid w:val="00C20DF5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CE1ECB"/>
    <w:rsid w:val="00CE3AA2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B5952"/>
    <w:rsid w:val="00DC161C"/>
    <w:rsid w:val="00DC3628"/>
    <w:rsid w:val="00DC4F43"/>
    <w:rsid w:val="00DE083E"/>
    <w:rsid w:val="00DE6D90"/>
    <w:rsid w:val="00DF002F"/>
    <w:rsid w:val="00DF1487"/>
    <w:rsid w:val="00E00F6C"/>
    <w:rsid w:val="00E0244D"/>
    <w:rsid w:val="00E026DF"/>
    <w:rsid w:val="00E02F48"/>
    <w:rsid w:val="00E03712"/>
    <w:rsid w:val="00E03F93"/>
    <w:rsid w:val="00E06B3F"/>
    <w:rsid w:val="00E100A6"/>
    <w:rsid w:val="00E10A73"/>
    <w:rsid w:val="00E14F27"/>
    <w:rsid w:val="00E171D2"/>
    <w:rsid w:val="00E23A4F"/>
    <w:rsid w:val="00E25534"/>
    <w:rsid w:val="00E319B6"/>
    <w:rsid w:val="00E32145"/>
    <w:rsid w:val="00E32F5A"/>
    <w:rsid w:val="00E34C95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8A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E4B3C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46487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C2B37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5:docId w15:val="{0411F00F-BBF8-4764-AA98-0A71E1303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87D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Hyperlink">
    <w:name w:val="Hyperlink"/>
    <w:unhideWhenUsed/>
    <w:rsid w:val="0048687D"/>
    <w:rPr>
      <w:color w:val="0000FF"/>
      <w:u w:val="none"/>
    </w:rPr>
  </w:style>
  <w:style w:type="character" w:styleId="FollowedHyperlink">
    <w:name w:val="FollowedHyperlink"/>
    <w:unhideWhenUsed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rsid w:val="0048687D"/>
    <w:rPr>
      <w:rFonts w:eastAsiaTheme="minorHAnsi"/>
      <w:lang w:val="fr-CH"/>
    </w:rPr>
  </w:style>
  <w:style w:type="character" w:customStyle="1" w:styleId="Heading3Char">
    <w:name w:val="Heading 3 Char"/>
    <w:link w:val="Heading3"/>
    <w:rsid w:val="0048687D"/>
    <w:rPr>
      <w:rFonts w:eastAsiaTheme="minorHAnsi"/>
      <w:lang w:val="fr-CH"/>
    </w:rPr>
  </w:style>
  <w:style w:type="character" w:customStyle="1" w:styleId="Heading4Char">
    <w:name w:val="Heading 4 Char"/>
    <w:link w:val="Heading4"/>
    <w:rsid w:val="0048687D"/>
    <w:rPr>
      <w:rFonts w:eastAsiaTheme="minorHAnsi"/>
      <w:lang w:val="fr-CH"/>
    </w:rPr>
  </w:style>
  <w:style w:type="character" w:customStyle="1" w:styleId="Heading5Char">
    <w:name w:val="Heading 5 Char"/>
    <w:link w:val="Heading5"/>
    <w:rsid w:val="0048687D"/>
    <w:rPr>
      <w:rFonts w:eastAsiaTheme="minorHAnsi"/>
      <w:lang w:val="fr-CH"/>
    </w:rPr>
  </w:style>
  <w:style w:type="character" w:customStyle="1" w:styleId="Heading6Char">
    <w:name w:val="Heading 6 Char"/>
    <w:link w:val="Heading6"/>
    <w:rsid w:val="0048687D"/>
    <w:rPr>
      <w:rFonts w:eastAsiaTheme="minorHAnsi"/>
      <w:lang w:val="fr-CH"/>
    </w:rPr>
  </w:style>
  <w:style w:type="character" w:customStyle="1" w:styleId="Heading7Char">
    <w:name w:val="Heading 7 Char"/>
    <w:link w:val="Heading7"/>
    <w:rsid w:val="0048687D"/>
    <w:rPr>
      <w:rFonts w:eastAsiaTheme="minorHAnsi"/>
      <w:lang w:val="fr-CH"/>
    </w:rPr>
  </w:style>
  <w:style w:type="character" w:customStyle="1" w:styleId="Heading8Char">
    <w:name w:val="Heading 8 Char"/>
    <w:link w:val="Heading8"/>
    <w:rsid w:val="0048687D"/>
    <w:rPr>
      <w:rFonts w:eastAsiaTheme="minorHAnsi"/>
      <w:lang w:val="fr-CH"/>
    </w:rPr>
  </w:style>
  <w:style w:type="character" w:customStyle="1" w:styleId="Heading9Char">
    <w:name w:val="Heading 9 Char"/>
    <w:link w:val="Heading9"/>
    <w:rsid w:val="0048687D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2E31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E/ECE/324/Rev.1/Add.74/Rev.2/Amend.3</vt:lpstr>
      <vt:lpstr>E/ECE/324/Rev.1/Add.74/Rev.2/Amend.3</vt:lpstr>
    </vt:vector>
  </TitlesOfParts>
  <Company>CSD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E/ECE/324/Rev.1/Add.74/Rev.2/Amend.3</dc:title>
  <dc:creator>DEVOS</dc:creator>
  <cp:keywords>E/ECE/TRANS/505/Rev.1/Add.74/Rev.2/Amend.3</cp:keywords>
  <cp:lastModifiedBy>Caillot</cp:lastModifiedBy>
  <cp:revision>2</cp:revision>
  <cp:lastPrinted>2017-03-14T11:55:00Z</cp:lastPrinted>
  <dcterms:created xsi:type="dcterms:W3CDTF">2017-03-20T15:43:00Z</dcterms:created>
  <dcterms:modified xsi:type="dcterms:W3CDTF">2017-03-20T15:43:00Z</dcterms:modified>
</cp:coreProperties>
</file>