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B03E1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59" w:rsidRPr="006B03E1" w:rsidRDefault="00297159" w:rsidP="00297159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B03E1">
              <w:rPr>
                <w:sz w:val="40"/>
                <w:lang w:val="en-GB"/>
              </w:rPr>
              <w:t>E</w:t>
            </w:r>
            <w:r w:rsidRPr="006B03E1">
              <w:rPr>
                <w:lang w:val="en-GB"/>
              </w:rPr>
              <w:t>/ECE/324/Rev.1/Add.38/Rev.1/Amend.1−</w:t>
            </w:r>
            <w:r w:rsidRPr="006B03E1">
              <w:rPr>
                <w:sz w:val="40"/>
                <w:lang w:val="en-GB"/>
              </w:rPr>
              <w:t>E</w:t>
            </w:r>
            <w:r w:rsidRPr="006B03E1">
              <w:rPr>
                <w:lang w:val="en-GB"/>
              </w:rPr>
              <w:t>/ECE/TRANS/505/Rev.1/Add.38/Rev.1/Amend.1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B03E1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97159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97159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97159">
        <w:t>38 −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109B4">
        <w:t>39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109B4">
        <w:t>1 − Amendement 1</w:t>
      </w:r>
    </w:p>
    <w:p w:rsidR="00421A10" w:rsidRPr="004A7E44" w:rsidRDefault="000109B4" w:rsidP="0029791D">
      <w:pPr>
        <w:pStyle w:val="SingleTxtG"/>
        <w:spacing w:after="0"/>
      </w:pPr>
      <w:r w:rsidRPr="003B0D98">
        <w:rPr>
          <w:spacing w:val="-2"/>
          <w:lang w:val="fr-FR"/>
        </w:rPr>
        <w:t>Série 01 d</w:t>
      </w:r>
      <w:r>
        <w:rPr>
          <w:spacing w:val="-2"/>
          <w:lang w:val="fr-FR"/>
        </w:rPr>
        <w:t>’</w:t>
      </w:r>
      <w:r w:rsidRPr="003B0D98">
        <w:rPr>
          <w:spacing w:val="-2"/>
          <w:lang w:val="fr-FR"/>
        </w:rPr>
        <w:t>amendements au Règlement</w:t>
      </w:r>
      <w:r>
        <w:rPr>
          <w:spacing w:val="-2"/>
          <w:lang w:val="fr-FR"/>
        </w:rPr>
        <w:t xml:space="preserve"> −</w:t>
      </w:r>
      <w:r w:rsidRPr="003B0D98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3B0D98">
        <w:rPr>
          <w:spacing w:val="-2"/>
          <w:lang w:val="fr-FR"/>
        </w:rPr>
        <w:t xml:space="preserve">entrée en vigueur : </w:t>
      </w:r>
      <w:r w:rsidRPr="003B0D98">
        <w:rPr>
          <w:lang w:val="fr-FR"/>
        </w:rPr>
        <w:t>18 juin 2016</w:t>
      </w:r>
    </w:p>
    <w:p w:rsidR="00421A10" w:rsidRPr="0029791D" w:rsidRDefault="00421A10" w:rsidP="0029791D">
      <w:pPr>
        <w:pStyle w:val="SingleTxtG"/>
      </w:pPr>
    </w:p>
    <w:p w:rsidR="00421A10" w:rsidRDefault="0029791D" w:rsidP="0029791D">
      <w:pPr>
        <w:pStyle w:val="H1G"/>
      </w:pPr>
      <w:r>
        <w:lastRenderedPageBreak/>
        <w:tab/>
      </w:r>
      <w:r>
        <w:tab/>
      </w:r>
      <w:r w:rsidR="000109B4">
        <w:rPr>
          <w:lang w:val="fr-FR"/>
        </w:rPr>
        <w:t xml:space="preserve">Prescriptions uniformes relatives à l’homologation des véhicules </w:t>
      </w:r>
      <w:r w:rsidR="000109B4">
        <w:rPr>
          <w:lang w:val="fr-FR"/>
        </w:rPr>
        <w:br/>
        <w:t>en ce qui concerne l’appareil indicateur de vitesse et le compteur kilométrique, y compris leur installation</w:t>
      </w:r>
    </w:p>
    <w:p w:rsidR="00A225CB" w:rsidRDefault="000109B4" w:rsidP="000109B4">
      <w:pPr>
        <w:pStyle w:val="SingleTxtG"/>
        <w:rPr>
          <w:spacing w:val="-6"/>
          <w:lang w:val="fr-FR" w:eastAsia="en-GB"/>
        </w:rPr>
      </w:pPr>
      <w:r>
        <w:rPr>
          <w:spacing w:val="-4"/>
          <w:lang w:val="fr-FR" w:eastAsia="en-GB"/>
        </w:rPr>
        <w:t xml:space="preserve">Le présent document est communiqué uniquement à titre d’information. Le texte authentique, juridiquement contraignant, est celui du document </w:t>
      </w:r>
      <w:r w:rsidRPr="003B0D98">
        <w:rPr>
          <w:spacing w:val="-6"/>
          <w:lang w:val="fr-FR" w:eastAsia="en-GB"/>
        </w:rPr>
        <w:t>ECE/TRANS/WP.29/2015/83</w:t>
      </w:r>
      <w:r>
        <w:rPr>
          <w:spacing w:val="-6"/>
          <w:lang w:val="fr-FR" w:eastAsia="en-GB"/>
        </w:rPr>
        <w:t>.</w:t>
      </w:r>
    </w:p>
    <w:p w:rsidR="00A225CB" w:rsidRPr="003B0D98" w:rsidRDefault="00A225CB" w:rsidP="003F5B5A">
      <w:pPr>
        <w:pStyle w:val="SingleTxtG"/>
        <w:rPr>
          <w:lang w:val="fr-FR"/>
        </w:rPr>
      </w:pPr>
      <w:r w:rsidRPr="003B0D98">
        <w:rPr>
          <w:i/>
          <w:lang w:val="fr-FR"/>
        </w:rPr>
        <w:t>T</w:t>
      </w:r>
      <w:r>
        <w:rPr>
          <w:i/>
          <w:lang w:val="fr-FR"/>
        </w:rPr>
        <w:t>itre du Règlement</w:t>
      </w:r>
      <w:r w:rsidRPr="003F5B5A">
        <w:rPr>
          <w:lang w:val="fr-FR"/>
        </w:rPr>
        <w:t xml:space="preserve">, </w:t>
      </w:r>
      <w:r>
        <w:rPr>
          <w:lang w:val="fr-FR"/>
        </w:rPr>
        <w:t>modifier comme suit </w:t>
      </w:r>
      <w:r w:rsidRPr="003B0D98">
        <w:rPr>
          <w:lang w:val="fr-FR"/>
        </w:rPr>
        <w:t>:</w:t>
      </w:r>
    </w:p>
    <w:p w:rsidR="00A225CB" w:rsidRPr="003B0D98" w:rsidRDefault="003F5B5A" w:rsidP="00B47FD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225CB" w:rsidRPr="000C1EF4">
        <w:rPr>
          <w:lang w:val="fr-FR"/>
        </w:rPr>
        <w:t>« P</w:t>
      </w:r>
      <w:r w:rsidR="00A225CB">
        <w:rPr>
          <w:lang w:val="fr-FR"/>
        </w:rPr>
        <w:t xml:space="preserve">rescriptions uniformes relatives à l’homologation </w:t>
      </w:r>
      <w:r w:rsidR="00B47FD6">
        <w:rPr>
          <w:lang w:val="fr-FR"/>
        </w:rPr>
        <w:br/>
      </w:r>
      <w:r w:rsidR="00A225CB">
        <w:rPr>
          <w:lang w:val="fr-FR"/>
        </w:rPr>
        <w:t xml:space="preserve">des véhicules en ce qui concerne l’appareil indicateur </w:t>
      </w:r>
      <w:r w:rsidR="00B47FD6">
        <w:rPr>
          <w:lang w:val="fr-FR"/>
        </w:rPr>
        <w:br/>
      </w:r>
      <w:r w:rsidR="00A225CB">
        <w:rPr>
          <w:lang w:val="fr-FR"/>
        </w:rPr>
        <w:t>de vitesse et le compteur kilométrique</w:t>
      </w:r>
      <w:r>
        <w:rPr>
          <w:lang w:val="fr-FR"/>
        </w:rPr>
        <w:t xml:space="preserve">, y compris </w:t>
      </w:r>
      <w:r w:rsidR="00B47FD6">
        <w:rPr>
          <w:lang w:val="fr-FR"/>
        </w:rPr>
        <w:br/>
      </w:r>
      <w:r>
        <w:rPr>
          <w:lang w:val="fr-FR"/>
        </w:rPr>
        <w:t>leur installation »</w:t>
      </w:r>
    </w:p>
    <w:p w:rsidR="00A225CB" w:rsidRPr="003B0D98" w:rsidRDefault="00A225CB" w:rsidP="00F10A3A">
      <w:pPr>
        <w:pStyle w:val="SingleTxtG"/>
        <w:keepNext/>
        <w:rPr>
          <w:iCs/>
          <w:lang w:val="fr-FR"/>
        </w:rPr>
      </w:pPr>
      <w:r w:rsidRPr="003B0D98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3B0D98">
        <w:rPr>
          <w:i/>
          <w:iCs/>
          <w:lang w:val="fr-FR"/>
        </w:rPr>
        <w:t xml:space="preserve"> 1</w:t>
      </w:r>
      <w:r w:rsidRPr="003B0D98">
        <w:rPr>
          <w:iCs/>
          <w:lang w:val="fr-FR"/>
        </w:rPr>
        <w:t xml:space="preserve">, </w:t>
      </w:r>
      <w:r>
        <w:rPr>
          <w:iCs/>
          <w:lang w:val="fr-FR"/>
        </w:rPr>
        <w:t>modifier comme suit</w:t>
      </w:r>
      <w:r w:rsidRPr="003B0D98">
        <w:rPr>
          <w:iCs/>
          <w:lang w:val="fr-FR"/>
        </w:rPr>
        <w:t xml:space="preserve"> (</w:t>
      </w:r>
      <w:r>
        <w:rPr>
          <w:iCs/>
          <w:lang w:val="fr-FR"/>
        </w:rPr>
        <w:t>y compris la note de bas de page</w:t>
      </w:r>
      <w:r w:rsidRPr="003B0D98">
        <w:rPr>
          <w:iCs/>
          <w:lang w:val="fr-FR"/>
        </w:rPr>
        <w:t xml:space="preserve"> 1)</w:t>
      </w:r>
      <w:r>
        <w:rPr>
          <w:iCs/>
          <w:lang w:val="fr-FR"/>
        </w:rPr>
        <w:t> </w:t>
      </w:r>
      <w:r w:rsidRPr="003B0D98">
        <w:rPr>
          <w:iCs/>
          <w:lang w:val="fr-FR"/>
        </w:rPr>
        <w:t>:</w:t>
      </w:r>
    </w:p>
    <w:p w:rsidR="00A225CB" w:rsidRPr="003B0D98" w:rsidRDefault="00A225CB" w:rsidP="00B47FD6">
      <w:pPr>
        <w:pStyle w:val="HChG"/>
        <w:ind w:left="2268"/>
        <w:rPr>
          <w:lang w:val="fr-FR"/>
        </w:rPr>
      </w:pPr>
      <w:r>
        <w:rPr>
          <w:lang w:val="fr-FR"/>
        </w:rPr>
        <w:t>« </w:t>
      </w:r>
      <w:r w:rsidRPr="003B0D98">
        <w:rPr>
          <w:lang w:val="fr-FR"/>
        </w:rPr>
        <w:t>1.</w:t>
      </w:r>
      <w:r w:rsidRPr="003B0D98">
        <w:rPr>
          <w:lang w:val="fr-FR"/>
        </w:rPr>
        <w:tab/>
      </w:r>
      <w:r w:rsidRPr="003B0D98">
        <w:rPr>
          <w:lang w:val="fr-FR"/>
        </w:rPr>
        <w:tab/>
      </w:r>
      <w:r>
        <w:rPr>
          <w:lang w:val="fr-FR"/>
        </w:rPr>
        <w:t>Domaine d’application</w:t>
      </w:r>
    </w:p>
    <w:p w:rsidR="00A225CB" w:rsidRPr="000C1EF4" w:rsidRDefault="00A225CB" w:rsidP="00FF7000">
      <w:pPr>
        <w:pStyle w:val="SingleTxtG"/>
        <w:ind w:left="2268"/>
        <w:rPr>
          <w:iCs/>
          <w:lang w:val="fr-FR"/>
        </w:rPr>
      </w:pPr>
      <w:r w:rsidRPr="003B0D98">
        <w:rPr>
          <w:iCs/>
          <w:lang w:val="fr-FR"/>
        </w:rPr>
        <w:tab/>
      </w:r>
      <w:r w:rsidRPr="00EF1026">
        <w:t>Le présent Règlement s</w:t>
      </w:r>
      <w:r>
        <w:t>’</w:t>
      </w:r>
      <w:r w:rsidRPr="00EF1026">
        <w:t>applique à l</w:t>
      </w:r>
      <w:r>
        <w:t>’</w:t>
      </w:r>
      <w:r w:rsidRPr="00EF1026">
        <w:t>homologation des véhicules des catégories L, M et N</w:t>
      </w:r>
      <w:r w:rsidRPr="00EF1026">
        <w:rPr>
          <w:vertAlign w:val="superscript"/>
        </w:rPr>
        <w:t>1</w:t>
      </w:r>
      <w:r>
        <w:t xml:space="preserve">. </w:t>
      </w:r>
    </w:p>
    <w:p w:rsidR="00A225CB" w:rsidRPr="003B0D98" w:rsidRDefault="00A225CB" w:rsidP="00FF7000">
      <w:pPr>
        <w:pStyle w:val="SingleTxtG"/>
        <w:rPr>
          <w:vertAlign w:val="superscript"/>
          <w:lang w:val="fr-FR"/>
        </w:rPr>
      </w:pPr>
      <w:r w:rsidRPr="003B0D98">
        <w:rPr>
          <w:vertAlign w:val="superscript"/>
          <w:lang w:val="fr-FR"/>
        </w:rPr>
        <w:t>___________________</w:t>
      </w:r>
    </w:p>
    <w:p w:rsidR="00A225CB" w:rsidRPr="00FF7000" w:rsidRDefault="00A225CB" w:rsidP="00FF7000">
      <w:pPr>
        <w:spacing w:after="120"/>
        <w:ind w:left="1134" w:right="1134"/>
        <w:rPr>
          <w:iCs/>
          <w:sz w:val="18"/>
          <w:szCs w:val="18"/>
          <w:lang w:val="fr-FR"/>
        </w:rPr>
      </w:pPr>
      <w:r w:rsidRPr="00FF7000">
        <w:rPr>
          <w:iCs/>
          <w:sz w:val="18"/>
          <w:szCs w:val="18"/>
          <w:vertAlign w:val="superscript"/>
          <w:lang w:val="fr-FR"/>
        </w:rPr>
        <w:t>1</w:t>
      </w:r>
      <w:r w:rsidR="00FF7000">
        <w:rPr>
          <w:iCs/>
          <w:sz w:val="18"/>
          <w:szCs w:val="18"/>
          <w:lang w:val="fr-FR"/>
        </w:rPr>
        <w:t xml:space="preserve">  </w:t>
      </w:r>
      <w:r w:rsidRPr="00FF7000">
        <w:rPr>
          <w:sz w:val="18"/>
          <w:szCs w:val="18"/>
        </w:rPr>
        <w:t xml:space="preserve">Selon la définition de la Résolution d’ensemble sur la construction des véhicules (R.E.3), </w:t>
      </w:r>
      <w:r w:rsidR="00FF7000">
        <w:rPr>
          <w:sz w:val="18"/>
          <w:szCs w:val="18"/>
        </w:rPr>
        <w:br/>
      </w:r>
      <w:r w:rsidRPr="00FF7000">
        <w:rPr>
          <w:sz w:val="18"/>
          <w:szCs w:val="18"/>
        </w:rPr>
        <w:t>document</w:t>
      </w:r>
      <w:r w:rsidRPr="00FF7000">
        <w:rPr>
          <w:sz w:val="18"/>
          <w:szCs w:val="18"/>
          <w:lang w:val="fr-FR"/>
        </w:rPr>
        <w:t xml:space="preserve"> </w:t>
      </w:r>
      <w:r w:rsidR="00FF7000">
        <w:rPr>
          <w:spacing w:val="2"/>
          <w:sz w:val="18"/>
          <w:szCs w:val="18"/>
          <w:lang w:val="fr-FR"/>
        </w:rPr>
        <w:t>ECE/TRANS/WP.29/78/Rev.4</w:t>
      </w:r>
      <w:r w:rsidRPr="00FF7000">
        <w:rPr>
          <w:spacing w:val="2"/>
          <w:sz w:val="18"/>
          <w:szCs w:val="18"/>
          <w:lang w:val="fr-FR"/>
        </w:rPr>
        <w:t xml:space="preserve"> </w:t>
      </w:r>
      <w:r w:rsidR="00FF7000">
        <w:rPr>
          <w:spacing w:val="2"/>
          <w:sz w:val="18"/>
          <w:szCs w:val="18"/>
          <w:lang w:val="fr-FR"/>
        </w:rPr>
        <w:t>−</w:t>
      </w:r>
      <w:r w:rsidRPr="00FF7000">
        <w:rPr>
          <w:spacing w:val="2"/>
          <w:sz w:val="18"/>
          <w:szCs w:val="18"/>
          <w:lang w:val="fr-FR"/>
        </w:rPr>
        <w:t xml:space="preserve"> </w:t>
      </w:r>
      <w:hyperlink r:id="rId8" w:history="1">
        <w:r w:rsidRPr="00FF7000">
          <w:rPr>
            <w:spacing w:val="2"/>
            <w:sz w:val="18"/>
            <w:szCs w:val="18"/>
            <w:lang w:val="fr-FR"/>
          </w:rPr>
          <w:t>www.unece.org/trans/main/wp29/wp29wgs/wp29gen/wp29resolutions.html</w:t>
        </w:r>
      </w:hyperlink>
      <w:r w:rsidRPr="00FF7000">
        <w:rPr>
          <w:iCs/>
          <w:spacing w:val="2"/>
          <w:sz w:val="18"/>
          <w:szCs w:val="18"/>
          <w:lang w:val="fr-FR"/>
        </w:rPr>
        <w:t> ».</w:t>
      </w:r>
    </w:p>
    <w:p w:rsidR="00A225CB" w:rsidRPr="003B0D98" w:rsidRDefault="00A225CB" w:rsidP="00F10A3A">
      <w:pPr>
        <w:pStyle w:val="SingleTxtG"/>
        <w:keepNext/>
        <w:rPr>
          <w:iCs/>
          <w:lang w:val="fr-FR"/>
        </w:rPr>
      </w:pPr>
      <w:r w:rsidRPr="003B0D98">
        <w:rPr>
          <w:i/>
          <w:iCs/>
          <w:lang w:val="fr-FR"/>
        </w:rPr>
        <w:t>Paragraph</w:t>
      </w:r>
      <w:r>
        <w:rPr>
          <w:i/>
          <w:iCs/>
          <w:lang w:val="fr-FR"/>
        </w:rPr>
        <w:t>es 2.1</w:t>
      </w:r>
      <w:r w:rsidRPr="003B0D9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à</w:t>
      </w:r>
      <w:r w:rsidRPr="003B0D98">
        <w:rPr>
          <w:i/>
          <w:iCs/>
          <w:lang w:val="fr-FR"/>
        </w:rPr>
        <w:t xml:space="preserve"> 2.6</w:t>
      </w:r>
      <w:r w:rsidRPr="003B0D98">
        <w:rPr>
          <w:iCs/>
          <w:lang w:val="fr-FR"/>
        </w:rPr>
        <w:t xml:space="preserve">, </w:t>
      </w:r>
      <w:r>
        <w:rPr>
          <w:iCs/>
          <w:lang w:val="fr-FR"/>
        </w:rPr>
        <w:t>modifier comme suit </w:t>
      </w:r>
      <w:r w:rsidRPr="003B0D98">
        <w:rPr>
          <w:iCs/>
          <w:lang w:val="fr-FR"/>
        </w:rPr>
        <w:t>:</w:t>
      </w:r>
    </w:p>
    <w:p w:rsidR="00A225CB" w:rsidRDefault="00A225CB" w:rsidP="002221FD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2.1</w:t>
      </w:r>
      <w:r w:rsidRPr="003B0D98">
        <w:rPr>
          <w:iCs/>
          <w:lang w:val="fr-FR"/>
        </w:rPr>
        <w:tab/>
      </w:r>
      <w:r w:rsidRPr="00EF1026">
        <w:rPr>
          <w:iCs/>
        </w:rPr>
        <w:t>“</w:t>
      </w:r>
      <w:r w:rsidRPr="00EF1026">
        <w:rPr>
          <w:i/>
          <w:iCs/>
        </w:rPr>
        <w:t>Homologation du véhicule</w:t>
      </w:r>
      <w:r w:rsidRPr="00EF1026">
        <w:rPr>
          <w:iCs/>
        </w:rPr>
        <w:t>”, l</w:t>
      </w:r>
      <w:r>
        <w:rPr>
          <w:iCs/>
        </w:rPr>
        <w:t>’</w:t>
      </w:r>
      <w:r w:rsidRPr="00EF1026">
        <w:rPr>
          <w:iCs/>
        </w:rPr>
        <w:t>homologation d</w:t>
      </w:r>
      <w:r>
        <w:rPr>
          <w:iCs/>
        </w:rPr>
        <w:t>’</w:t>
      </w:r>
      <w:r w:rsidRPr="00EF1026">
        <w:rPr>
          <w:iCs/>
        </w:rPr>
        <w:t>un type de véhicule en ce qui concerne l</w:t>
      </w:r>
      <w:r>
        <w:rPr>
          <w:iCs/>
        </w:rPr>
        <w:t>’</w:t>
      </w:r>
      <w:r w:rsidRPr="00EF1026">
        <w:rPr>
          <w:iCs/>
        </w:rPr>
        <w:t>appareil indicateur de vitesse et le compteur kilométrique, y</w:t>
      </w:r>
      <w:r>
        <w:rPr>
          <w:iCs/>
        </w:rPr>
        <w:t> </w:t>
      </w:r>
      <w:r w:rsidRPr="00EF1026">
        <w:rPr>
          <w:iCs/>
        </w:rPr>
        <w:t>compris leur installation.</w:t>
      </w:r>
    </w:p>
    <w:p w:rsidR="00A225CB" w:rsidRPr="003B0D98" w:rsidRDefault="00A225CB" w:rsidP="002221FD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2.2</w:t>
      </w:r>
      <w:r w:rsidRPr="003B0D98">
        <w:rPr>
          <w:lang w:val="fr-FR"/>
        </w:rPr>
        <w:tab/>
      </w:r>
      <w:r w:rsidRPr="00EF1026">
        <w:rPr>
          <w:iCs/>
        </w:rPr>
        <w:t>“</w:t>
      </w:r>
      <w:r w:rsidRPr="00EF1026">
        <w:rPr>
          <w:i/>
          <w:iCs/>
        </w:rPr>
        <w:t>Type de véhicule en ce qui concerne l</w:t>
      </w:r>
      <w:r>
        <w:rPr>
          <w:i/>
          <w:iCs/>
        </w:rPr>
        <w:t>’</w:t>
      </w:r>
      <w:r w:rsidRPr="00EF1026">
        <w:rPr>
          <w:i/>
          <w:iCs/>
        </w:rPr>
        <w:t>indicateur de vitesse et le compteur kilométrique</w:t>
      </w:r>
      <w:r w:rsidRPr="00EF1026">
        <w:rPr>
          <w:iCs/>
        </w:rPr>
        <w:t>”, les véhicules ne présentant pas entre eux de différences essentielles, ces différences pouvant porter notamment sur les points suivants :</w:t>
      </w:r>
    </w:p>
    <w:p w:rsidR="00A225CB" w:rsidRPr="003B0D98" w:rsidRDefault="00A225CB" w:rsidP="00855E9F">
      <w:pPr>
        <w:pStyle w:val="SingleTxtG"/>
        <w:ind w:left="2268"/>
        <w:rPr>
          <w:lang w:val="fr-FR" w:eastAsia="ar-SA"/>
        </w:rPr>
      </w:pPr>
      <w:r w:rsidRPr="003B0D98">
        <w:rPr>
          <w:lang w:val="fr-FR" w:eastAsia="ar-SA"/>
        </w:rPr>
        <w:tab/>
        <w:t>…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2.2.4</w:t>
      </w:r>
      <w:r w:rsidRPr="003B0D98">
        <w:rPr>
          <w:lang w:val="fr-FR" w:eastAsia="ar-SA"/>
        </w:rPr>
        <w:tab/>
      </w:r>
      <w:r w:rsidRPr="00EF1026">
        <w:rPr>
          <w:iCs/>
        </w:rPr>
        <w:t>Le type de compteur kilométrique, caractérisé par </w:t>
      </w:r>
      <w:r w:rsidRPr="003B0D98">
        <w:rPr>
          <w:lang w:val="fr-FR" w:eastAsia="ar-SA"/>
        </w:rPr>
        <w:t>: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2.2.4.1</w:t>
      </w:r>
      <w:r w:rsidRPr="003B0D98">
        <w:rPr>
          <w:lang w:val="fr-FR" w:eastAsia="ar-SA"/>
        </w:rPr>
        <w:tab/>
      </w:r>
      <w:r w:rsidRPr="00EF1026">
        <w:rPr>
          <w:iCs/>
        </w:rPr>
        <w:t>La constante technique du compteur kilométrique</w:t>
      </w:r>
      <w:r w:rsidR="00855E9F">
        <w:rPr>
          <w:iCs/>
        </w:rPr>
        <w:t> </w:t>
      </w:r>
      <w:r w:rsidRPr="003B0D98">
        <w:rPr>
          <w:lang w:val="fr-FR" w:eastAsia="ar-SA"/>
        </w:rPr>
        <w:t>;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2.2.4.2</w:t>
      </w:r>
      <w:r w:rsidRPr="003B0D98">
        <w:rPr>
          <w:lang w:val="fr-FR" w:eastAsia="ar-SA"/>
        </w:rPr>
        <w:tab/>
      </w:r>
      <w:r w:rsidRPr="00EF1026">
        <w:rPr>
          <w:iCs/>
        </w:rPr>
        <w:t>Le nombre de chiffres affichés</w:t>
      </w:r>
      <w:r w:rsidRPr="003B0D98">
        <w:rPr>
          <w:lang w:val="fr-FR" w:eastAsia="ar-SA"/>
        </w:rPr>
        <w:t>.</w:t>
      </w:r>
    </w:p>
    <w:p w:rsidR="00A225CB" w:rsidRPr="003B0D98" w:rsidRDefault="00A225CB" w:rsidP="00855E9F">
      <w:pPr>
        <w:pStyle w:val="SingleTxtG"/>
        <w:ind w:left="2268"/>
        <w:rPr>
          <w:lang w:val="fr-FR" w:eastAsia="ar-SA"/>
        </w:rPr>
      </w:pPr>
      <w:r w:rsidRPr="003B0D98">
        <w:rPr>
          <w:lang w:val="fr-FR" w:eastAsia="ar-SA"/>
        </w:rPr>
        <w:tab/>
        <w:t>…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2.6</w:t>
      </w:r>
      <w:r w:rsidRPr="003B0D98">
        <w:rPr>
          <w:lang w:val="fr-FR" w:eastAsia="ar-SA"/>
        </w:rPr>
        <w:tab/>
      </w:r>
      <w:r w:rsidRPr="00EF1026">
        <w:t>“</w:t>
      </w:r>
      <w:r w:rsidRPr="00EF1026">
        <w:rPr>
          <w:i/>
        </w:rPr>
        <w:t>Compteur kilométrique</w:t>
      </w:r>
      <w:r w:rsidRPr="00EF1026">
        <w:t>”, la partie du système d</w:t>
      </w:r>
      <w:r>
        <w:t>’</w:t>
      </w:r>
      <w:r w:rsidRPr="00EF1026">
        <w:t>enregistrement kilométrique destinée à indiquer au conducteur la distance totale enregistrée par son véhicule depuis sa mise en circulation</w:t>
      </w:r>
      <w:r>
        <w:rPr>
          <w:lang w:val="fr-FR" w:eastAsia="ar-SA"/>
        </w:rPr>
        <w:t>.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2.6.1</w:t>
      </w:r>
      <w:r w:rsidRPr="003B0D98">
        <w:rPr>
          <w:lang w:val="fr-FR" w:eastAsia="ar-SA"/>
        </w:rPr>
        <w:tab/>
      </w:r>
      <w:r w:rsidRPr="00EF1026">
        <w:t>“</w:t>
      </w:r>
      <w:r w:rsidRPr="00EF1026">
        <w:rPr>
          <w:i/>
        </w:rPr>
        <w:t>Constante technique du compteur kilométrique</w:t>
      </w:r>
      <w:r w:rsidRPr="00EF1026">
        <w:t>”, le rapport entre le nombre de tours à l</w:t>
      </w:r>
      <w:r>
        <w:t>’</w:t>
      </w:r>
      <w:r w:rsidRPr="00EF1026">
        <w:t>entrée ou d</w:t>
      </w:r>
      <w:r>
        <w:t>’</w:t>
      </w:r>
      <w:r w:rsidRPr="00EF1026">
        <w:t>impulsions et la distance parcourue par le véhicule.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2.7</w:t>
      </w:r>
      <w:r w:rsidRPr="003B0D98">
        <w:rPr>
          <w:lang w:val="fr-FR" w:eastAsia="ar-SA"/>
        </w:rPr>
        <w:tab/>
      </w:r>
      <w:r w:rsidRPr="00EF1026">
        <w:t>“</w:t>
      </w:r>
      <w:r w:rsidRPr="00EF1026">
        <w:rPr>
          <w:i/>
        </w:rPr>
        <w:t>Véhicule à vide</w:t>
      </w:r>
      <w:r w:rsidRPr="00EF1026">
        <w:t>”, le véhicule… ».</w:t>
      </w:r>
    </w:p>
    <w:p w:rsidR="00A225CB" w:rsidRPr="003B0D98" w:rsidRDefault="00A225CB" w:rsidP="00F10A3A">
      <w:pPr>
        <w:pStyle w:val="SingleTxtG"/>
        <w:keepNext/>
        <w:rPr>
          <w:lang w:val="fr-FR" w:eastAsia="ar-SA"/>
        </w:rPr>
      </w:pPr>
      <w:r w:rsidRPr="003B0D98">
        <w:rPr>
          <w:i/>
          <w:lang w:val="fr-FR" w:eastAsia="ar-SA"/>
        </w:rPr>
        <w:lastRenderedPageBreak/>
        <w:t>Paragraph</w:t>
      </w:r>
      <w:r>
        <w:rPr>
          <w:i/>
          <w:lang w:val="fr-FR" w:eastAsia="ar-SA"/>
        </w:rPr>
        <w:t>es 3.1 à 3.2.1</w:t>
      </w:r>
      <w:r w:rsidRPr="00F10A3A">
        <w:rPr>
          <w:lang w:val="fr-FR" w:eastAsia="ar-SA"/>
        </w:rPr>
        <w:t xml:space="preserve">, </w:t>
      </w:r>
      <w:r>
        <w:rPr>
          <w:lang w:val="fr-FR" w:eastAsia="ar-SA"/>
        </w:rPr>
        <w:t>modifier comme suit </w:t>
      </w:r>
      <w:r w:rsidRPr="003B0D98">
        <w:rPr>
          <w:lang w:val="fr-FR" w:eastAsia="ar-SA"/>
        </w:rPr>
        <w:t>: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3.1</w:t>
      </w:r>
      <w:r w:rsidRPr="003B0D98">
        <w:rPr>
          <w:lang w:val="fr-FR" w:eastAsia="ar-SA"/>
        </w:rPr>
        <w:tab/>
      </w:r>
      <w:r w:rsidRPr="00EF1026">
        <w:t>La demande d</w:t>
      </w:r>
      <w:r>
        <w:t>’</w:t>
      </w:r>
      <w:r w:rsidRPr="00EF1026">
        <w:t>homologation d</w:t>
      </w:r>
      <w:r>
        <w:t>’</w:t>
      </w:r>
      <w:r w:rsidRPr="00EF1026">
        <w:t>un type de véhicule en ce qui concerne l</w:t>
      </w:r>
      <w:r>
        <w:t>’</w:t>
      </w:r>
      <w:r w:rsidRPr="00EF1026">
        <w:t xml:space="preserve">appareil indicateur de vitesse </w:t>
      </w:r>
      <w:r w:rsidRPr="00EF1026">
        <w:rPr>
          <w:iCs/>
        </w:rPr>
        <w:t>et le compteur kilométrique</w:t>
      </w:r>
      <w:r w:rsidRPr="00EF1026">
        <w:t>, y compris leur installation, est présentée par le constructeur du véhicule ou par son représentant dûment accrédité.</w:t>
      </w:r>
      <w:r>
        <w:t xml:space="preserve"> </w:t>
      </w:r>
    </w:p>
    <w:p w:rsidR="00A225CB" w:rsidRPr="003B0D98" w:rsidRDefault="00F10A3A" w:rsidP="00F10A3A">
      <w:pPr>
        <w:pStyle w:val="SingleTxtG"/>
        <w:ind w:left="2268"/>
        <w:rPr>
          <w:lang w:val="fr-FR" w:eastAsia="ar-SA"/>
        </w:rPr>
      </w:pPr>
      <w:r>
        <w:rPr>
          <w:lang w:val="fr-FR" w:eastAsia="ar-SA"/>
        </w:rPr>
        <w:tab/>
      </w:r>
      <w:r w:rsidR="00A225CB" w:rsidRPr="003B0D98">
        <w:rPr>
          <w:lang w:val="fr-FR" w:eastAsia="ar-SA"/>
        </w:rPr>
        <w:t>…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3.2.1</w:t>
      </w:r>
      <w:r w:rsidRPr="003B0D98">
        <w:rPr>
          <w:lang w:val="fr-FR" w:eastAsia="ar-SA"/>
        </w:rPr>
        <w:tab/>
      </w:r>
      <w:r w:rsidRPr="00EF1026">
        <w:t>Description du type de véhicule en ce qui concerne les points mentionnés aux paragraphes</w:t>
      </w:r>
      <w:r w:rsidR="00F10A3A">
        <w:t> </w:t>
      </w:r>
      <w:r w:rsidRPr="00EF1026">
        <w:t>2.2, 2.3, 2.4, 2.5 et 2.6</w:t>
      </w:r>
      <w:r w:rsidRPr="00EF1026">
        <w:rPr>
          <w:b/>
        </w:rPr>
        <w:t xml:space="preserve"> </w:t>
      </w:r>
      <w:r w:rsidRPr="00EF1026">
        <w:t>ci-dessus</w:t>
      </w:r>
      <w:r w:rsidR="00480ACB">
        <w:t> </w:t>
      </w:r>
      <w:r w:rsidRPr="00EF1026">
        <w:t>; le type de véhicule doit être indiqué. ».</w:t>
      </w:r>
    </w:p>
    <w:p w:rsidR="00A225CB" w:rsidRPr="003B0D98" w:rsidRDefault="00A225CB" w:rsidP="00F10A3A">
      <w:pPr>
        <w:pStyle w:val="SingleTxtG"/>
        <w:keepNext/>
        <w:rPr>
          <w:lang w:val="fr-FR" w:eastAsia="ar-SA"/>
        </w:rPr>
      </w:pPr>
      <w:r w:rsidRPr="003B0D98">
        <w:rPr>
          <w:i/>
          <w:lang w:val="fr-FR" w:eastAsia="ar-SA"/>
        </w:rPr>
        <w:t>Paragraph</w:t>
      </w:r>
      <w:r>
        <w:rPr>
          <w:i/>
          <w:lang w:val="fr-FR" w:eastAsia="ar-SA"/>
        </w:rPr>
        <w:t>e 4.1</w:t>
      </w:r>
      <w:r w:rsidRPr="00C37A19">
        <w:rPr>
          <w:lang w:val="fr-FR" w:eastAsia="ar-SA"/>
        </w:rPr>
        <w:t xml:space="preserve">, </w:t>
      </w:r>
      <w:r>
        <w:rPr>
          <w:lang w:val="fr-FR" w:eastAsia="ar-SA"/>
        </w:rPr>
        <w:t>modifier comme suit </w:t>
      </w:r>
      <w:r w:rsidRPr="003B0D98">
        <w:rPr>
          <w:lang w:val="fr-FR" w:eastAsia="ar-SA"/>
        </w:rPr>
        <w:t>: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4.1</w:t>
      </w:r>
      <w:r w:rsidRPr="003B0D98">
        <w:rPr>
          <w:lang w:val="fr-FR" w:eastAsia="ar-SA"/>
        </w:rPr>
        <w:tab/>
      </w:r>
      <w:r w:rsidRPr="00EF1026">
        <w:t>Lorsque le type de véhicule présenté à l</w:t>
      </w:r>
      <w:r>
        <w:t>’</w:t>
      </w:r>
      <w:r w:rsidRPr="00EF1026">
        <w:t>homologation en application du présent Règlement satisfait aux prescriptions dudit Règlement en ce qui concerne l</w:t>
      </w:r>
      <w:r>
        <w:t>’</w:t>
      </w:r>
      <w:r w:rsidRPr="00EF1026">
        <w:t xml:space="preserve">appareil indicateur de vitesse </w:t>
      </w:r>
      <w:r w:rsidRPr="00EF1026">
        <w:rPr>
          <w:iCs/>
        </w:rPr>
        <w:t>et le compteur kilométrique,</w:t>
      </w:r>
      <w:r w:rsidRPr="00EF1026">
        <w:t xml:space="preserve"> y compris leur installation, l</w:t>
      </w:r>
      <w:r>
        <w:t>’</w:t>
      </w:r>
      <w:r w:rsidRPr="00EF1026">
        <w:t>homologation pour ce type de véhicule est accordée. ».</w:t>
      </w:r>
    </w:p>
    <w:p w:rsidR="00A225CB" w:rsidRPr="003B0D98" w:rsidRDefault="00A225CB" w:rsidP="00F10A3A">
      <w:pPr>
        <w:pStyle w:val="SingleTxtG"/>
        <w:keepNext/>
        <w:rPr>
          <w:lang w:val="fr-FR" w:eastAsia="ar-SA"/>
        </w:rPr>
      </w:pPr>
      <w:r>
        <w:rPr>
          <w:i/>
          <w:lang w:val="fr-FR" w:eastAsia="ar-SA"/>
        </w:rPr>
        <w:t>Ajouter un nouveau paragraphe 5.1</w:t>
      </w:r>
      <w:r w:rsidRPr="00C37A19">
        <w:rPr>
          <w:lang w:val="fr-FR" w:eastAsia="ar-SA"/>
        </w:rPr>
        <w:t xml:space="preserve">, </w:t>
      </w:r>
      <w:r>
        <w:rPr>
          <w:lang w:val="fr-FR" w:eastAsia="ar-SA"/>
        </w:rPr>
        <w:t>ainsi conçu </w:t>
      </w:r>
      <w:r w:rsidRPr="003B0D98">
        <w:rPr>
          <w:lang w:val="fr-FR" w:eastAsia="ar-SA"/>
        </w:rPr>
        <w:t>: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5.1</w:t>
      </w:r>
      <w:r w:rsidRPr="003B0D98">
        <w:rPr>
          <w:lang w:val="fr-FR" w:eastAsia="ar-SA"/>
        </w:rPr>
        <w:tab/>
      </w:r>
      <w:r w:rsidRPr="00EF1026">
        <w:t>Un indicateur de vitesse et un compteur kilométrique conformes aux prescriptions du présent Règlement doivent être installés à bord du véhicule à homologuer. ».</w:t>
      </w:r>
    </w:p>
    <w:p w:rsidR="00A225CB" w:rsidRPr="003B0D98" w:rsidRDefault="00A225CB" w:rsidP="00C37A19">
      <w:pPr>
        <w:pStyle w:val="SingleTxtG"/>
        <w:rPr>
          <w:lang w:val="fr-FR" w:eastAsia="ar-SA"/>
        </w:rPr>
      </w:pPr>
      <w:r>
        <w:rPr>
          <w:i/>
          <w:lang w:val="fr-FR" w:eastAsia="ar-SA"/>
        </w:rPr>
        <w:t>Les p</w:t>
      </w:r>
      <w:r w:rsidRPr="003B0D98">
        <w:rPr>
          <w:i/>
          <w:lang w:val="fr-FR" w:eastAsia="ar-SA"/>
        </w:rPr>
        <w:t>aragraph</w:t>
      </w:r>
      <w:r>
        <w:rPr>
          <w:i/>
          <w:lang w:val="fr-FR" w:eastAsia="ar-SA"/>
        </w:rPr>
        <w:t>es 5.1 à 5.3</w:t>
      </w:r>
      <w:r w:rsidRPr="003B0D98">
        <w:rPr>
          <w:i/>
          <w:lang w:val="fr-FR" w:eastAsia="ar-SA"/>
        </w:rPr>
        <w:t xml:space="preserve"> </w:t>
      </w:r>
      <w:r>
        <w:rPr>
          <w:lang w:val="fr-FR" w:eastAsia="ar-SA"/>
        </w:rPr>
        <w:t>deviennent les paragraphes 5.2 à</w:t>
      </w:r>
      <w:r w:rsidRPr="003B0D98">
        <w:rPr>
          <w:lang w:val="fr-FR" w:eastAsia="ar-SA"/>
        </w:rPr>
        <w:t xml:space="preserve"> 5.4.</w:t>
      </w:r>
    </w:p>
    <w:p w:rsidR="00A225CB" w:rsidRPr="003B0D98" w:rsidRDefault="00A225CB" w:rsidP="00F10A3A">
      <w:pPr>
        <w:pStyle w:val="SingleTxtG"/>
        <w:keepNext/>
        <w:rPr>
          <w:i/>
          <w:lang w:val="fr-FR" w:eastAsia="ar-SA"/>
        </w:rPr>
      </w:pPr>
      <w:r>
        <w:rPr>
          <w:i/>
          <w:lang w:val="fr-FR" w:eastAsia="ar-SA"/>
        </w:rPr>
        <w:t>Ajouter les nouveaux paragraphes 5.5</w:t>
      </w:r>
      <w:r w:rsidRPr="003B0D98">
        <w:rPr>
          <w:i/>
          <w:lang w:val="fr-FR" w:eastAsia="ar-SA"/>
        </w:rPr>
        <w:t xml:space="preserve"> </w:t>
      </w:r>
      <w:r>
        <w:rPr>
          <w:i/>
          <w:lang w:val="fr-FR" w:eastAsia="ar-SA"/>
        </w:rPr>
        <w:t>et 5.5.1</w:t>
      </w:r>
      <w:r w:rsidRPr="00C37A19">
        <w:rPr>
          <w:lang w:val="fr-FR" w:eastAsia="ar-SA"/>
        </w:rPr>
        <w:t xml:space="preserve">, </w:t>
      </w:r>
      <w:r>
        <w:rPr>
          <w:lang w:val="fr-FR" w:eastAsia="ar-SA"/>
        </w:rPr>
        <w:t>ainsi conçus </w:t>
      </w:r>
      <w:r w:rsidRPr="003B0D98">
        <w:rPr>
          <w:lang w:val="fr-FR" w:eastAsia="ar-SA"/>
        </w:rPr>
        <w:t>: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5.5</w:t>
      </w:r>
      <w:r w:rsidRPr="003B0D98">
        <w:rPr>
          <w:lang w:val="fr-FR" w:eastAsia="ar-SA"/>
        </w:rPr>
        <w:tab/>
      </w:r>
      <w:r w:rsidRPr="00EF1026">
        <w:t>L</w:t>
      </w:r>
      <w:r>
        <w:t>’</w:t>
      </w:r>
      <w:r w:rsidRPr="00EF1026">
        <w:t>afficheur du compteur kilométrique doit être visible ou accessible pour le conducteur. Il doit pouvoir afficher un nombre entier à six chiffres au moins po</w:t>
      </w:r>
      <w:r>
        <w:t>ur les véhicules des catégories </w:t>
      </w:r>
      <w:r w:rsidRPr="00EF1026">
        <w:t>M et N, et à cinq chiffres au moins pour les véhicules de la catégorie</w:t>
      </w:r>
      <w:r>
        <w:t> </w:t>
      </w:r>
      <w:r w:rsidRPr="00EF1026">
        <w:t>L. Les autorités d</w:t>
      </w:r>
      <w:r>
        <w:t>’</w:t>
      </w:r>
      <w:r w:rsidRPr="00EF1026">
        <w:t>homologation de type peuvent néanmoins accepter un nombre entier à cinq chiffres pour les véhicules des catégories M et N aussi, pourvu que l</w:t>
      </w:r>
      <w:r>
        <w:t>’</w:t>
      </w:r>
      <w:r w:rsidRPr="00EF1026">
        <w:t>usage prévu pour le véhicule justifie ce choix.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5.5.1</w:t>
      </w:r>
      <w:r w:rsidRPr="003B0D98">
        <w:rPr>
          <w:lang w:val="fr-FR" w:eastAsia="ar-SA"/>
        </w:rPr>
        <w:tab/>
      </w:r>
      <w:r w:rsidRPr="00EF1026">
        <w:t>Sur les véhicules destinés à être vendus dans des pays utilisant les unités de mesure anglo-saxonnes, le compteur kilométrique doit être gradué en miles. ».</w:t>
      </w:r>
    </w:p>
    <w:p w:rsidR="00A225CB" w:rsidRPr="003B0D98" w:rsidRDefault="00A225CB" w:rsidP="00C37A19">
      <w:pPr>
        <w:pStyle w:val="SingleTxtG"/>
        <w:keepNext/>
        <w:rPr>
          <w:lang w:val="fr-FR" w:eastAsia="ar-SA"/>
        </w:rPr>
      </w:pPr>
      <w:r>
        <w:rPr>
          <w:i/>
          <w:lang w:val="fr-FR" w:eastAsia="ar-SA"/>
        </w:rPr>
        <w:t>Ajouter les nouveaux paragraphes 10 à 10.4</w:t>
      </w:r>
      <w:r w:rsidRPr="008A583F">
        <w:rPr>
          <w:lang w:val="fr-FR" w:eastAsia="ar-SA"/>
        </w:rPr>
        <w:t xml:space="preserve">, </w:t>
      </w:r>
      <w:r>
        <w:rPr>
          <w:lang w:val="fr-FR" w:eastAsia="ar-SA"/>
        </w:rPr>
        <w:t>ainsi conçus </w:t>
      </w:r>
      <w:r w:rsidRPr="003B0D98">
        <w:rPr>
          <w:lang w:val="fr-FR" w:eastAsia="ar-SA"/>
        </w:rPr>
        <w:t>:</w:t>
      </w:r>
    </w:p>
    <w:p w:rsidR="00A225CB" w:rsidRPr="003B0D98" w:rsidRDefault="00A225CB" w:rsidP="00F06A8D">
      <w:pPr>
        <w:pStyle w:val="HChG"/>
        <w:ind w:left="2268"/>
        <w:rPr>
          <w:lang w:val="fr-FR" w:eastAsia="ar-SA"/>
        </w:rPr>
      </w:pPr>
      <w:r>
        <w:rPr>
          <w:lang w:val="fr-FR" w:eastAsia="ar-SA"/>
        </w:rPr>
        <w:t>« </w:t>
      </w:r>
      <w:r w:rsidRPr="003B0D98">
        <w:rPr>
          <w:lang w:val="fr-FR" w:eastAsia="ar-SA"/>
        </w:rPr>
        <w:t>10.</w:t>
      </w:r>
      <w:r w:rsidRPr="003B0D98">
        <w:rPr>
          <w:lang w:val="fr-FR" w:eastAsia="ar-SA"/>
        </w:rPr>
        <w:tab/>
      </w:r>
      <w:r w:rsidRPr="003B0D98">
        <w:rPr>
          <w:lang w:val="fr-FR" w:eastAsia="ar-SA"/>
        </w:rPr>
        <w:tab/>
      </w:r>
      <w:r>
        <w:rPr>
          <w:lang w:val="fr-FR" w:eastAsia="ar-SA"/>
        </w:rPr>
        <w:t>Dispositions transitoires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 w:rsidRPr="003B0D98">
        <w:rPr>
          <w:lang w:val="fr-FR" w:eastAsia="ar-SA"/>
        </w:rPr>
        <w:t>10.1</w:t>
      </w:r>
      <w:r w:rsidRPr="003B0D98">
        <w:rPr>
          <w:lang w:val="fr-FR" w:eastAsia="ar-SA"/>
        </w:rPr>
        <w:tab/>
      </w:r>
      <w:r w:rsidRPr="00EF1026">
        <w:t>À compter de la date officielle d</w:t>
      </w:r>
      <w:r>
        <w:t>’</w:t>
      </w:r>
      <w:r w:rsidRPr="00EF1026">
        <w:t>entrée en vigueur de la série 01 d</w:t>
      </w:r>
      <w:r>
        <w:t>’</w:t>
      </w:r>
      <w:r w:rsidRPr="00EF1026">
        <w:t>amendements au présent Règlement, aucune Partie contractante appliquant le présent Règlement ne pourra refuser d</w:t>
      </w:r>
      <w:r>
        <w:t>’</w:t>
      </w:r>
      <w:r w:rsidRPr="00EF1026">
        <w:t>accorder ou refuser d</w:t>
      </w:r>
      <w:r>
        <w:t>’</w:t>
      </w:r>
      <w:r w:rsidRPr="00EF1026">
        <w:t>accepter des homologations de type accordées au titre du présent Règlement modifié par la série</w:t>
      </w:r>
      <w:r w:rsidR="00C37A19">
        <w:t> </w:t>
      </w:r>
      <w:r w:rsidRPr="00EF1026">
        <w:t>01 d</w:t>
      </w:r>
      <w:r>
        <w:t>’</w:t>
      </w:r>
      <w:r w:rsidRPr="00EF1026">
        <w:t>amendements</w:t>
      </w:r>
      <w:r>
        <w:t>.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10.2</w:t>
      </w:r>
      <w:r w:rsidRPr="003B0D98">
        <w:rPr>
          <w:lang w:val="fr-FR" w:eastAsia="ar-SA"/>
        </w:rPr>
        <w:tab/>
      </w:r>
      <w:r w:rsidRPr="00EF1026">
        <w:t>À compter du 1</w:t>
      </w:r>
      <w:r w:rsidRPr="00EF1026">
        <w:rPr>
          <w:vertAlign w:val="superscript"/>
        </w:rPr>
        <w:t>er</w:t>
      </w:r>
      <w:r>
        <w:t> septembre </w:t>
      </w:r>
      <w:r w:rsidRPr="00EF1026">
        <w:t>2017, les Parties contractantes appliquant le présent Règlement ne devront accorder de nouvelles homologations de type que si le type du véhicule à homologuer satisfait aux prescriptions du présent Règlement modifié par la série</w:t>
      </w:r>
      <w:r w:rsidR="00C37A19">
        <w:t> </w:t>
      </w:r>
      <w:r w:rsidRPr="00EF1026">
        <w:t>01 d</w:t>
      </w:r>
      <w:r>
        <w:t>’</w:t>
      </w:r>
      <w:r w:rsidRPr="00EF1026">
        <w:t>amendements</w:t>
      </w:r>
      <w:r>
        <w:t>.</w:t>
      </w:r>
    </w:p>
    <w:p w:rsidR="00A225CB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10.3</w:t>
      </w:r>
      <w:r w:rsidRPr="003B0D98">
        <w:rPr>
          <w:lang w:val="fr-FR" w:eastAsia="ar-SA"/>
        </w:rPr>
        <w:tab/>
      </w:r>
      <w:r w:rsidRPr="00EF1026">
        <w:t>Les Parties contractantes appliquant le présent Règlement ne doivent pas refuser d</w:t>
      </w:r>
      <w:r>
        <w:t>’</w:t>
      </w:r>
      <w:r w:rsidRPr="00EF1026">
        <w:t>accorder des extensions d</w:t>
      </w:r>
      <w:r>
        <w:t>’</w:t>
      </w:r>
      <w:r w:rsidRPr="00EF1026">
        <w:t>homologations de type pour des types existants ayant été homologués au titre d</w:t>
      </w:r>
      <w:r>
        <w:t>’</w:t>
      </w:r>
      <w:r w:rsidRPr="00EF1026">
        <w:t>une précédente série d</w:t>
      </w:r>
      <w:r>
        <w:t>’</w:t>
      </w:r>
      <w:r w:rsidRPr="00EF1026">
        <w:t>amendements au présent Règlement.</w:t>
      </w:r>
    </w:p>
    <w:p w:rsidR="00A225CB" w:rsidRPr="003B0D98" w:rsidRDefault="00A225CB" w:rsidP="002221FD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10.4</w:t>
      </w:r>
      <w:r w:rsidRPr="003B0D98">
        <w:rPr>
          <w:lang w:val="fr-FR" w:eastAsia="ar-SA"/>
        </w:rPr>
        <w:tab/>
      </w:r>
      <w:r w:rsidRPr="00EF1026">
        <w:t>À compter de la date d</w:t>
      </w:r>
      <w:r>
        <w:t>’</w:t>
      </w:r>
      <w:r w:rsidRPr="00EF1026">
        <w:t>entrée en vigueur de la série</w:t>
      </w:r>
      <w:r>
        <w:t> </w:t>
      </w:r>
      <w:r w:rsidRPr="00EF1026">
        <w:t>01 d</w:t>
      </w:r>
      <w:r>
        <w:t>’</w:t>
      </w:r>
      <w:r w:rsidRPr="00EF1026">
        <w:t>amendements au présent Règlement, les Parties contractantes appliquant le présent Règlement devront continuer d</w:t>
      </w:r>
      <w:r>
        <w:t>’</w:t>
      </w:r>
      <w:r w:rsidRPr="00EF1026">
        <w:t>accepter les homologations de type accordées au titre d</w:t>
      </w:r>
      <w:r>
        <w:t>’</w:t>
      </w:r>
      <w:r w:rsidRPr="00EF1026">
        <w:t>une précédente série d</w:t>
      </w:r>
      <w:r>
        <w:t>’</w:t>
      </w:r>
      <w:r w:rsidRPr="00EF1026">
        <w:t>amendements au présent Règlement. ».</w:t>
      </w:r>
    </w:p>
    <w:p w:rsidR="00A225CB" w:rsidRPr="003B0D98" w:rsidRDefault="00A225CB" w:rsidP="00C37A19">
      <w:pPr>
        <w:pStyle w:val="SingleTxtG"/>
        <w:keepNext/>
        <w:rPr>
          <w:lang w:val="fr-FR" w:eastAsia="ar-SA"/>
        </w:rPr>
      </w:pPr>
      <w:r w:rsidRPr="003B0D98">
        <w:rPr>
          <w:i/>
          <w:lang w:val="fr-FR" w:eastAsia="ar-SA"/>
        </w:rPr>
        <w:t xml:space="preserve">Annexes 1 </w:t>
      </w:r>
      <w:r>
        <w:rPr>
          <w:i/>
          <w:lang w:val="fr-FR" w:eastAsia="ar-SA"/>
        </w:rPr>
        <w:t>et</w:t>
      </w:r>
      <w:r w:rsidRPr="003B0D98">
        <w:rPr>
          <w:i/>
          <w:lang w:val="fr-FR" w:eastAsia="ar-SA"/>
        </w:rPr>
        <w:t xml:space="preserve"> 2</w:t>
      </w:r>
      <w:r w:rsidRPr="008A583F">
        <w:rPr>
          <w:lang w:val="fr-FR" w:eastAsia="ar-SA"/>
        </w:rPr>
        <w:t xml:space="preserve">, </w:t>
      </w:r>
      <w:r w:rsidRPr="00C00538">
        <w:rPr>
          <w:lang w:val="fr-FR" w:eastAsia="ar-SA"/>
        </w:rPr>
        <w:t>modifier comme suit</w:t>
      </w:r>
      <w:r>
        <w:rPr>
          <w:i/>
          <w:lang w:val="fr-FR" w:eastAsia="ar-SA"/>
        </w:rPr>
        <w:t> </w:t>
      </w:r>
      <w:r w:rsidRPr="003B0D98">
        <w:rPr>
          <w:lang w:val="fr-FR" w:eastAsia="ar-SA"/>
        </w:rPr>
        <w:t>:</w:t>
      </w:r>
    </w:p>
    <w:p w:rsidR="00A225CB" w:rsidRPr="003B0D98" w:rsidRDefault="00A225CB" w:rsidP="00B44523">
      <w:pPr>
        <w:pStyle w:val="HChG"/>
        <w:rPr>
          <w:lang w:val="fr-FR"/>
        </w:rPr>
      </w:pPr>
      <w:r>
        <w:rPr>
          <w:lang w:val="fr-FR"/>
        </w:rPr>
        <w:t>« </w:t>
      </w:r>
      <w:r w:rsidRPr="003B0D98">
        <w:rPr>
          <w:lang w:val="fr-FR"/>
        </w:rPr>
        <w:t>Annex</w:t>
      </w:r>
      <w:r>
        <w:rPr>
          <w:lang w:val="fr-FR"/>
        </w:rPr>
        <w:t>e </w:t>
      </w:r>
      <w:r w:rsidRPr="003B0D98">
        <w:rPr>
          <w:lang w:val="fr-FR"/>
        </w:rPr>
        <w:t>1</w:t>
      </w:r>
    </w:p>
    <w:p w:rsidR="00A225CB" w:rsidRDefault="00A225CB" w:rsidP="00B44523">
      <w:pPr>
        <w:pStyle w:val="HChG"/>
        <w:rPr>
          <w:lang w:val="fr-FR"/>
        </w:rPr>
      </w:pPr>
      <w:bookmarkStart w:id="1" w:name="_Toc405992136"/>
      <w:r w:rsidRPr="003B0D98">
        <w:rPr>
          <w:lang w:val="fr-FR"/>
        </w:rPr>
        <w:tab/>
      </w:r>
      <w:r w:rsidRPr="003B0D98">
        <w:rPr>
          <w:lang w:val="fr-FR"/>
        </w:rPr>
        <w:tab/>
        <w:t>Communication</w:t>
      </w:r>
      <w:bookmarkEnd w:id="1"/>
    </w:p>
    <w:p w:rsidR="00B44523" w:rsidRPr="00D96394" w:rsidRDefault="00B44523" w:rsidP="00B44523">
      <w:pPr>
        <w:pStyle w:val="SingleTxtG"/>
      </w:pPr>
      <w:r w:rsidRPr="00D96394">
        <w:t>(format maximal</w:t>
      </w:r>
      <w:r w:rsidR="009809A4">
        <w:t> </w:t>
      </w:r>
      <w:r w:rsidRPr="00D96394">
        <w:t>: A4 (210 x 297 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B44523" w:rsidRPr="00D96394" w:rsidTr="00CA6A61">
        <w:tc>
          <w:tcPr>
            <w:tcW w:w="3402" w:type="dxa"/>
          </w:tcPr>
          <w:bookmarkStart w:id="2" w:name="_MON_1420453160"/>
          <w:bookmarkEnd w:id="2"/>
          <w:bookmarkStart w:id="3" w:name="_MON_1420453756"/>
          <w:bookmarkEnd w:id="3"/>
          <w:p w:rsidR="00B44523" w:rsidRPr="00D96394" w:rsidRDefault="00B44523" w:rsidP="00CA6A61">
            <w:pPr>
              <w:pStyle w:val="SingleTxtG"/>
              <w:spacing w:after="0"/>
              <w:ind w:left="0"/>
            </w:pPr>
            <w:r w:rsidRPr="00D96394">
              <w:object w:dxaOrig="1684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Word.Picture.8" ShapeID="_x0000_i1025" DrawAspect="Content" ObjectID="_1545145886" r:id="rId10"/>
              </w:object>
            </w:r>
            <w:r w:rsidRPr="00B44523">
              <w:rPr>
                <w:rStyle w:val="FootnoteReference"/>
                <w:color w:val="FFFFFF" w:themeColor="background1"/>
              </w:rPr>
              <w:footnoteReference w:id="2"/>
            </w:r>
          </w:p>
        </w:tc>
        <w:tc>
          <w:tcPr>
            <w:tcW w:w="3969" w:type="dxa"/>
          </w:tcPr>
          <w:p w:rsidR="00B44523" w:rsidRPr="00D96394" w:rsidRDefault="00B44523" w:rsidP="00CA6A61">
            <w:pPr>
              <w:ind w:left="1701" w:hanging="1701"/>
            </w:pPr>
            <w:r w:rsidRPr="00D96394">
              <w:t>Émanant de</w:t>
            </w:r>
            <w:r w:rsidR="009809A4">
              <w:t> </w:t>
            </w:r>
            <w:r w:rsidRPr="00D96394">
              <w:t>:</w:t>
            </w:r>
            <w:r w:rsidRPr="00D96394">
              <w:tab/>
              <w:t>Nom de l’administration</w:t>
            </w:r>
            <w:r w:rsidR="009809A4">
              <w:t> </w:t>
            </w:r>
            <w:r w:rsidRPr="00D96394">
              <w:t>:</w:t>
            </w:r>
          </w:p>
          <w:p w:rsidR="00B44523" w:rsidRPr="00D96394" w:rsidRDefault="00B44523" w:rsidP="00CA6A61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B44523" w:rsidRPr="00D96394" w:rsidRDefault="00B44523" w:rsidP="00CA6A61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B44523" w:rsidRPr="00D96394" w:rsidRDefault="00B44523" w:rsidP="00CA6A61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</w:tc>
      </w:tr>
    </w:tbl>
    <w:p w:rsidR="00B44523" w:rsidRPr="00D96394" w:rsidRDefault="00B44523" w:rsidP="00B44523">
      <w:pPr>
        <w:pStyle w:val="SingleTxtG"/>
        <w:spacing w:before="120"/>
        <w:ind w:left="2552" w:hanging="1418"/>
        <w:jc w:val="left"/>
      </w:pPr>
      <w:r w:rsidRPr="00D96394">
        <w:t>concernant</w:t>
      </w:r>
      <w:r w:rsidRPr="00D96394">
        <w:rPr>
          <w:rStyle w:val="FootnoteReference"/>
        </w:rPr>
        <w:footnoteReference w:id="3"/>
      </w:r>
      <w:r w:rsidR="00156F5E">
        <w:t> </w:t>
      </w:r>
      <w:r w:rsidRPr="00D96394">
        <w:t>:</w:t>
      </w:r>
      <w:r w:rsidRPr="00D96394">
        <w:tab/>
        <w:t>Délivrance d’une homologation</w:t>
      </w:r>
      <w:r w:rsidRPr="00D96394">
        <w:br/>
        <w:t>Extension d’homologation</w:t>
      </w:r>
      <w:r w:rsidRPr="00D96394">
        <w:br/>
      </w:r>
      <w:r w:rsidRPr="00B44523">
        <w:t>Refus</w:t>
      </w:r>
      <w:r w:rsidRPr="00D96394">
        <w:t xml:space="preserve"> d’homologation</w:t>
      </w:r>
      <w:r w:rsidRPr="00D96394">
        <w:br/>
        <w:t>Retrait d’homologation</w:t>
      </w:r>
      <w:r w:rsidRPr="00D96394">
        <w:br/>
        <w:t>Arrêt définitif de la production</w:t>
      </w:r>
    </w:p>
    <w:p w:rsidR="00B44523" w:rsidRPr="00D96394" w:rsidRDefault="00C1194D" w:rsidP="00C1194D">
      <w:pPr>
        <w:pStyle w:val="SingleTxtG"/>
      </w:pPr>
      <w:r w:rsidRPr="00EF1026">
        <w:t>d</w:t>
      </w:r>
      <w:r>
        <w:t>’</w:t>
      </w:r>
      <w:r w:rsidRPr="00EF1026">
        <w:t>un type de véhicule en ce qui concerne l</w:t>
      </w:r>
      <w:r>
        <w:t>’</w:t>
      </w:r>
      <w:r w:rsidRPr="00EF1026">
        <w:t xml:space="preserve">appareil indicateur de vitesse et le compteur </w:t>
      </w:r>
      <w:r w:rsidRPr="00C1194D">
        <w:t>kilométrique</w:t>
      </w:r>
      <w:r w:rsidRPr="00EF1026">
        <w:t>, y compris leur installation en application du Règlement n</w:t>
      </w:r>
      <w:r w:rsidRPr="00EF1026">
        <w:rPr>
          <w:vertAlign w:val="superscript"/>
        </w:rPr>
        <w:t>o</w:t>
      </w:r>
      <w:r w:rsidRPr="00EF1026">
        <w:t> </w:t>
      </w:r>
      <w:r>
        <w:t>39</w:t>
      </w:r>
      <w:r w:rsidR="00B44523" w:rsidRPr="00D96394">
        <w:t>.</w:t>
      </w:r>
    </w:p>
    <w:p w:rsidR="00B44523" w:rsidRPr="00D96394" w:rsidRDefault="00B44523" w:rsidP="00B44523">
      <w:pPr>
        <w:pStyle w:val="SingleTxtG"/>
        <w:tabs>
          <w:tab w:val="right" w:leader="dot" w:pos="4253"/>
          <w:tab w:val="left" w:pos="4536"/>
          <w:tab w:val="right" w:leader="dot" w:pos="8505"/>
        </w:tabs>
        <w:jc w:val="left"/>
      </w:pPr>
      <w:r w:rsidRPr="00D96394">
        <w:t>N</w:t>
      </w:r>
      <w:r w:rsidRPr="00D96394">
        <w:rPr>
          <w:vertAlign w:val="superscript"/>
        </w:rPr>
        <w:t>o</w:t>
      </w:r>
      <w:r w:rsidRPr="00D96394">
        <w:t xml:space="preserve"> d’homologation</w:t>
      </w:r>
      <w:r w:rsidRPr="00D96394">
        <w:tab/>
      </w:r>
      <w:r w:rsidRPr="00D96394">
        <w:tab/>
        <w:t>N</w:t>
      </w:r>
      <w:r w:rsidRPr="00D96394">
        <w:rPr>
          <w:vertAlign w:val="superscript"/>
        </w:rPr>
        <w:t>o</w:t>
      </w:r>
      <w:r w:rsidRPr="00D96394">
        <w:t xml:space="preserve"> d’extension</w:t>
      </w:r>
      <w:r w:rsidRPr="00D96394"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1.</w:t>
      </w:r>
      <w:r w:rsidRPr="003B0D98">
        <w:rPr>
          <w:lang w:val="fr-FR"/>
        </w:rPr>
        <w:tab/>
      </w:r>
      <w:r>
        <w:rPr>
          <w:lang w:val="fr-FR"/>
        </w:rPr>
        <w:t>Marque de fabrique ou de commerce du véhicule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2.</w:t>
      </w:r>
      <w:r w:rsidRPr="003B0D98">
        <w:rPr>
          <w:lang w:val="fr-FR"/>
        </w:rPr>
        <w:tab/>
      </w:r>
      <w:r>
        <w:rPr>
          <w:lang w:val="fr-FR"/>
        </w:rPr>
        <w:t>Type du véhicule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3.</w:t>
      </w:r>
      <w:r w:rsidRPr="003B0D98">
        <w:rPr>
          <w:lang w:val="fr-FR"/>
        </w:rPr>
        <w:tab/>
      </w:r>
      <w:r>
        <w:rPr>
          <w:lang w:val="fr-FR"/>
        </w:rPr>
        <w:t>Nom et adresse du constructeur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12FEF" w:rsidRPr="00A12FEF" w:rsidRDefault="00A12FEF" w:rsidP="00A12FEF">
      <w:pPr>
        <w:pStyle w:val="SingleTxtG"/>
        <w:tabs>
          <w:tab w:val="left" w:pos="1701"/>
          <w:tab w:val="right" w:leader="dot" w:pos="8505"/>
        </w:tabs>
      </w:pPr>
      <w:r>
        <w:tab/>
      </w:r>
      <w: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4.</w:t>
      </w:r>
      <w:r w:rsidRPr="003B0D98">
        <w:rPr>
          <w:lang w:val="fr-FR"/>
        </w:rPr>
        <w:tab/>
      </w:r>
      <w:r>
        <w:rPr>
          <w:lang w:val="fr-FR"/>
        </w:rPr>
        <w:t>Le cas échéant, nom et adresse du représentant du constructeur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  <w:r w:rsidRPr="003B0D98">
        <w:rPr>
          <w:lang w:val="fr-FR"/>
        </w:rPr>
        <w:tab/>
      </w:r>
    </w:p>
    <w:p w:rsidR="00A225CB" w:rsidRPr="003B0D98" w:rsidRDefault="00A12FEF" w:rsidP="00A12FEF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ab/>
      </w:r>
      <w:r w:rsidR="006501F5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5.</w:t>
      </w:r>
      <w:r w:rsidRPr="003B0D98">
        <w:rPr>
          <w:lang w:val="fr-FR"/>
        </w:rPr>
        <w:tab/>
        <w:t xml:space="preserve">Description </w:t>
      </w:r>
      <w:r>
        <w:rPr>
          <w:lang w:val="fr-FR"/>
        </w:rPr>
        <w:t>de l’appareil indicateur de vitesse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A12FEF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 w:rsidRPr="003B0D98">
        <w:rPr>
          <w:lang w:val="fr-FR"/>
        </w:rPr>
        <w:tab/>
      </w:r>
      <w:r w:rsidRPr="003B0D98">
        <w:rPr>
          <w:lang w:val="fr-FR"/>
        </w:rPr>
        <w:tab/>
      </w:r>
    </w:p>
    <w:p w:rsidR="00A225CB" w:rsidRPr="003B0D98" w:rsidRDefault="00C417A4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5.1</w:t>
      </w:r>
      <w:r w:rsidR="00A225CB" w:rsidRPr="003B0D98">
        <w:rPr>
          <w:lang w:val="fr-FR"/>
        </w:rPr>
        <w:tab/>
      </w:r>
      <w:r w:rsidR="00A225CB">
        <w:rPr>
          <w:lang w:val="fr-FR"/>
        </w:rPr>
        <w:t>Caractéristiques des pneumatiques de monte normale </w:t>
      </w:r>
      <w:r w:rsidR="00A225CB" w:rsidRPr="003B0D98">
        <w:rPr>
          <w:lang w:val="fr-FR"/>
        </w:rPr>
        <w:t xml:space="preserve">: </w:t>
      </w:r>
      <w:r w:rsidR="00A225CB" w:rsidRPr="003B0D98">
        <w:rPr>
          <w:lang w:val="fr-FR"/>
        </w:rPr>
        <w:tab/>
      </w:r>
    </w:p>
    <w:p w:rsidR="00A225CB" w:rsidRPr="003B0D98" w:rsidRDefault="00C417A4" w:rsidP="00480ACB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5.2</w:t>
      </w:r>
      <w:r w:rsidR="00A225CB" w:rsidRPr="003B0D98">
        <w:rPr>
          <w:lang w:val="fr-FR"/>
        </w:rPr>
        <w:tab/>
      </w:r>
      <w:r w:rsidR="00A225CB">
        <w:rPr>
          <w:lang w:val="fr-FR"/>
        </w:rPr>
        <w:t>Caractéristiques des pneus montés pendant l’essai </w:t>
      </w:r>
      <w:r w:rsidR="00A225CB" w:rsidRPr="003B0D98">
        <w:rPr>
          <w:lang w:val="fr-FR"/>
        </w:rPr>
        <w:t xml:space="preserve">: </w:t>
      </w:r>
      <w:r w:rsidR="00A225CB" w:rsidRPr="003B0D98">
        <w:rPr>
          <w:lang w:val="fr-FR"/>
        </w:rPr>
        <w:tab/>
      </w:r>
    </w:p>
    <w:p w:rsidR="00A225CB" w:rsidRPr="003B0D98" w:rsidRDefault="00C417A4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5.3</w:t>
      </w:r>
      <w:r w:rsidR="00A225CB" w:rsidRPr="003B0D98">
        <w:rPr>
          <w:lang w:val="fr-FR"/>
        </w:rPr>
        <w:tab/>
      </w:r>
      <w:r w:rsidR="00A225CB" w:rsidRPr="00EF1026">
        <w:t>Ratio d</w:t>
      </w:r>
      <w:r w:rsidR="00A225CB">
        <w:t>’</w:t>
      </w:r>
      <w:r w:rsidR="00A225CB" w:rsidRPr="00EF1026">
        <w:t>entraînement de l</w:t>
      </w:r>
      <w:r w:rsidR="00A225CB">
        <w:t>’</w:t>
      </w:r>
      <w:r w:rsidR="00A225CB" w:rsidRPr="00EF1026">
        <w:t>appareil indicateur de vitesse </w:t>
      </w:r>
      <w:r w:rsidR="00A225CB" w:rsidRPr="003B0D98">
        <w:rPr>
          <w:lang w:val="fr-FR"/>
        </w:rPr>
        <w:t xml:space="preserve">: </w:t>
      </w:r>
      <w:r w:rsidR="00A225CB" w:rsidRPr="003B0D98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6.</w:t>
      </w:r>
      <w:r w:rsidRPr="003B0D98">
        <w:rPr>
          <w:lang w:val="fr-FR"/>
        </w:rPr>
        <w:tab/>
      </w:r>
      <w:r w:rsidRPr="00EF1026">
        <w:t>Description de l</w:t>
      </w:r>
      <w:r>
        <w:t>’</w:t>
      </w:r>
      <w:r w:rsidRPr="00EF1026">
        <w:t>équipement du compteur kilométrique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7.</w:t>
      </w:r>
      <w:r w:rsidRPr="003B0D98">
        <w:rPr>
          <w:lang w:val="fr-FR"/>
        </w:rPr>
        <w:tab/>
      </w:r>
      <w:r w:rsidRPr="00EF1026">
        <w:t>Masse du véhicule lors de l</w:t>
      </w:r>
      <w:r>
        <w:t>’</w:t>
      </w:r>
      <w:r w:rsidRPr="00EF1026">
        <w:t>essai et répartition de cette masse entre les essieux </w:t>
      </w:r>
      <w:r>
        <w:t>:</w:t>
      </w:r>
      <w:r>
        <w:rPr>
          <w:lang w:val="fr-FR"/>
        </w:rPr>
        <w:t xml:space="preserve"> </w:t>
      </w:r>
      <w:r w:rsidRPr="003B0D98">
        <w:rPr>
          <w:lang w:val="fr-FR"/>
        </w:rPr>
        <w:tab/>
      </w:r>
      <w:r w:rsidRPr="003B0D98">
        <w:rPr>
          <w:lang w:val="fr-FR"/>
        </w:rPr>
        <w:tab/>
      </w:r>
    </w:p>
    <w:p w:rsidR="00C417A4" w:rsidRPr="003B0D98" w:rsidRDefault="00A12FEF" w:rsidP="00A12FEF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ab/>
      </w:r>
      <w:r w:rsidR="00C417A4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8.</w:t>
      </w:r>
      <w:r w:rsidRPr="003B0D98">
        <w:rPr>
          <w:lang w:val="fr-FR"/>
        </w:rPr>
        <w:tab/>
        <w:t>Variant</w:t>
      </w:r>
      <w:r>
        <w:rPr>
          <w:lang w:val="fr-FR"/>
        </w:rPr>
        <w:t>e</w:t>
      </w:r>
      <w:r w:rsidRPr="003B0D98">
        <w:rPr>
          <w:lang w:val="fr-FR"/>
        </w:rPr>
        <w:t>s</w:t>
      </w:r>
      <w:r>
        <w:rPr>
          <w:lang w:val="fr-FR"/>
        </w:rPr>
        <w:t>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9.</w:t>
      </w:r>
      <w:r w:rsidRPr="003B0D98">
        <w:rPr>
          <w:lang w:val="fr-FR"/>
        </w:rPr>
        <w:tab/>
      </w:r>
      <w:r w:rsidRPr="00EF1026">
        <w:t>Véhicule présenté à l</w:t>
      </w:r>
      <w:r>
        <w:t>’</w:t>
      </w:r>
      <w:r w:rsidRPr="00EF1026">
        <w:t>homologation le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6C1352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10.</w:t>
      </w:r>
      <w:r w:rsidRPr="003B0D98">
        <w:rPr>
          <w:lang w:val="fr-FR"/>
        </w:rPr>
        <w:tab/>
      </w:r>
      <w:r w:rsidRPr="00EF1026">
        <w:t>Service technique chargé des essais d</w:t>
      </w:r>
      <w:r>
        <w:t>’</w:t>
      </w:r>
      <w:r w:rsidRPr="00EF1026">
        <w:t>homologation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A12FEF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 w:rsidRPr="003B0D98">
        <w:rPr>
          <w:lang w:val="fr-FR"/>
        </w:rPr>
        <w:tab/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11.</w:t>
      </w:r>
      <w:r w:rsidRPr="003B0D98">
        <w:rPr>
          <w:lang w:val="fr-FR"/>
        </w:rPr>
        <w:tab/>
      </w:r>
      <w:r w:rsidRPr="00EF1026">
        <w:t>Date du procès-verbal délivré par ce service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12.</w:t>
      </w:r>
      <w:r w:rsidRPr="003B0D98">
        <w:rPr>
          <w:lang w:val="fr-FR"/>
        </w:rPr>
        <w:tab/>
      </w:r>
      <w:r w:rsidRPr="00EF1026">
        <w:t>Numéro du procès-verbal délivré par ce service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13.</w:t>
      </w:r>
      <w:r w:rsidRPr="003B0D98">
        <w:rPr>
          <w:lang w:val="fr-FR"/>
        </w:rPr>
        <w:tab/>
      </w:r>
      <w:r w:rsidRPr="00EF1026">
        <w:t>L</w:t>
      </w:r>
      <w:r>
        <w:t>’</w:t>
      </w:r>
      <w:r w:rsidRPr="00EF1026">
        <w:t>homologation est accordée/</w:t>
      </w:r>
      <w:r>
        <w:t>refusée/étendue/retirée</w:t>
      </w:r>
      <w:r w:rsidRPr="005D0B0C">
        <w:rPr>
          <w:sz w:val="18"/>
          <w:szCs w:val="18"/>
          <w:vertAlign w:val="superscript"/>
        </w:rPr>
        <w:t>2</w:t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14.</w:t>
      </w:r>
      <w:r w:rsidRPr="003B0D98">
        <w:rPr>
          <w:lang w:val="fr-FR"/>
        </w:rPr>
        <w:tab/>
      </w:r>
      <w:r w:rsidRPr="00EF1026">
        <w:t>Emplacement, sur le véhicule, de la marque d</w:t>
      </w:r>
      <w:r>
        <w:t>’</w:t>
      </w:r>
      <w:r w:rsidRPr="00EF1026">
        <w:t>homologation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15.</w:t>
      </w:r>
      <w:r w:rsidRPr="003B0D98">
        <w:rPr>
          <w:lang w:val="fr-FR"/>
        </w:rPr>
        <w:tab/>
      </w:r>
      <w:r>
        <w:rPr>
          <w:lang w:val="fr-FR"/>
        </w:rPr>
        <w:t>Lieu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16.</w:t>
      </w:r>
      <w:r w:rsidRPr="003B0D98">
        <w:rPr>
          <w:lang w:val="fr-FR"/>
        </w:rPr>
        <w:tab/>
        <w:t>Date</w:t>
      </w:r>
      <w:r>
        <w:rPr>
          <w:lang w:val="fr-FR"/>
        </w:rPr>
        <w:t>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</w:r>
    </w:p>
    <w:p w:rsidR="00A225CB" w:rsidRPr="003B0D98" w:rsidRDefault="00A225CB" w:rsidP="00F3284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 w:rsidRPr="003B0D98">
        <w:rPr>
          <w:lang w:val="fr-FR"/>
        </w:rPr>
        <w:t>17.</w:t>
      </w:r>
      <w:r w:rsidRPr="003B0D98">
        <w:rPr>
          <w:lang w:val="fr-FR"/>
        </w:rPr>
        <w:tab/>
        <w:t>Signature</w:t>
      </w:r>
      <w:r>
        <w:rPr>
          <w:lang w:val="fr-FR"/>
        </w:rPr>
        <w:t> </w:t>
      </w:r>
      <w:r w:rsidRPr="003B0D98">
        <w:rPr>
          <w:lang w:val="fr-FR"/>
        </w:rPr>
        <w:t xml:space="preserve">: </w:t>
      </w:r>
      <w:r w:rsidRPr="003B0D98">
        <w:rPr>
          <w:lang w:val="fr-FR"/>
        </w:rPr>
        <w:tab/>
        <w:t>"</w:t>
      </w:r>
    </w:p>
    <w:p w:rsidR="00A225CB" w:rsidRPr="003B0D98" w:rsidRDefault="00A225CB" w:rsidP="005D0B0C">
      <w:pPr>
        <w:pStyle w:val="HChG"/>
        <w:rPr>
          <w:u w:val="single"/>
          <w:lang w:val="fr-FR"/>
        </w:rPr>
      </w:pPr>
      <w:r w:rsidRPr="003B0D98">
        <w:rPr>
          <w:szCs w:val="24"/>
          <w:lang w:val="fr-FR" w:eastAsia="ar-SA"/>
        </w:rPr>
        <w:br w:type="page"/>
      </w:r>
      <w:r w:rsidRPr="003B0D98">
        <w:rPr>
          <w:lang w:val="fr-FR"/>
        </w:rPr>
        <w:t>Annex</w:t>
      </w:r>
      <w:r>
        <w:rPr>
          <w:lang w:val="fr-FR"/>
        </w:rPr>
        <w:t>e </w:t>
      </w:r>
      <w:r w:rsidRPr="003B0D98">
        <w:rPr>
          <w:lang w:val="fr-FR"/>
        </w:rPr>
        <w:t>2</w:t>
      </w:r>
    </w:p>
    <w:p w:rsidR="00A225CB" w:rsidRPr="003B0D98" w:rsidRDefault="00A225CB" w:rsidP="005D0B0C">
      <w:pPr>
        <w:pStyle w:val="HChG"/>
        <w:rPr>
          <w:lang w:val="fr-FR"/>
        </w:rPr>
      </w:pPr>
      <w:r w:rsidRPr="003B0D98">
        <w:rPr>
          <w:lang w:val="fr-FR"/>
        </w:rPr>
        <w:tab/>
      </w:r>
      <w:r w:rsidRPr="003B0D98">
        <w:rPr>
          <w:lang w:val="fr-FR"/>
        </w:rPr>
        <w:tab/>
      </w:r>
      <w:r>
        <w:rPr>
          <w:lang w:val="fr-FR"/>
        </w:rPr>
        <w:t>Exemples de marques d’homologation</w:t>
      </w:r>
    </w:p>
    <w:p w:rsidR="00A225CB" w:rsidRPr="003B0D98" w:rsidRDefault="00A225CB" w:rsidP="00F94DFB">
      <w:pPr>
        <w:pStyle w:val="SingleTxtG"/>
        <w:rPr>
          <w:lang w:val="fr-FR"/>
        </w:rPr>
      </w:pPr>
      <w:r>
        <w:rPr>
          <w:lang w:val="fr-FR"/>
        </w:rPr>
        <w:t>Modè</w:t>
      </w:r>
      <w:r w:rsidRPr="003B0D98">
        <w:rPr>
          <w:lang w:val="fr-FR"/>
        </w:rPr>
        <w:t>l</w:t>
      </w:r>
      <w:r>
        <w:rPr>
          <w:lang w:val="fr-FR"/>
        </w:rPr>
        <w:t>e </w:t>
      </w:r>
      <w:r w:rsidRPr="003B0D98">
        <w:rPr>
          <w:lang w:val="fr-FR"/>
        </w:rPr>
        <w:t>A</w:t>
      </w:r>
      <w:r w:rsidR="00C9179C">
        <w:rPr>
          <w:lang w:val="fr-FR"/>
        </w:rPr>
        <w:br/>
      </w:r>
      <w:r w:rsidRPr="003B0D98">
        <w:rPr>
          <w:lang w:val="fr-FR"/>
        </w:rPr>
        <w:t>(</w:t>
      </w:r>
      <w:r>
        <w:rPr>
          <w:lang w:val="fr-FR"/>
        </w:rPr>
        <w:t>voir le</w:t>
      </w:r>
      <w:r w:rsidRPr="003B0D98">
        <w:rPr>
          <w:lang w:val="fr-FR"/>
        </w:rPr>
        <w:t xml:space="preserve"> paragraph</w:t>
      </w:r>
      <w:r>
        <w:rPr>
          <w:lang w:val="fr-FR"/>
        </w:rPr>
        <w:t>e 4.4</w:t>
      </w:r>
      <w:r w:rsidRPr="003B0D98">
        <w:rPr>
          <w:lang w:val="fr-FR"/>
        </w:rPr>
        <w:t xml:space="preserve"> </w:t>
      </w:r>
      <w:r>
        <w:rPr>
          <w:lang w:val="fr-FR"/>
        </w:rPr>
        <w:t>du présent Règlement</w:t>
      </w:r>
      <w:r w:rsidRPr="003B0D98">
        <w:rPr>
          <w:lang w:val="fr-FR"/>
        </w:rPr>
        <w:t>)</w:t>
      </w:r>
    </w:p>
    <w:p w:rsidR="00A225CB" w:rsidRDefault="001A49C6" w:rsidP="00D74276">
      <w:pPr>
        <w:ind w:left="1134"/>
        <w:rPr>
          <w:noProof/>
          <w:w w:val="103"/>
          <w:lang w:eastAsia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435610</wp:posOffset>
                </wp:positionV>
                <wp:extent cx="2079625" cy="32829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76" w:rsidRPr="0044250F" w:rsidRDefault="00D74276" w:rsidP="00D74276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39 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R 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− 012439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29.35pt;margin-top:34.3pt;width:163.7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meJAIAAA0EAAAOAAAAZHJzL2Uyb0RvYy54bWysU12O0zAQfkfiDpbfadKg7m6jpqulSxHS&#10;8iMtHMBxnMbC9hjbbVIuwyn2CYkz9EiMnba7wBvCD9bYnvlm5pvPi+tBK7ITzkswFZ1OckqE4dBI&#10;s6no50/rF1eU+MBMwxQYUdG98PR6+fzZorelKKAD1QhHEMT4srcV7UKwZZZ53gnN/ASsMPjYgtMs&#10;4NFtssaxHtG1yoo8v8h6cI11wIX3eHs7PtJlwm9bwcOHtvUiEFVRrC2k3aW9jnu2XLBy45jtJD+W&#10;wf6hCs2kwaRnqFsWGNk6+ReUltyBhzZMOOgM2lZykXrAbqb5H93cd8yK1AuS4+2ZJv//YPn73UdH&#10;ZFPR4pISwzTO6PD98PPw4/BA8Ar56a0v0e3eomMYXsGAc069ensH/IsnBlYdMxtx4xz0nWAN1jeN&#10;kdmT0BHHR5C6fwcN5mHbAAloaJ2O5CEdBNFxTvvzbMQQCMfLIr+cXxQzSji+vSyuivkspWDlKdo6&#10;H94I0CQaFXU4+4TOdnc+xGpYeXKJyTwo2aylUungNvVKObJjqJN1Wkf039yUIX1F5zOsI0YZiPFJ&#10;QloG1LGSuqJXeVwxnJWRjdemSXZgUo02VqLMkZ7IyMhNGOoBHSNnNTR7JMrBqFf8X2h04L5R0qNW&#10;K+q/bpkTlKi3BsmOwj4Z7mTUJ4MZjqEVDZSM5iqkDzB2cINDaGXi5zHzsTbUXKLt+D+iqJ+ek9fj&#10;L17+AgAA//8DAFBLAwQUAAYACAAAACEAoIOrOt4AAAAKAQAADwAAAGRycy9kb3ducmV2LnhtbEyP&#10;wU7DMAxA70j8Q2QkLoilFOiq0nSCDW5w2Jh29prQVjROlaRr9/eYExwtPz0/l6vZ9uJkfOgcKbhb&#10;JCAM1U531CjYf77d5iBCRNLYOzIKzibAqrq8KLHQbqKtOe1iI1hCoUAFbYxDIWWoW2MxLNxgiHdf&#10;zluMPPpGao8Ty20v0yTJpMWO+EKLg1m3pv7ejVZBtvHjtKX1zWb/+o4fQ5MeXs4Hpa6v5ucnENHM&#10;8Q+G33xOh4qbjm4kHUSv4OExXzLKsjwDwcAyz1IQRybT5B5kVcr/L1Q/AAAA//8DAFBLAQItABQA&#10;BgAIAAAAIQC2gziS/gAAAOEBAAATAAAAAAAAAAAAAAAAAAAAAABbQ29udGVudF9UeXBlc10ueG1s&#10;UEsBAi0AFAAGAAgAAAAhADj9If/WAAAAlAEAAAsAAAAAAAAAAAAAAAAALwEAAF9yZWxzLy5yZWxz&#10;UEsBAi0AFAAGAAgAAAAhAMylWZ4kAgAADQQAAA4AAAAAAAAAAAAAAAAALgIAAGRycy9lMm9Eb2Mu&#10;eG1sUEsBAi0AFAAGAAgAAAAhAKCDqzreAAAACgEAAA8AAAAAAAAAAAAAAAAAfgQAAGRycy9kb3du&#10;cmV2LnhtbFBLBQYAAAAABAAEAPMAAACJBQAAAAA=&#10;" stroked="f">
                <v:textbox inset="0,0,0,0">
                  <w:txbxContent>
                    <w:p w:rsidR="00D74276" w:rsidRPr="0044250F" w:rsidRDefault="00D74276" w:rsidP="00D74276">
                      <w:pPr>
                        <w:spacing w:line="240" w:lineRule="auto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39 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  <w:lang w:val="en-US"/>
                        </w:rPr>
                        <w:t>R 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− 012439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4633595" cy="1139825"/>
            <wp:effectExtent l="0" t="0" r="0" b="317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CB" w:rsidRPr="003B0D98" w:rsidRDefault="00A225CB" w:rsidP="00C9179C">
      <w:pPr>
        <w:pStyle w:val="SingleTxtG"/>
        <w:jc w:val="right"/>
        <w:rPr>
          <w:lang w:val="fr-FR"/>
        </w:rPr>
      </w:pPr>
      <w:r w:rsidRPr="003B0D98">
        <w:rPr>
          <w:lang w:val="fr-FR"/>
        </w:rPr>
        <w:t>a = 8 mm min.</w:t>
      </w:r>
    </w:p>
    <w:p w:rsidR="00A225CB" w:rsidRDefault="00A225CB" w:rsidP="00890C55">
      <w:pPr>
        <w:pStyle w:val="SingleTxtG"/>
        <w:ind w:firstLine="567"/>
        <w:rPr>
          <w:lang w:val="fr-FR"/>
        </w:rPr>
      </w:pPr>
      <w:r w:rsidRPr="00EF1026">
        <w:t>La marque d</w:t>
      </w:r>
      <w:r>
        <w:t>’</w:t>
      </w:r>
      <w:r w:rsidRPr="00EF1026">
        <w:t>homologation ci-dessus, apposée sur un véhicule, indique que le type de ce véhicule a été homologué aux Pays-Bas (E4), en application du Règlement n</w:t>
      </w:r>
      <w:r w:rsidRPr="00EF1026">
        <w:rPr>
          <w:vertAlign w:val="superscript"/>
        </w:rPr>
        <w:t>o</w:t>
      </w:r>
      <w:r w:rsidRPr="00EF1026">
        <w:t> 39. Le</w:t>
      </w:r>
      <w:r w:rsidR="00B67D2F">
        <w:t> </w:t>
      </w:r>
      <w:r w:rsidRPr="00EF1026">
        <w:t>numéro d</w:t>
      </w:r>
      <w:r>
        <w:t>’</w:t>
      </w:r>
      <w:r w:rsidRPr="00EF1026">
        <w:t>homologation indique que l</w:t>
      </w:r>
      <w:r>
        <w:t>’</w:t>
      </w:r>
      <w:r w:rsidRPr="00EF1026">
        <w:t>homologation a été accordée conformément aux prescriptions du Règlement n</w:t>
      </w:r>
      <w:r w:rsidRPr="00EF1026">
        <w:rPr>
          <w:vertAlign w:val="superscript"/>
        </w:rPr>
        <w:t>o</w:t>
      </w:r>
      <w:r w:rsidRPr="00EF1026">
        <w:t> 39 modifié par la série</w:t>
      </w:r>
      <w:r>
        <w:t> </w:t>
      </w:r>
      <w:r w:rsidRPr="00EF1026">
        <w:t>01 d</w:t>
      </w:r>
      <w:r>
        <w:t>’</w:t>
      </w:r>
      <w:r w:rsidRPr="00EF1026">
        <w:t>amendements.</w:t>
      </w:r>
    </w:p>
    <w:p w:rsidR="00A225CB" w:rsidRPr="003B0D98" w:rsidRDefault="00A225CB" w:rsidP="00C9179C">
      <w:pPr>
        <w:pStyle w:val="SingleTxtG"/>
        <w:spacing w:before="240"/>
        <w:rPr>
          <w:lang w:val="fr-FR"/>
        </w:rPr>
      </w:pPr>
      <w:r>
        <w:rPr>
          <w:lang w:val="fr-FR"/>
        </w:rPr>
        <w:t>Modè</w:t>
      </w:r>
      <w:r w:rsidRPr="003B0D98">
        <w:rPr>
          <w:lang w:val="fr-FR"/>
        </w:rPr>
        <w:t>l</w:t>
      </w:r>
      <w:r>
        <w:rPr>
          <w:lang w:val="fr-FR"/>
        </w:rPr>
        <w:t>e </w:t>
      </w:r>
      <w:r w:rsidRPr="003B0D98">
        <w:rPr>
          <w:lang w:val="fr-FR"/>
        </w:rPr>
        <w:t>B</w:t>
      </w:r>
      <w:r w:rsidR="00C9179C">
        <w:rPr>
          <w:lang w:val="fr-FR"/>
        </w:rPr>
        <w:br/>
      </w:r>
      <w:r w:rsidRPr="003B0D98">
        <w:rPr>
          <w:lang w:val="fr-FR"/>
        </w:rPr>
        <w:t>(</w:t>
      </w:r>
      <w:r>
        <w:rPr>
          <w:lang w:val="fr-FR"/>
        </w:rPr>
        <w:t>voir le</w:t>
      </w:r>
      <w:r w:rsidRPr="003B0D98">
        <w:rPr>
          <w:lang w:val="fr-FR"/>
        </w:rPr>
        <w:t xml:space="preserve"> paragraph</w:t>
      </w:r>
      <w:r>
        <w:rPr>
          <w:lang w:val="fr-FR"/>
        </w:rPr>
        <w:t>e 4.5</w:t>
      </w:r>
      <w:r w:rsidRPr="003B0D98">
        <w:rPr>
          <w:lang w:val="fr-FR"/>
        </w:rPr>
        <w:t xml:space="preserve"> </w:t>
      </w:r>
      <w:r>
        <w:rPr>
          <w:lang w:val="fr-FR"/>
        </w:rPr>
        <w:t>du présent Règlement</w:t>
      </w:r>
      <w:r w:rsidRPr="003B0D98">
        <w:rPr>
          <w:lang w:val="fr-FR"/>
        </w:rPr>
        <w:t>)</w:t>
      </w:r>
    </w:p>
    <w:p w:rsidR="00A225CB" w:rsidRPr="003B0D98" w:rsidRDefault="001A49C6" w:rsidP="00C9179C">
      <w:pPr>
        <w:ind w:left="1134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200025</wp:posOffset>
                </wp:positionV>
                <wp:extent cx="534035" cy="3194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CB" w:rsidRPr="00F31480" w:rsidRDefault="00A225CB" w:rsidP="00A225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F31480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25pt;margin-top:15.75pt;width:42.0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GUGAIAABEEAAAOAAAAZHJzL2Uyb0RvYy54bWysU8Fu2zAMvQ/YPwi6L3aSpmiNOEWXLsOA&#10;rhvQ7gMYWY6FSaImKbG7rx8lJ2m33YbpIFAS+fj4SC1vBqPZQfqg0NZ8Oik5k1Zgo+yu5t+eNu+u&#10;OAsRbAMaraz5swz8ZvX2zbJ3lZxhh7qRnhGIDVXvat7F6KqiCKKTBsIEnbT02KI3EOnod0XjoSd0&#10;o4tZWV4WPfrGeRQyBLq9Gx/5KuO3rRTxS9sGGZmuOXGLefd536a9WC2h2nlwnRJHGvAPLAwoS0nP&#10;UHcQge29+gvKKOExYBsnAk2BbauEzDVQNdPyj2oeO3Ay10LiBHeWKfw/WPFw+OqZamp+yZkFQy16&#10;kkNk73Fgs6RO70JFTo+O3OJA19TlXGlw9yi+B2Zx3YHdyVvvse8kNMRumiKLV6EjTkgg2/4zNpQG&#10;9hEz0NB6k6QjMRihU5eez51JVARdLuYX5XzBmaCn+fT6olzkDFCdgp0P8aNEw5JRc0+Nz+BwuA8x&#10;kYHq5JJyBdSq2Sit88Hvtmvt2QFoSDZ5HdF/c9OW9TW/XswWGdliis/zY1SkIdbK1PyqTCuFQ5XE&#10;+GCbbEdQerSJibZHdZIgozRx2A65DVm6pNwWm2eSy+M4s/THyOjQ/+Ssp3mtefixBy85058sSZ6G&#10;+2T4k7E9GWAFhdY8cjaa65g/QaJp8ZZa0aos00vmI0Wau6ze8Y+kwX59zl4vP3n1CwAA//8DAFBL&#10;AwQUAAYACAAAACEANzmWnOAAAAAJAQAADwAAAGRycy9kb3ducmV2LnhtbEyPwU7DMAyG70i8Q2Qk&#10;Loil3VhUlboTbHCDw8a0c9ZkbbXGqZJ07d6ecGIny/Kn399frCbTsYt2vrWEkM4SYJoqq1qqEfY/&#10;n88ZMB8kKdlZ0ghX7WFV3t8VMld2pK2+7ELNYgj5XCI0IfQ5575qtJF+ZntN8XayzsgQV1dz5eQY&#10;w03H50kiuJEtxQ+N7PW60dV5NxgEsXHDuKX102b/8SW/+3p+eL8eEB8fprdXYEFP4R+GP/2oDmV0&#10;OtqBlGcdwvJFLCOKsEjjjIBYJALYESFLM+BlwW8blL8AAAD//wMAUEsBAi0AFAAGAAgAAAAhALaD&#10;OJL+AAAA4QEAABMAAAAAAAAAAAAAAAAAAAAAAFtDb250ZW50X1R5cGVzXS54bWxQSwECLQAUAAYA&#10;CAAAACEAOP0h/9YAAACUAQAACwAAAAAAAAAAAAAAAAAvAQAAX3JlbHMvLnJlbHNQSwECLQAUAAYA&#10;CAAAACEAnwPxlBgCAAARBAAADgAAAAAAAAAAAAAAAAAuAgAAZHJzL2Uyb0RvYy54bWxQSwECLQAU&#10;AAYACAAAACEANzmWnOAAAAAJAQAADwAAAAAAAAAAAAAAAAByBAAAZHJzL2Rvd25yZXYueG1sUEsF&#10;BgAAAAAEAAQA8wAAAH8FAAAAAA==&#10;" stroked="f">
                <v:textbox inset="0,0,0,0">
                  <w:txbxContent>
                    <w:p w:rsidR="00A225CB" w:rsidRPr="00F31480" w:rsidRDefault="00A225CB" w:rsidP="00A225CB">
                      <w:pPr>
                        <w:jc w:val="right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F31480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4504055" cy="1160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CB" w:rsidRPr="003B0D98" w:rsidRDefault="00A225CB" w:rsidP="00C9179C">
      <w:pPr>
        <w:pStyle w:val="SingleTxtG"/>
        <w:jc w:val="right"/>
        <w:rPr>
          <w:lang w:val="fr-FR"/>
        </w:rPr>
      </w:pPr>
      <w:r w:rsidRPr="003B0D98">
        <w:rPr>
          <w:lang w:val="fr-FR"/>
        </w:rPr>
        <w:t>a = 8 mm min.</w:t>
      </w:r>
    </w:p>
    <w:p w:rsidR="00A225CB" w:rsidRDefault="00A225CB" w:rsidP="00B67D2F">
      <w:pPr>
        <w:pStyle w:val="SingleTxtG"/>
        <w:ind w:firstLine="567"/>
        <w:rPr>
          <w:lang w:val="fr-FR"/>
        </w:rPr>
      </w:pPr>
      <w:r w:rsidRPr="00EF1026">
        <w:t>La marque d</w:t>
      </w:r>
      <w:r>
        <w:t>’</w:t>
      </w:r>
      <w:r w:rsidRPr="00EF1026">
        <w:t>homologation ci-dessus, apposée sur un véhicule, indique que le type de ce véhicule a été homologué aux Pays-Bas (E4), en application des Règlements n</w:t>
      </w:r>
      <w:r w:rsidRPr="00EF1026">
        <w:rPr>
          <w:vertAlign w:val="superscript"/>
        </w:rPr>
        <w:t>os</w:t>
      </w:r>
      <w:r w:rsidRPr="00EF1026">
        <w:t> 39 et 33</w:t>
      </w:r>
      <w:r w:rsidRPr="00C9179C">
        <w:rPr>
          <w:sz w:val="18"/>
          <w:szCs w:val="18"/>
          <w:vertAlign w:val="superscript"/>
        </w:rPr>
        <w:t>1</w:t>
      </w:r>
      <w:r w:rsidRPr="00EF1026">
        <w:t>. Les numéros d</w:t>
      </w:r>
      <w:r>
        <w:t>’</w:t>
      </w:r>
      <w:r w:rsidRPr="00EF1026">
        <w:t>homologation indiquent qu</w:t>
      </w:r>
      <w:r>
        <w:t>’</w:t>
      </w:r>
      <w:r w:rsidRPr="00EF1026">
        <w:t>aux dates auxquelles les homologations respectives ont été accordées, le Règlement n</w:t>
      </w:r>
      <w:r w:rsidRPr="00EF1026">
        <w:rPr>
          <w:vertAlign w:val="superscript"/>
        </w:rPr>
        <w:t>o</w:t>
      </w:r>
      <w:r w:rsidRPr="00EF1026">
        <w:t> 39 avait été modifié par la série 01 d</w:t>
      </w:r>
      <w:r>
        <w:t>’</w:t>
      </w:r>
      <w:r w:rsidRPr="00EF1026">
        <w:t>amendements et le Règlement n</w:t>
      </w:r>
      <w:r w:rsidRPr="00EF1026">
        <w:rPr>
          <w:vertAlign w:val="superscript"/>
        </w:rPr>
        <w:t>o</w:t>
      </w:r>
      <w:r w:rsidRPr="00EF1026">
        <w:t> 33 était encore sous sa forme initiale.</w:t>
      </w:r>
    </w:p>
    <w:p w:rsidR="00A225CB" w:rsidRPr="003B0D98" w:rsidRDefault="00A225CB" w:rsidP="000150EC">
      <w:pPr>
        <w:pStyle w:val="SingleTxtG"/>
        <w:rPr>
          <w:lang w:val="fr-FR"/>
        </w:rPr>
      </w:pPr>
      <w:r w:rsidRPr="003B0D98">
        <w:rPr>
          <w:lang w:val="fr-FR"/>
        </w:rPr>
        <w:t>____________</w:t>
      </w:r>
    </w:p>
    <w:p w:rsidR="00A225CB" w:rsidRDefault="00A225CB" w:rsidP="00D91B10">
      <w:pPr>
        <w:spacing w:after="120"/>
        <w:ind w:left="1134" w:right="1134"/>
        <w:rPr>
          <w:sz w:val="18"/>
          <w:szCs w:val="18"/>
          <w:lang w:val="fr-FR"/>
        </w:rPr>
      </w:pPr>
      <w:r w:rsidRPr="00D91B10">
        <w:rPr>
          <w:sz w:val="18"/>
          <w:szCs w:val="18"/>
          <w:vertAlign w:val="superscript"/>
          <w:lang w:val="fr-FR"/>
        </w:rPr>
        <w:t>1</w:t>
      </w:r>
      <w:r w:rsidR="00D91B10" w:rsidRPr="00D91B10">
        <w:rPr>
          <w:sz w:val="18"/>
          <w:szCs w:val="18"/>
          <w:lang w:val="fr-FR"/>
        </w:rPr>
        <w:t xml:space="preserve">  </w:t>
      </w:r>
      <w:r w:rsidRPr="00D91B10">
        <w:rPr>
          <w:sz w:val="18"/>
          <w:szCs w:val="18"/>
          <w:lang w:val="fr-FR"/>
        </w:rPr>
        <w:t>Ce dernier numéro n’est donné qu’à titre d’exemple. »</w:t>
      </w:r>
      <w:r w:rsidR="00D91B10">
        <w:rPr>
          <w:sz w:val="18"/>
          <w:szCs w:val="18"/>
          <w:lang w:val="fr-FR"/>
        </w:rPr>
        <w:t>.</w:t>
      </w:r>
    </w:p>
    <w:p w:rsidR="00D91B10" w:rsidRPr="00D91B10" w:rsidRDefault="00D91B10" w:rsidP="00D91B1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91B10" w:rsidRPr="00D91B10" w:rsidSect="0029715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5A" w:rsidRDefault="000E6F5A"/>
  </w:endnote>
  <w:endnote w:type="continuationSeparator" w:id="0">
    <w:p w:rsidR="000E6F5A" w:rsidRDefault="000E6F5A">
      <w:pPr>
        <w:pStyle w:val="Footer"/>
      </w:pPr>
    </w:p>
  </w:endnote>
  <w:endnote w:type="continuationNotice" w:id="1">
    <w:p w:rsidR="000E6F5A" w:rsidRPr="00C451B9" w:rsidRDefault="000E6F5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59" w:rsidRPr="00297159" w:rsidRDefault="00297159" w:rsidP="00297159">
    <w:pPr>
      <w:pStyle w:val="Footer"/>
      <w:tabs>
        <w:tab w:val="right" w:pos="9638"/>
      </w:tabs>
    </w:pPr>
    <w:r w:rsidRPr="00297159">
      <w:rPr>
        <w:b/>
        <w:sz w:val="18"/>
      </w:rPr>
      <w:fldChar w:fldCharType="begin"/>
    </w:r>
    <w:r w:rsidRPr="00297159">
      <w:rPr>
        <w:b/>
        <w:sz w:val="18"/>
      </w:rPr>
      <w:instrText xml:space="preserve"> PAGE  \* MERGEFORMAT </w:instrText>
    </w:r>
    <w:r w:rsidRPr="00297159">
      <w:rPr>
        <w:b/>
        <w:sz w:val="18"/>
      </w:rPr>
      <w:fldChar w:fldCharType="separate"/>
    </w:r>
    <w:r w:rsidR="006B03E1">
      <w:rPr>
        <w:b/>
        <w:noProof/>
        <w:sz w:val="18"/>
      </w:rPr>
      <w:t>2</w:t>
    </w:r>
    <w:r w:rsidRPr="00297159">
      <w:rPr>
        <w:b/>
        <w:sz w:val="18"/>
      </w:rPr>
      <w:fldChar w:fldCharType="end"/>
    </w:r>
    <w:r>
      <w:rPr>
        <w:b/>
        <w:sz w:val="18"/>
      </w:rPr>
      <w:tab/>
    </w:r>
    <w:r>
      <w:t>GE.16-11466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59" w:rsidRPr="00297159" w:rsidRDefault="00297159" w:rsidP="00297159">
    <w:pPr>
      <w:pStyle w:val="Footer"/>
      <w:tabs>
        <w:tab w:val="right" w:pos="9638"/>
      </w:tabs>
      <w:rPr>
        <w:b/>
        <w:sz w:val="18"/>
      </w:rPr>
    </w:pPr>
    <w:r>
      <w:t>GE.16-11466</w:t>
    </w:r>
    <w:r>
      <w:tab/>
    </w:r>
    <w:r w:rsidRPr="00297159">
      <w:rPr>
        <w:b/>
        <w:sz w:val="18"/>
      </w:rPr>
      <w:fldChar w:fldCharType="begin"/>
    </w:r>
    <w:r w:rsidRPr="00297159">
      <w:rPr>
        <w:b/>
        <w:sz w:val="18"/>
      </w:rPr>
      <w:instrText xml:space="preserve"> PAGE  \* MERGEFORMAT </w:instrText>
    </w:r>
    <w:r w:rsidRPr="00297159">
      <w:rPr>
        <w:b/>
        <w:sz w:val="18"/>
      </w:rPr>
      <w:fldChar w:fldCharType="separate"/>
    </w:r>
    <w:r w:rsidR="006B03E1">
      <w:rPr>
        <w:b/>
        <w:noProof/>
        <w:sz w:val="18"/>
      </w:rPr>
      <w:t>3</w:t>
    </w:r>
    <w:r w:rsidRPr="002971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1A49C6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1A49C6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297159">
      <w:t xml:space="preserve"> 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297159" w:rsidRDefault="00297159" w:rsidP="00297159">
    <w:pPr>
      <w:pStyle w:val="Footer"/>
      <w:spacing w:before="120"/>
      <w:rPr>
        <w:sz w:val="20"/>
      </w:rPr>
    </w:pPr>
    <w:r>
      <w:rPr>
        <w:sz w:val="20"/>
      </w:rPr>
      <w:t>GE.16-11466  (F)</w:t>
    </w:r>
    <w:r w:rsidR="00E31A6B">
      <w:rPr>
        <w:sz w:val="20"/>
      </w:rPr>
      <w:t xml:space="preserve">    131216    161216</w:t>
    </w:r>
    <w:r>
      <w:rPr>
        <w:sz w:val="20"/>
      </w:rPr>
      <w:br/>
    </w:r>
    <w:r w:rsidRPr="00297159">
      <w:rPr>
        <w:rFonts w:ascii="C39T30Lfz" w:hAnsi="C39T30Lfz"/>
        <w:sz w:val="56"/>
      </w:rPr>
      <w:t></w:t>
    </w:r>
    <w:r w:rsidRPr="00297159">
      <w:rPr>
        <w:rFonts w:ascii="C39T30Lfz" w:hAnsi="C39T30Lfz"/>
        <w:sz w:val="56"/>
      </w:rPr>
      <w:t></w:t>
    </w:r>
    <w:r w:rsidRPr="00297159">
      <w:rPr>
        <w:rFonts w:ascii="C39T30Lfz" w:hAnsi="C39T30Lfz"/>
        <w:sz w:val="56"/>
      </w:rPr>
      <w:t></w:t>
    </w:r>
    <w:r w:rsidRPr="00297159">
      <w:rPr>
        <w:rFonts w:ascii="C39T30Lfz" w:hAnsi="C39T30Lfz"/>
        <w:sz w:val="56"/>
      </w:rPr>
      <w:t></w:t>
    </w:r>
    <w:r w:rsidRPr="00297159">
      <w:rPr>
        <w:rFonts w:ascii="C39T30Lfz" w:hAnsi="C39T30Lfz"/>
        <w:sz w:val="56"/>
      </w:rPr>
      <w:t></w:t>
    </w:r>
    <w:r w:rsidRPr="00297159">
      <w:rPr>
        <w:rFonts w:ascii="C39T30Lfz" w:hAnsi="C39T30Lfz"/>
        <w:sz w:val="56"/>
      </w:rPr>
      <w:t></w:t>
    </w:r>
    <w:r w:rsidRPr="00297159">
      <w:rPr>
        <w:rFonts w:ascii="C39T30Lfz" w:hAnsi="C39T30Lfz"/>
        <w:sz w:val="56"/>
      </w:rPr>
      <w:t></w:t>
    </w:r>
    <w:r w:rsidRPr="00297159">
      <w:rPr>
        <w:rFonts w:ascii="C39T30Lfz" w:hAnsi="C39T30Lfz"/>
        <w:sz w:val="56"/>
      </w:rPr>
      <w:t></w:t>
    </w:r>
    <w:r w:rsidRPr="00297159">
      <w:rPr>
        <w:rFonts w:ascii="C39T30Lfz" w:hAnsi="C39T30Lfz"/>
        <w:sz w:val="56"/>
      </w:rPr>
      <w:t></w:t>
    </w:r>
    <w:r w:rsidR="001A49C6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1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5A" w:rsidRPr="00D27D5E" w:rsidRDefault="000E6F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6F5A" w:rsidRPr="00D171D4" w:rsidRDefault="000E6F5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E6F5A" w:rsidRPr="00C451B9" w:rsidRDefault="000E6F5A" w:rsidP="00C451B9">
      <w:pPr>
        <w:spacing w:line="240" w:lineRule="auto"/>
        <w:rPr>
          <w:sz w:val="2"/>
          <w:szCs w:val="2"/>
        </w:rPr>
      </w:pPr>
    </w:p>
  </w:footnote>
  <w:footnote w:id="2">
    <w:p w:rsidR="00B44523" w:rsidRDefault="00B4452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Numéro distinctif du pays qui a délivré/étendu/refusé/retiré l’homologation (voir les dispositions du</w:t>
      </w:r>
      <w:r w:rsidR="008A0E1B">
        <w:t> </w:t>
      </w:r>
      <w:r>
        <w:t>Règlement relatives à l’homologation).</w:t>
      </w:r>
    </w:p>
  </w:footnote>
  <w:footnote w:id="3">
    <w:p w:rsidR="00B44523" w:rsidRDefault="00B44523" w:rsidP="00B4452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5A48EA">
        <w:rPr>
          <w:lang w:val="fr-FR"/>
        </w:rPr>
        <w:t>Biffer les mentions inutiles.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59" w:rsidRPr="006B03E1" w:rsidRDefault="00297159">
    <w:pPr>
      <w:pStyle w:val="Header"/>
      <w:rPr>
        <w:lang w:val="en-GB"/>
      </w:rPr>
    </w:pPr>
    <w:r w:rsidRPr="006B03E1">
      <w:rPr>
        <w:lang w:val="en-GB"/>
      </w:rPr>
      <w:t>E/ECE/324/Rev.1/Add.38/Rev.1/Amend.1</w:t>
    </w:r>
    <w:r w:rsidRPr="006B03E1">
      <w:rPr>
        <w:lang w:val="en-GB"/>
      </w:rPr>
      <w:br/>
      <w:t>E/ECE/TRANS/505/Rev.1/Add.38/Rev.1/Amend.1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59" w:rsidRPr="006B03E1" w:rsidRDefault="00297159" w:rsidP="00297159">
    <w:pPr>
      <w:pStyle w:val="Header"/>
      <w:jc w:val="right"/>
      <w:rPr>
        <w:lang w:val="en-GB"/>
      </w:rPr>
    </w:pPr>
    <w:r w:rsidRPr="006B03E1">
      <w:rPr>
        <w:lang w:val="en-GB"/>
      </w:rPr>
      <w:t>E/ECE/324/Rev.1/Add.38/Rev.1/Amend.1</w:t>
    </w:r>
    <w:r w:rsidRPr="006B03E1">
      <w:rPr>
        <w:lang w:val="en-GB"/>
      </w:rPr>
      <w:br/>
      <w:t>E/ECE/TRANS/505/Rev.1/Add.38/Rev.1/Amend.1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A"/>
    <w:rsid w:val="000109B4"/>
    <w:rsid w:val="0001470D"/>
    <w:rsid w:val="000150EC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1E07"/>
    <w:rsid w:val="000C6CDB"/>
    <w:rsid w:val="000D2839"/>
    <w:rsid w:val="000D5C25"/>
    <w:rsid w:val="000E4F06"/>
    <w:rsid w:val="000E5601"/>
    <w:rsid w:val="000E5602"/>
    <w:rsid w:val="000E6F5A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56F5E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49C6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1269"/>
    <w:rsid w:val="00204B66"/>
    <w:rsid w:val="002059CE"/>
    <w:rsid w:val="00206AD4"/>
    <w:rsid w:val="002221FD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34B"/>
    <w:rsid w:val="00284C19"/>
    <w:rsid w:val="00286E23"/>
    <w:rsid w:val="002876A1"/>
    <w:rsid w:val="00287CA6"/>
    <w:rsid w:val="00287E79"/>
    <w:rsid w:val="002928F9"/>
    <w:rsid w:val="00294D5B"/>
    <w:rsid w:val="00297159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5B5A"/>
    <w:rsid w:val="0040144C"/>
    <w:rsid w:val="004067AE"/>
    <w:rsid w:val="00410521"/>
    <w:rsid w:val="00413BB0"/>
    <w:rsid w:val="004159D0"/>
    <w:rsid w:val="004172AA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0ACB"/>
    <w:rsid w:val="0048687D"/>
    <w:rsid w:val="00490F56"/>
    <w:rsid w:val="00491F39"/>
    <w:rsid w:val="004A1FBE"/>
    <w:rsid w:val="004A49A5"/>
    <w:rsid w:val="004A66A2"/>
    <w:rsid w:val="004B07A3"/>
    <w:rsid w:val="004B193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0B0C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1F5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3E1"/>
    <w:rsid w:val="006B0EB2"/>
    <w:rsid w:val="006B0FF8"/>
    <w:rsid w:val="006B4590"/>
    <w:rsid w:val="006C1352"/>
    <w:rsid w:val="006C340C"/>
    <w:rsid w:val="006E0512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9BA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5E9F"/>
    <w:rsid w:val="00856DB2"/>
    <w:rsid w:val="00890C55"/>
    <w:rsid w:val="00895DE5"/>
    <w:rsid w:val="008A0E1B"/>
    <w:rsid w:val="008A0FA8"/>
    <w:rsid w:val="008A1EC0"/>
    <w:rsid w:val="008A4A2E"/>
    <w:rsid w:val="008A583F"/>
    <w:rsid w:val="008B44C4"/>
    <w:rsid w:val="008B6B30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6EF5"/>
    <w:rsid w:val="009516B7"/>
    <w:rsid w:val="009545F1"/>
    <w:rsid w:val="00957CE5"/>
    <w:rsid w:val="009624E2"/>
    <w:rsid w:val="009707E4"/>
    <w:rsid w:val="00973B8F"/>
    <w:rsid w:val="00974DD2"/>
    <w:rsid w:val="00977EC8"/>
    <w:rsid w:val="009809A4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2FEF"/>
    <w:rsid w:val="00A225CB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4523"/>
    <w:rsid w:val="00B45642"/>
    <w:rsid w:val="00B47FD6"/>
    <w:rsid w:val="00B52F29"/>
    <w:rsid w:val="00B5388D"/>
    <w:rsid w:val="00B61990"/>
    <w:rsid w:val="00B6249B"/>
    <w:rsid w:val="00B67D2F"/>
    <w:rsid w:val="00B70CCD"/>
    <w:rsid w:val="00B75E66"/>
    <w:rsid w:val="00B773BF"/>
    <w:rsid w:val="00BC3314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194D"/>
    <w:rsid w:val="00C14108"/>
    <w:rsid w:val="00C261F8"/>
    <w:rsid w:val="00C27662"/>
    <w:rsid w:val="00C32914"/>
    <w:rsid w:val="00C33100"/>
    <w:rsid w:val="00C37A19"/>
    <w:rsid w:val="00C417A4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179C"/>
    <w:rsid w:val="00C95EB8"/>
    <w:rsid w:val="00CA0756"/>
    <w:rsid w:val="00CB02C5"/>
    <w:rsid w:val="00CB0D41"/>
    <w:rsid w:val="00CB39CD"/>
    <w:rsid w:val="00CC2A62"/>
    <w:rsid w:val="00CC368C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B11"/>
    <w:rsid w:val="00D51CE6"/>
    <w:rsid w:val="00D639BD"/>
    <w:rsid w:val="00D65777"/>
    <w:rsid w:val="00D66E0D"/>
    <w:rsid w:val="00D7425A"/>
    <w:rsid w:val="00D74276"/>
    <w:rsid w:val="00D74F7E"/>
    <w:rsid w:val="00D7695F"/>
    <w:rsid w:val="00D9039B"/>
    <w:rsid w:val="00D91B10"/>
    <w:rsid w:val="00D93582"/>
    <w:rsid w:val="00DA41A2"/>
    <w:rsid w:val="00DA43A1"/>
    <w:rsid w:val="00DA5E1D"/>
    <w:rsid w:val="00DB01CD"/>
    <w:rsid w:val="00DC161C"/>
    <w:rsid w:val="00DC3628"/>
    <w:rsid w:val="00DC4989"/>
    <w:rsid w:val="00DC4F43"/>
    <w:rsid w:val="00DE083E"/>
    <w:rsid w:val="00DE1B2F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4B67"/>
    <w:rsid w:val="00E25534"/>
    <w:rsid w:val="00E319B6"/>
    <w:rsid w:val="00E31A6B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6A8D"/>
    <w:rsid w:val="00F07AE1"/>
    <w:rsid w:val="00F10A3A"/>
    <w:rsid w:val="00F116EB"/>
    <w:rsid w:val="00F1794E"/>
    <w:rsid w:val="00F211AF"/>
    <w:rsid w:val="00F25EC3"/>
    <w:rsid w:val="00F32849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4DFB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D990FDA-BAD7-4E96-8A46-C3E0EB73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1A4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9C6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7E82-97C9-4B45-B909-2B28D234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E/ECE/324/Rev.1/Add.38/Rev.1/Amend.1-E/ECE/TRANS/505/Rev.1/Add.38/Rev.1/Amend.1</vt:lpstr>
      <vt:lpstr>E/ECE/324/Rev.1/Add.38/Rev.1/Amend.1-E/ECE/TRANS/505/Rev.1/Add.38/Rev.1/Amend.1</vt:lpstr>
    </vt:vector>
  </TitlesOfParts>
  <Company>CSD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E/ECE/324/Rev.1/Add.38/Rev.1/Amend.1-E/ECE/TRANS/505/Rev.1/Add.38/Rev.1/Amend.1</dc:title>
  <dc:subject/>
  <dc:creator>Chautagnat</dc:creator>
  <cp:keywords/>
  <dc:description/>
  <cp:lastModifiedBy>Lucille</cp:lastModifiedBy>
  <cp:revision>2</cp:revision>
  <cp:lastPrinted>2016-12-16T13:52:00Z</cp:lastPrinted>
  <dcterms:created xsi:type="dcterms:W3CDTF">2017-01-05T17:25:00Z</dcterms:created>
  <dcterms:modified xsi:type="dcterms:W3CDTF">2017-01-05T17:25:00Z</dcterms:modified>
</cp:coreProperties>
</file>