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C52FEE1" w:rsidR="0064636E" w:rsidRPr="00D47EEA" w:rsidRDefault="0064636E" w:rsidP="00002CD6">
            <w:pPr>
              <w:jc w:val="right"/>
            </w:pPr>
            <w:r w:rsidRPr="00014D07">
              <w:rPr>
                <w:sz w:val="40"/>
              </w:rPr>
              <w:t>E</w:t>
            </w:r>
            <w:r>
              <w:t>/ECE/324/</w:t>
            </w:r>
            <w:r w:rsidR="00CD683D">
              <w:t>Rev.1/</w:t>
            </w:r>
            <w:r>
              <w:t>Add.</w:t>
            </w:r>
            <w:r w:rsidR="00002CD6">
              <w:t>37</w:t>
            </w:r>
            <w:r>
              <w:t>/Rev.</w:t>
            </w:r>
            <w:r w:rsidR="00002CD6">
              <w:t>3</w:t>
            </w:r>
            <w:r>
              <w:t>/</w:t>
            </w:r>
            <w:r w:rsidR="00D623A7">
              <w:t>Amend.</w:t>
            </w:r>
            <w:r w:rsidR="00002CD6">
              <w:t>2</w:t>
            </w:r>
            <w:r>
              <w:t>−</w:t>
            </w:r>
            <w:r w:rsidRPr="00014D07">
              <w:rPr>
                <w:sz w:val="40"/>
              </w:rPr>
              <w:t>E</w:t>
            </w:r>
            <w:r>
              <w:t>/ECE/TRANS/505</w:t>
            </w:r>
            <w:r w:rsidR="00841EB5">
              <w:t>/</w:t>
            </w:r>
            <w:r w:rsidR="00CD683D">
              <w:t>Rev.1/</w:t>
            </w:r>
            <w:r w:rsidR="00841EB5">
              <w:t>Add.</w:t>
            </w:r>
            <w:r w:rsidR="00002CD6">
              <w:t>37</w:t>
            </w:r>
            <w:r w:rsidR="00841EB5">
              <w:t>/Rev.</w:t>
            </w:r>
            <w:r w:rsidR="00002CD6">
              <w:t>3</w:t>
            </w:r>
            <w:r w:rsidR="00841EB5">
              <w:t>/Amend.</w:t>
            </w:r>
            <w:r w:rsidR="00002CD6">
              <w:t>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2C4070A" w:rsidR="00C84414" w:rsidRDefault="002B5557" w:rsidP="00A61C62">
            <w:pPr>
              <w:spacing w:before="120"/>
            </w:pPr>
            <w:r>
              <w:t>5</w:t>
            </w:r>
            <w:r w:rsidR="00A61C62">
              <w:t xml:space="preserve"> December</w:t>
            </w:r>
            <w:r w:rsidR="005E2617">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41F51FD2" w14:textId="570A5BA2" w:rsidR="00A61C62" w:rsidRPr="00A61C62" w:rsidRDefault="00C711C7" w:rsidP="002B5557">
      <w:pPr>
        <w:pStyle w:val="H1G"/>
        <w:spacing w:before="240"/>
      </w:pPr>
      <w:r w:rsidRPr="00F173C4">
        <w:rPr>
          <w:rStyle w:val="H1GChar"/>
        </w:rPr>
        <w:tab/>
      </w:r>
      <w:r w:rsidRPr="00F173C4">
        <w:rPr>
          <w:rStyle w:val="H1GChar"/>
        </w:rPr>
        <w:tab/>
      </w:r>
      <w:r w:rsidR="00A61C62">
        <w:tab/>
      </w:r>
      <w:r w:rsidR="00A61C62" w:rsidRPr="00213492">
        <w:t>Concerning the</w:t>
      </w:r>
      <w:r w:rsidR="00A61C62" w:rsidRPr="00213492">
        <w:rPr>
          <w:smallCaps/>
        </w:rPr>
        <w:t xml:space="preserve"> </w:t>
      </w:r>
      <w:r w:rsidR="00A61C62"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213492">
        <w:footnoteReference w:customMarkFollows="1" w:id="2"/>
        <w:t>*</w:t>
      </w:r>
    </w:p>
    <w:p w14:paraId="42DCC474" w14:textId="32CB2133" w:rsidR="00A61C62" w:rsidRPr="00392A12" w:rsidRDefault="00A61C62"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CC49340" w:rsidR="0064636E" w:rsidRDefault="0064636E" w:rsidP="00A41529">
      <w:pPr>
        <w:pStyle w:val="H1G"/>
        <w:spacing w:before="240" w:after="120"/>
      </w:pPr>
      <w:r>
        <w:tab/>
      </w:r>
      <w:r>
        <w:tab/>
        <w:t xml:space="preserve">Addendum </w:t>
      </w:r>
      <w:r w:rsidR="00002CD6">
        <w:t>37</w:t>
      </w:r>
      <w:r>
        <w:t xml:space="preserve"> – </w:t>
      </w:r>
      <w:r w:rsidR="002B5557">
        <w:t>UN </w:t>
      </w:r>
      <w:r>
        <w:t>Regulation No.</w:t>
      </w:r>
      <w:r w:rsidR="00271A7F">
        <w:t xml:space="preserve"> </w:t>
      </w:r>
      <w:r w:rsidR="00002CD6">
        <w:t>38</w:t>
      </w:r>
    </w:p>
    <w:p w14:paraId="4E272B2A" w14:textId="3FBA3232" w:rsidR="0064636E" w:rsidRPr="00014D07" w:rsidRDefault="0064636E" w:rsidP="00A41529">
      <w:pPr>
        <w:pStyle w:val="H1G"/>
        <w:spacing w:before="240"/>
      </w:pPr>
      <w:r>
        <w:tab/>
      </w:r>
      <w:r>
        <w:tab/>
      </w:r>
      <w:r w:rsidRPr="00014D07">
        <w:t xml:space="preserve">Revision </w:t>
      </w:r>
      <w:r w:rsidR="00002CD6">
        <w:t>3</w:t>
      </w:r>
      <w:r w:rsidRPr="00014D07">
        <w:t xml:space="preserve"> - </w:t>
      </w:r>
      <w:r w:rsidR="00D623A7">
        <w:t>Amendment</w:t>
      </w:r>
      <w:r w:rsidRPr="00014D07">
        <w:t xml:space="preserve"> </w:t>
      </w:r>
      <w:r w:rsidR="00002CD6">
        <w:t>2</w:t>
      </w:r>
    </w:p>
    <w:p w14:paraId="4FAFC05A" w14:textId="5255AE35" w:rsidR="0064636E" w:rsidRPr="00272880" w:rsidRDefault="00D623A7" w:rsidP="0064636E">
      <w:pPr>
        <w:pStyle w:val="SingleTxtG"/>
        <w:spacing w:after="360"/>
        <w:rPr>
          <w:spacing w:val="-2"/>
        </w:rPr>
      </w:pPr>
      <w:r>
        <w:rPr>
          <w:spacing w:val="-2"/>
        </w:rPr>
        <w:t xml:space="preserve">Supplement </w:t>
      </w:r>
      <w:r w:rsidR="00002CD6">
        <w:rPr>
          <w:spacing w:val="-2"/>
        </w:rPr>
        <w:t>18</w:t>
      </w:r>
      <w:r>
        <w:rPr>
          <w:spacing w:val="-2"/>
        </w:rPr>
        <w:t xml:space="preserve"> to </w:t>
      </w:r>
      <w:r w:rsidR="00271A7F">
        <w:rPr>
          <w:spacing w:val="-2"/>
        </w:rPr>
        <w:t xml:space="preserve">the </w:t>
      </w:r>
      <w:r w:rsidR="00002CD6">
        <w:rPr>
          <w:spacing w:val="-2"/>
        </w:rPr>
        <w:t>original version of the Regulation</w:t>
      </w:r>
      <w:r w:rsidR="0064636E" w:rsidRPr="00272880">
        <w:rPr>
          <w:spacing w:val="-2"/>
        </w:rPr>
        <w:t xml:space="preserve"> – Date of entry into force: </w:t>
      </w:r>
      <w:r w:rsidR="005E2617">
        <w:t>10 October 2017</w:t>
      </w:r>
    </w:p>
    <w:p w14:paraId="24730B39" w14:textId="10903DC8" w:rsidR="0064636E" w:rsidRDefault="0064636E" w:rsidP="00A41529">
      <w:pPr>
        <w:pStyle w:val="H1G"/>
        <w:spacing w:before="120" w:after="120" w:line="240" w:lineRule="exact"/>
        <w:rPr>
          <w:lang w:val="en-US"/>
        </w:rPr>
      </w:pPr>
      <w:r>
        <w:rPr>
          <w:lang w:val="en-US"/>
        </w:rPr>
        <w:tab/>
      </w:r>
      <w:r>
        <w:rPr>
          <w:lang w:val="en-US"/>
        </w:rPr>
        <w:tab/>
      </w:r>
      <w:r w:rsidR="00002CD6" w:rsidRPr="00002CD6">
        <w:rPr>
          <w:lang w:val="en-US"/>
        </w:rPr>
        <w:t>Uniform provisions concerning the approval of rear fog lamps for power-driven vehicles and their trailers</w:t>
      </w:r>
    </w:p>
    <w:p w14:paraId="6C824AF8" w14:textId="4937013A"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E2617">
        <w:rPr>
          <w:spacing w:val="-6"/>
          <w:lang w:eastAsia="en-GB"/>
        </w:rPr>
        <w:t>7</w:t>
      </w:r>
      <w:r>
        <w:rPr>
          <w:spacing w:val="-6"/>
          <w:lang w:eastAsia="en-GB"/>
        </w:rPr>
        <w:t>/</w:t>
      </w:r>
      <w:r w:rsidR="00CD683D">
        <w:rPr>
          <w:spacing w:val="-6"/>
          <w:lang w:eastAsia="en-GB"/>
        </w:rPr>
        <w:t>2</w:t>
      </w:r>
      <w:r w:rsidR="00002CD6">
        <w:rPr>
          <w:spacing w:val="-6"/>
          <w:lang w:eastAsia="en-GB"/>
        </w:rPr>
        <w:t>6</w:t>
      </w:r>
      <w:r w:rsidR="002B5557">
        <w:rPr>
          <w:spacing w:val="-6"/>
          <w:lang w:eastAsia="en-GB"/>
        </w:rPr>
        <w:t xml:space="preserve"> (1622393).</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2BE51C59" w14:textId="77777777" w:rsidR="00002CD6" w:rsidRPr="00E96377" w:rsidRDefault="00D5540C" w:rsidP="00002CD6">
      <w:pPr>
        <w:pStyle w:val="SingleTxtG"/>
        <w:rPr>
          <w:i/>
          <w:iCs/>
          <w:lang w:val="en-US"/>
        </w:rPr>
      </w:pPr>
      <w:r>
        <w:br w:type="page"/>
      </w:r>
      <w:r w:rsidR="00002CD6" w:rsidRPr="00E96377">
        <w:rPr>
          <w:i/>
          <w:lang w:val="en-US"/>
        </w:rPr>
        <w:lastRenderedPageBreak/>
        <w:t>Paragraph 1.3.</w:t>
      </w:r>
      <w:r w:rsidR="00002CD6" w:rsidRPr="002B5557">
        <w:rPr>
          <w:lang w:val="en-US"/>
        </w:rPr>
        <w:t>,</w:t>
      </w:r>
      <w:r w:rsidR="00002CD6" w:rsidRPr="00E96377">
        <w:rPr>
          <w:i/>
          <w:lang w:val="en-US"/>
        </w:rPr>
        <w:t xml:space="preserve"> </w:t>
      </w:r>
      <w:r w:rsidR="00002CD6" w:rsidRPr="00E96377">
        <w:rPr>
          <w:lang w:val="en-US"/>
        </w:rPr>
        <w:t>amend to read:</w:t>
      </w:r>
    </w:p>
    <w:p w14:paraId="0F7D43F9" w14:textId="77777777" w:rsidR="00002CD6" w:rsidRPr="00570670" w:rsidRDefault="00002CD6" w:rsidP="00002CD6">
      <w:pPr>
        <w:pStyle w:val="SingleTxtG"/>
        <w:ind w:left="2268" w:hanging="1134"/>
        <w:rPr>
          <w:iCs/>
          <w:lang w:val="en-US"/>
        </w:rPr>
      </w:pPr>
      <w:r w:rsidRPr="00570670">
        <w:rPr>
          <w:lang w:val="en-US"/>
        </w:rPr>
        <w:t>"1.3.</w:t>
      </w:r>
      <w:r w:rsidRPr="00570670">
        <w:rPr>
          <w:lang w:val="en-US"/>
        </w:rPr>
        <w:tab/>
        <w:t>"</w:t>
      </w:r>
      <w:r>
        <w:rPr>
          <w:i/>
          <w:lang w:val="en-US"/>
        </w:rPr>
        <w:t>R</w:t>
      </w:r>
      <w:r w:rsidRPr="00570670">
        <w:rPr>
          <w:i/>
          <w:lang w:val="en-US"/>
        </w:rPr>
        <w:t>ear fog lamps of different types</w:t>
      </w:r>
      <w:r w:rsidRPr="00570670">
        <w:rPr>
          <w:lang w:val="en-US"/>
        </w:rPr>
        <w:t xml:space="preserve">" </w:t>
      </w:r>
      <w:r w:rsidRPr="00570670">
        <w:rPr>
          <w:iCs/>
          <w:lang w:val="en-US"/>
        </w:rPr>
        <w:t xml:space="preserve">means lamps which differ in such essential respects as: </w:t>
      </w:r>
    </w:p>
    <w:p w14:paraId="53A55F6D" w14:textId="660CF0CB" w:rsidR="00002CD6" w:rsidRPr="00BD0D16" w:rsidRDefault="002B5557" w:rsidP="00002CD6">
      <w:pPr>
        <w:spacing w:after="120"/>
        <w:ind w:left="2835" w:right="1134" w:hanging="567"/>
        <w:jc w:val="both"/>
        <w:rPr>
          <w:iCs/>
          <w:lang w:val="en-US"/>
        </w:rPr>
      </w:pPr>
      <w:r>
        <w:rPr>
          <w:iCs/>
          <w:lang w:val="en-US"/>
        </w:rPr>
        <w:t>(a)</w:t>
      </w:r>
      <w:r w:rsidR="00002CD6" w:rsidRPr="00BD0D16">
        <w:rPr>
          <w:iCs/>
          <w:lang w:val="en-US"/>
        </w:rPr>
        <w:tab/>
      </w:r>
      <w:r w:rsidR="00002CD6">
        <w:rPr>
          <w:iCs/>
          <w:lang w:val="en-US"/>
        </w:rPr>
        <w:t>T</w:t>
      </w:r>
      <w:r w:rsidR="00002CD6" w:rsidRPr="00BD0D16">
        <w:rPr>
          <w:iCs/>
          <w:lang w:val="en-US"/>
        </w:rPr>
        <w:t>he trade name or mark:</w:t>
      </w:r>
    </w:p>
    <w:p w14:paraId="0A4ACCBD" w14:textId="77777777" w:rsidR="00002CD6" w:rsidRPr="00570670" w:rsidRDefault="00002CD6" w:rsidP="00002CD6">
      <w:pPr>
        <w:spacing w:after="120"/>
        <w:ind w:left="3402" w:right="1134" w:hanging="567"/>
        <w:jc w:val="both"/>
        <w:rPr>
          <w:iCs/>
          <w:lang w:val="en-US"/>
        </w:rPr>
      </w:pPr>
      <w:r w:rsidRPr="00570670">
        <w:rPr>
          <w:iCs/>
          <w:lang w:val="en-US"/>
        </w:rPr>
        <w:t>(i)</w:t>
      </w:r>
      <w:r w:rsidRPr="00570670">
        <w:rPr>
          <w:iCs/>
          <w:lang w:val="en-US"/>
        </w:rPr>
        <w:tab/>
      </w:r>
      <w:r>
        <w:rPr>
          <w:iCs/>
          <w:lang w:val="en-US"/>
        </w:rPr>
        <w:t>L</w:t>
      </w:r>
      <w:r w:rsidRPr="00570670">
        <w:rPr>
          <w:iCs/>
          <w:lang w:val="en-US"/>
        </w:rPr>
        <w:t xml:space="preserve">amps bearing the same trade name or mark but produced by different manufacturers </w:t>
      </w:r>
      <w:r w:rsidRPr="00570670">
        <w:rPr>
          <w:bCs/>
          <w:iCs/>
          <w:lang w:val="en-US"/>
        </w:rPr>
        <w:t>shall be</w:t>
      </w:r>
      <w:r w:rsidRPr="00570670">
        <w:rPr>
          <w:iCs/>
          <w:lang w:val="en-US"/>
        </w:rPr>
        <w:t xml:space="preserve"> considered as being of different types</w:t>
      </w:r>
      <w:r w:rsidRPr="00570670">
        <w:rPr>
          <w:bCs/>
          <w:iCs/>
          <w:lang w:val="en-US"/>
        </w:rPr>
        <w:t>;</w:t>
      </w:r>
    </w:p>
    <w:p w14:paraId="729D36F7" w14:textId="77777777" w:rsidR="00002CD6" w:rsidRPr="00570670" w:rsidRDefault="00002CD6" w:rsidP="00002CD6">
      <w:pPr>
        <w:spacing w:after="120"/>
        <w:ind w:left="3402" w:right="1134" w:hanging="567"/>
        <w:jc w:val="both"/>
        <w:rPr>
          <w:iCs/>
          <w:lang w:val="en-US"/>
        </w:rPr>
      </w:pPr>
      <w:r w:rsidRPr="00570670">
        <w:rPr>
          <w:bCs/>
          <w:iCs/>
          <w:lang w:val="en-US"/>
        </w:rPr>
        <w:t>(ii)</w:t>
      </w:r>
      <w:r w:rsidRPr="00570670">
        <w:rPr>
          <w:bCs/>
          <w:iCs/>
          <w:lang w:val="en-US"/>
        </w:rPr>
        <w:tab/>
      </w:r>
      <w:r>
        <w:rPr>
          <w:bCs/>
          <w:iCs/>
          <w:lang w:val="en-US"/>
        </w:rPr>
        <w:t>L</w:t>
      </w:r>
      <w:r w:rsidRPr="00570670">
        <w:rPr>
          <w:iCs/>
          <w:lang w:val="en-US"/>
        </w:rPr>
        <w:t xml:space="preserve">amps produced by the same manufacturer differing only by the trade name or mark </w:t>
      </w:r>
      <w:r w:rsidRPr="00570670">
        <w:rPr>
          <w:bCs/>
          <w:iCs/>
          <w:lang w:val="en-US"/>
        </w:rPr>
        <w:t>shall</w:t>
      </w:r>
      <w:r w:rsidRPr="00570670">
        <w:rPr>
          <w:iCs/>
          <w:lang w:val="en-US"/>
        </w:rPr>
        <w:t xml:space="preserve"> be considered </w:t>
      </w:r>
      <w:r w:rsidRPr="00570670">
        <w:rPr>
          <w:bCs/>
          <w:iCs/>
          <w:lang w:val="en-US"/>
        </w:rPr>
        <w:t>as being</w:t>
      </w:r>
      <w:r w:rsidRPr="00570670">
        <w:rPr>
          <w:iCs/>
          <w:lang w:val="en-US"/>
        </w:rPr>
        <w:t xml:space="preserve"> of the same type.</w:t>
      </w:r>
    </w:p>
    <w:p w14:paraId="14528670" w14:textId="162B174E" w:rsidR="00002CD6" w:rsidRPr="00570670" w:rsidRDefault="002B5557" w:rsidP="00002CD6">
      <w:pPr>
        <w:pStyle w:val="SingleTxtG"/>
        <w:ind w:left="2835" w:hanging="567"/>
        <w:rPr>
          <w:lang w:val="en-US"/>
        </w:rPr>
      </w:pPr>
      <w:r>
        <w:rPr>
          <w:iCs/>
          <w:lang w:val="en-US"/>
        </w:rPr>
        <w:t>(b)</w:t>
      </w:r>
      <w:r w:rsidR="00002CD6" w:rsidRPr="00570670">
        <w:rPr>
          <w:iCs/>
          <w:lang w:val="en-US"/>
        </w:rPr>
        <w:tab/>
      </w:r>
      <w:r w:rsidR="00002CD6">
        <w:rPr>
          <w:iCs/>
          <w:lang w:val="en-US"/>
        </w:rPr>
        <w:t>The characteristics …</w:t>
      </w:r>
      <w:r w:rsidR="00002CD6" w:rsidRPr="00570670">
        <w:rPr>
          <w:iCs/>
          <w:lang w:val="en-US"/>
        </w:rPr>
        <w:t>"</w:t>
      </w:r>
    </w:p>
    <w:p w14:paraId="3CFC2EF6" w14:textId="77777777" w:rsidR="00002CD6" w:rsidRPr="00570670" w:rsidRDefault="00002CD6" w:rsidP="00002CD6">
      <w:pPr>
        <w:pStyle w:val="SingleTxtG"/>
        <w:ind w:left="2268" w:hanging="1134"/>
        <w:rPr>
          <w:lang w:val="en-US"/>
        </w:rPr>
      </w:pPr>
      <w:r w:rsidRPr="00570670">
        <w:rPr>
          <w:i/>
          <w:lang w:val="en-US"/>
        </w:rPr>
        <w:t>Insert a new paragraph 2.2.4.</w:t>
      </w:r>
      <w:r w:rsidRPr="002B5557">
        <w:rPr>
          <w:lang w:val="en-US"/>
        </w:rPr>
        <w:t>,</w:t>
      </w:r>
      <w:r w:rsidRPr="00570670">
        <w:rPr>
          <w:lang w:val="en-US"/>
        </w:rPr>
        <w:t xml:space="preserve"> to read</w:t>
      </w:r>
      <w:r>
        <w:rPr>
          <w:lang w:val="en-US"/>
        </w:rPr>
        <w:t>:</w:t>
      </w:r>
    </w:p>
    <w:p w14:paraId="31A256A7" w14:textId="77777777" w:rsidR="00002CD6" w:rsidRPr="00570670" w:rsidRDefault="00002CD6" w:rsidP="00002CD6">
      <w:pPr>
        <w:pStyle w:val="SingleTxtG"/>
        <w:ind w:left="2268" w:hanging="1134"/>
        <w:rPr>
          <w:lang w:val="en-US"/>
        </w:rPr>
      </w:pPr>
      <w:r w:rsidRPr="00570670">
        <w:rPr>
          <w:lang w:val="en-US"/>
        </w:rPr>
        <w:t>"2.2.4.</w:t>
      </w:r>
      <w:r w:rsidRPr="00570670">
        <w:rPr>
          <w:lang w:val="en-US"/>
        </w:rPr>
        <w:tab/>
        <w:t>In the case of a type of lamp differing only by the trade name or mark from a type that has already been approved it shall be sufficient to submit:</w:t>
      </w:r>
    </w:p>
    <w:p w14:paraId="3BE322DA" w14:textId="77777777" w:rsidR="00002CD6" w:rsidRPr="00570670" w:rsidRDefault="00002CD6" w:rsidP="00002CD6">
      <w:pPr>
        <w:pStyle w:val="SingleTxtG"/>
        <w:ind w:left="2268" w:hanging="1134"/>
        <w:rPr>
          <w:lang w:val="en-US"/>
        </w:rPr>
      </w:pPr>
      <w:r w:rsidRPr="00570670">
        <w:rPr>
          <w:lang w:val="en-US"/>
        </w:rPr>
        <w:t>2.2.4.1.</w:t>
      </w:r>
      <w:r w:rsidRPr="00570670">
        <w:rPr>
          <w:lang w:val="en-US"/>
        </w:rPr>
        <w:tab/>
      </w:r>
      <w:r>
        <w:rPr>
          <w:lang w:val="en-US"/>
        </w:rPr>
        <w:t>A</w:t>
      </w:r>
      <w:r w:rsidRPr="00570670">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14:paraId="13BCEB67" w14:textId="77777777" w:rsidR="00002CD6" w:rsidRPr="00570670" w:rsidRDefault="00002CD6" w:rsidP="00002CD6">
      <w:pPr>
        <w:pStyle w:val="SingleTxtG"/>
        <w:ind w:left="2268" w:hanging="1134"/>
        <w:rPr>
          <w:lang w:val="en-US"/>
        </w:rPr>
      </w:pPr>
      <w:r w:rsidRPr="00570670">
        <w:rPr>
          <w:lang w:val="en-US"/>
        </w:rPr>
        <w:t>2.2.4.2.</w:t>
      </w:r>
      <w:r w:rsidRPr="00570670">
        <w:rPr>
          <w:lang w:val="en-US"/>
        </w:rPr>
        <w:tab/>
      </w:r>
      <w:r>
        <w:rPr>
          <w:lang w:val="en-US"/>
        </w:rPr>
        <w:t>T</w:t>
      </w:r>
      <w:r w:rsidRPr="00570670">
        <w:rPr>
          <w:lang w:val="en-US"/>
        </w:rPr>
        <w:t>wo samples bearing the new trade name or mark or equivalent documentation."</w:t>
      </w:r>
    </w:p>
    <w:p w14:paraId="519F789A" w14:textId="77777777" w:rsidR="00002CD6" w:rsidRPr="00A55081" w:rsidRDefault="00002CD6" w:rsidP="00002CD6">
      <w:pPr>
        <w:pStyle w:val="SingleTxtG"/>
        <w:spacing w:after="100"/>
        <w:ind w:left="2268" w:hanging="1134"/>
        <w:rPr>
          <w:lang w:val="en-US"/>
        </w:rPr>
      </w:pPr>
      <w:r w:rsidRPr="00A55081">
        <w:rPr>
          <w:i/>
          <w:iCs/>
          <w:lang w:val="en-US"/>
        </w:rPr>
        <w:t>Insert a new paragraph 2.2.</w:t>
      </w:r>
      <w:r>
        <w:rPr>
          <w:i/>
          <w:iCs/>
          <w:lang w:val="en-US"/>
        </w:rPr>
        <w:t>5</w:t>
      </w:r>
      <w:r w:rsidRPr="00A55081">
        <w:rPr>
          <w:i/>
          <w:iCs/>
          <w:lang w:val="en-US"/>
        </w:rPr>
        <w:t>.</w:t>
      </w:r>
      <w:r w:rsidRPr="00A55081">
        <w:rPr>
          <w:lang w:val="en-US"/>
        </w:rPr>
        <w:t>, to read:</w:t>
      </w:r>
    </w:p>
    <w:p w14:paraId="6DE28FE6" w14:textId="77777777" w:rsidR="00002CD6" w:rsidRPr="00A55081" w:rsidRDefault="00002CD6" w:rsidP="00002CD6">
      <w:pPr>
        <w:pStyle w:val="SingleTxtG"/>
        <w:spacing w:after="100"/>
        <w:ind w:left="2268" w:hanging="1134"/>
        <w:rPr>
          <w:bCs/>
          <w:lang w:val="en-US"/>
        </w:rPr>
      </w:pPr>
      <w:r w:rsidRPr="00A55081">
        <w:rPr>
          <w:bCs/>
          <w:lang w:val="en-US"/>
        </w:rPr>
        <w:t>"2.2.</w:t>
      </w:r>
      <w:r>
        <w:rPr>
          <w:bCs/>
          <w:lang w:val="en-US"/>
        </w:rPr>
        <w:t>5</w:t>
      </w:r>
      <w:r w:rsidRPr="00A55081">
        <w:rPr>
          <w:bCs/>
          <w:lang w:val="en-US"/>
        </w:rPr>
        <w:t>.</w:t>
      </w:r>
      <w:r w:rsidRPr="00A55081">
        <w:rPr>
          <w:bCs/>
          <w:lang w:val="en-US"/>
        </w:rPr>
        <w:tab/>
        <w:t>In the case of a non-replaceable filament lamp(s) or light source module(s) equipped with non-replaceable filament lamp(s): the documents according to paragraph 5.6. of this Regulation."</w:t>
      </w:r>
    </w:p>
    <w:p w14:paraId="27B7503C" w14:textId="77777777" w:rsidR="00002CD6" w:rsidRPr="00570670" w:rsidRDefault="00002CD6" w:rsidP="00002CD6">
      <w:pPr>
        <w:pStyle w:val="SingleTxtG"/>
        <w:rPr>
          <w:b/>
          <w:lang w:val="en-US"/>
        </w:rPr>
      </w:pPr>
      <w:r w:rsidRPr="00570670">
        <w:rPr>
          <w:i/>
          <w:lang w:val="en-US"/>
        </w:rPr>
        <w:t>Paragraph 3.</w:t>
      </w:r>
      <w:r w:rsidRPr="002B5557">
        <w:rPr>
          <w:lang w:val="en-US"/>
        </w:rPr>
        <w:t>,</w:t>
      </w:r>
      <w:r w:rsidRPr="00570670">
        <w:rPr>
          <w:i/>
          <w:lang w:val="en-US"/>
        </w:rPr>
        <w:t xml:space="preserve"> </w:t>
      </w:r>
      <w:r w:rsidRPr="00570670">
        <w:rPr>
          <w:lang w:val="en-US"/>
        </w:rPr>
        <w:t>amend to read:</w:t>
      </w:r>
    </w:p>
    <w:p w14:paraId="3E8DD401" w14:textId="77777777" w:rsidR="00002CD6" w:rsidRPr="00570670" w:rsidRDefault="00002CD6" w:rsidP="00002CD6">
      <w:pPr>
        <w:pStyle w:val="HChG"/>
        <w:keepNext w:val="0"/>
        <w:keepLines w:val="0"/>
        <w:spacing w:before="120" w:line="240" w:lineRule="atLeast"/>
        <w:ind w:firstLine="0"/>
        <w:jc w:val="both"/>
        <w:rPr>
          <w:b w:val="0"/>
          <w:sz w:val="20"/>
          <w:lang w:val="en-US"/>
        </w:rPr>
      </w:pPr>
      <w:r w:rsidRPr="00570670">
        <w:rPr>
          <w:b w:val="0"/>
          <w:sz w:val="20"/>
          <w:lang w:val="en-US"/>
        </w:rPr>
        <w:t>"3.</w:t>
      </w:r>
      <w:r w:rsidRPr="00570670">
        <w:rPr>
          <w:b w:val="0"/>
          <w:sz w:val="20"/>
          <w:lang w:val="en-US"/>
        </w:rPr>
        <w:tab/>
      </w:r>
      <w:r w:rsidRPr="00570670">
        <w:rPr>
          <w:b w:val="0"/>
          <w:sz w:val="20"/>
          <w:lang w:val="en-US"/>
        </w:rPr>
        <w:tab/>
        <w:t>Markings</w:t>
      </w:r>
    </w:p>
    <w:p w14:paraId="620B0BC5" w14:textId="77777777" w:rsidR="00002CD6" w:rsidRPr="00570670" w:rsidRDefault="00002CD6" w:rsidP="00002CD6">
      <w:pPr>
        <w:pStyle w:val="para"/>
        <w:ind w:firstLine="0"/>
      </w:pPr>
      <w:r w:rsidRPr="00570670">
        <w:t>Rear fog lamps submitted for approval shall:</w:t>
      </w:r>
    </w:p>
    <w:p w14:paraId="5CCF6380" w14:textId="77777777" w:rsidR="00002CD6" w:rsidRPr="00570670" w:rsidRDefault="00002CD6" w:rsidP="00002CD6">
      <w:pPr>
        <w:pStyle w:val="SingleTxtG"/>
        <w:ind w:left="2268" w:hanging="1134"/>
        <w:rPr>
          <w:b/>
          <w:lang w:val="en-US"/>
        </w:rPr>
      </w:pPr>
      <w:r w:rsidRPr="00570670">
        <w:rPr>
          <w:lang w:val="en-US"/>
        </w:rPr>
        <w:t>3.1.</w:t>
      </w:r>
      <w:r w:rsidRPr="00570670">
        <w:rPr>
          <w:lang w:val="en-US"/>
        </w:rPr>
        <w:tab/>
        <w:t>…"</w:t>
      </w:r>
    </w:p>
    <w:p w14:paraId="1B2904A9" w14:textId="77777777" w:rsidR="00002CD6" w:rsidRPr="00A13B62" w:rsidRDefault="00002CD6" w:rsidP="00002CD6">
      <w:pPr>
        <w:suppressAutoHyphens w:val="0"/>
        <w:spacing w:after="120"/>
        <w:ind w:left="2268" w:right="1134" w:hanging="1134"/>
        <w:jc w:val="both"/>
        <w:rPr>
          <w:lang w:val="it-IT" w:eastAsia="it-IT"/>
        </w:rPr>
      </w:pPr>
      <w:r w:rsidRPr="00A13B62">
        <w:rPr>
          <w:i/>
          <w:lang w:val="it-IT" w:eastAsia="it-IT"/>
        </w:rPr>
        <w:t>Paragraph 3.4.</w:t>
      </w:r>
      <w:r w:rsidRPr="002B5557">
        <w:rPr>
          <w:lang w:val="it-IT" w:eastAsia="it-IT"/>
        </w:rPr>
        <w:t>,</w:t>
      </w:r>
      <w:r w:rsidRPr="00A13B62">
        <w:rPr>
          <w:lang w:val="it-IT" w:eastAsia="it-IT"/>
        </w:rPr>
        <w:t xml:space="preserve"> amend to read:</w:t>
      </w:r>
    </w:p>
    <w:p w14:paraId="0FA49519" w14:textId="45F95B38" w:rsidR="00002CD6" w:rsidRPr="005651D1" w:rsidRDefault="002B5557" w:rsidP="00002CD6">
      <w:pPr>
        <w:spacing w:after="120"/>
        <w:ind w:left="2268" w:right="1134" w:hanging="1134"/>
        <w:jc w:val="both"/>
        <w:rPr>
          <w:lang w:val="en-US"/>
        </w:rPr>
      </w:pPr>
      <w:r>
        <w:rPr>
          <w:lang w:val="en-US"/>
        </w:rPr>
        <w:t>"3.4.</w:t>
      </w:r>
      <w:r w:rsidR="00002CD6" w:rsidRPr="005651D1">
        <w:rPr>
          <w:lang w:val="en-US"/>
        </w:rPr>
        <w:tab/>
        <w:t>In the case of lamps with an electronic light source control gear or a variable intensity control and/or non-replaceable light sources and/or light source module(s), bear the marking of the rated voltage or range of voltage."</w:t>
      </w:r>
    </w:p>
    <w:p w14:paraId="37F8A16C" w14:textId="77777777" w:rsidR="00002CD6" w:rsidRPr="00A13B62" w:rsidRDefault="00002CD6" w:rsidP="00002CD6">
      <w:pPr>
        <w:suppressAutoHyphens w:val="0"/>
        <w:spacing w:after="120"/>
        <w:ind w:left="2268" w:right="1134" w:hanging="1134"/>
        <w:jc w:val="both"/>
        <w:rPr>
          <w:lang w:val="it-IT" w:eastAsia="it-IT"/>
        </w:rPr>
      </w:pPr>
      <w:r w:rsidRPr="00A13B62">
        <w:rPr>
          <w:i/>
          <w:lang w:val="it-IT" w:eastAsia="it-IT"/>
        </w:rPr>
        <w:t>Paragraph 3.5.3.</w:t>
      </w:r>
      <w:r w:rsidRPr="002B5557">
        <w:rPr>
          <w:lang w:val="it-IT" w:eastAsia="it-IT"/>
        </w:rPr>
        <w:t>,</w:t>
      </w:r>
      <w:r w:rsidRPr="00A13B62">
        <w:rPr>
          <w:lang w:val="it-IT" w:eastAsia="it-IT"/>
        </w:rPr>
        <w:t xml:space="preserve"> amend to read:</w:t>
      </w:r>
    </w:p>
    <w:p w14:paraId="58556EB2" w14:textId="109A54E4" w:rsidR="00002CD6" w:rsidRPr="005B7B9C" w:rsidRDefault="002B5557" w:rsidP="00002CD6">
      <w:pPr>
        <w:spacing w:after="120"/>
        <w:ind w:left="2268" w:right="1134" w:hanging="1134"/>
        <w:jc w:val="both"/>
        <w:rPr>
          <w:lang w:val="en-US"/>
        </w:rPr>
      </w:pPr>
      <w:r>
        <w:rPr>
          <w:lang w:val="en-US"/>
        </w:rPr>
        <w:t>"3.5.3.</w:t>
      </w:r>
      <w:r w:rsidR="00002CD6" w:rsidRPr="005651D1">
        <w:rPr>
          <w:lang w:val="en-US"/>
        </w:rPr>
        <w:tab/>
        <w:t>The marking of the rated voltage or range of voltage."</w:t>
      </w:r>
    </w:p>
    <w:p w14:paraId="608480EC" w14:textId="77777777" w:rsidR="00002CD6" w:rsidRPr="00CB321B" w:rsidRDefault="00002CD6" w:rsidP="00002CD6">
      <w:pPr>
        <w:spacing w:after="120"/>
        <w:ind w:left="1985" w:right="1134" w:hanging="851"/>
        <w:rPr>
          <w:i/>
          <w:iCs/>
          <w:lang w:val="en-US"/>
        </w:rPr>
      </w:pPr>
      <w:r w:rsidRPr="00CB321B">
        <w:rPr>
          <w:i/>
          <w:iCs/>
          <w:lang w:val="en-US"/>
        </w:rPr>
        <w:t>Paragraph 5.</w:t>
      </w:r>
      <w:r w:rsidRPr="00CB321B">
        <w:rPr>
          <w:lang w:val="en-US"/>
        </w:rPr>
        <w:t>, amend to read:</w:t>
      </w:r>
    </w:p>
    <w:p w14:paraId="5652CAE7" w14:textId="77777777" w:rsidR="00002CD6" w:rsidRPr="00BA22A6" w:rsidRDefault="00002CD6" w:rsidP="00002CD6">
      <w:pPr>
        <w:spacing w:after="240"/>
        <w:ind w:left="2268" w:right="1134" w:hanging="1134"/>
        <w:rPr>
          <w:b/>
          <w:sz w:val="28"/>
          <w:szCs w:val="28"/>
          <w:lang w:val="en-US"/>
        </w:rPr>
      </w:pPr>
      <w:r w:rsidRPr="00BA22A6">
        <w:rPr>
          <w:b/>
          <w:sz w:val="28"/>
          <w:szCs w:val="28"/>
          <w:lang w:val="en-US"/>
        </w:rPr>
        <w:t>"5.</w:t>
      </w:r>
      <w:r w:rsidRPr="00BA22A6">
        <w:rPr>
          <w:b/>
          <w:sz w:val="28"/>
          <w:szCs w:val="28"/>
          <w:lang w:val="en-US"/>
        </w:rPr>
        <w:tab/>
        <w:t>General specifications</w:t>
      </w:r>
    </w:p>
    <w:p w14:paraId="413EF2B5" w14:textId="198099FD" w:rsidR="00002CD6" w:rsidRPr="00570670" w:rsidRDefault="00002CD6" w:rsidP="00002CD6">
      <w:pPr>
        <w:spacing w:after="120"/>
        <w:ind w:left="2268" w:right="1134" w:hanging="1134"/>
        <w:jc w:val="both"/>
        <w:rPr>
          <w:lang w:val="en-US"/>
        </w:rPr>
      </w:pPr>
      <w:r w:rsidRPr="00570670">
        <w:rPr>
          <w:lang w:val="en-US"/>
        </w:rPr>
        <w:tab/>
        <w:t>The requirements contained in sections 5. "General specification</w:t>
      </w:r>
      <w:r>
        <w:rPr>
          <w:lang w:val="en-US"/>
        </w:rPr>
        <w:t>s</w:t>
      </w:r>
      <w:r w:rsidR="002B5557">
        <w:rPr>
          <w:lang w:val="en-US"/>
        </w:rPr>
        <w:t>" and </w:t>
      </w:r>
      <w:r w:rsidRPr="00570670">
        <w:rPr>
          <w:lang w:val="en-US"/>
        </w:rPr>
        <w:t xml:space="preserve">6. "Individual specifications" and in the Annexes referenced in the said sections of Regulations Nos. 48, 53 or 86, and their series of amendments in </w:t>
      </w:r>
      <w:r w:rsidRPr="00570670">
        <w:rPr>
          <w:lang w:val="en-US"/>
        </w:rPr>
        <w:lastRenderedPageBreak/>
        <w:t>force at the time of application for the lamp type approval shall apply to this Regulation.</w:t>
      </w:r>
    </w:p>
    <w:p w14:paraId="26F1EE16" w14:textId="77777777" w:rsidR="00002CD6" w:rsidRDefault="00002CD6" w:rsidP="00002CD6">
      <w:pPr>
        <w:spacing w:after="120"/>
        <w:ind w:left="2268" w:right="1134" w:hanging="1134"/>
        <w:jc w:val="both"/>
        <w:rPr>
          <w:lang w:val="en-US"/>
        </w:rPr>
      </w:pPr>
      <w:r w:rsidRPr="00570670">
        <w:rPr>
          <w:lang w:val="en-US"/>
        </w:rPr>
        <w:tab/>
        <w:t>The requirements pertinent to each lamp and to the category/ies of vehicle on which the lamp is intended to be installed shall be applied, where its verification at the moment of lamp type approval is feasible.</w:t>
      </w:r>
    </w:p>
    <w:p w14:paraId="2A477DC9" w14:textId="77777777" w:rsidR="00002CD6" w:rsidRPr="00570670" w:rsidRDefault="00002CD6" w:rsidP="00002CD6">
      <w:pPr>
        <w:spacing w:after="120"/>
        <w:ind w:left="2268" w:right="1134" w:hanging="1134"/>
        <w:jc w:val="both"/>
        <w:rPr>
          <w:lang w:val="en-US"/>
        </w:rPr>
      </w:pPr>
      <w:r>
        <w:rPr>
          <w:lang w:val="en-US"/>
        </w:rPr>
        <w:t>5.1.</w:t>
      </w:r>
      <w:r>
        <w:rPr>
          <w:lang w:val="en-US"/>
        </w:rPr>
        <w:tab/>
        <w:t>…</w:t>
      </w:r>
      <w:r w:rsidRPr="00570670">
        <w:rPr>
          <w:lang w:val="en-US"/>
        </w:rPr>
        <w:t>"</w:t>
      </w:r>
    </w:p>
    <w:p w14:paraId="13B15FEA" w14:textId="77777777" w:rsidR="00002CD6" w:rsidRPr="00A55081" w:rsidRDefault="00002CD6" w:rsidP="00002CD6">
      <w:pPr>
        <w:pStyle w:val="SingleTxtG"/>
        <w:spacing w:after="100"/>
        <w:ind w:left="2268" w:hanging="1134"/>
        <w:rPr>
          <w:lang w:val="en-US"/>
        </w:rPr>
      </w:pPr>
      <w:r w:rsidRPr="00A55081">
        <w:rPr>
          <w:i/>
          <w:iCs/>
          <w:lang w:val="en-US"/>
        </w:rPr>
        <w:t>Insert a new paragraph 5.6.</w:t>
      </w:r>
      <w:r w:rsidRPr="00A55081">
        <w:rPr>
          <w:lang w:val="en-US"/>
        </w:rPr>
        <w:t>, to read:</w:t>
      </w:r>
    </w:p>
    <w:p w14:paraId="16B949F6" w14:textId="77777777" w:rsidR="00002CD6" w:rsidRPr="005C50F0" w:rsidRDefault="00002CD6" w:rsidP="00002CD6">
      <w:pPr>
        <w:pStyle w:val="SingleTxtG"/>
        <w:spacing w:after="100"/>
        <w:ind w:left="2268" w:hanging="1134"/>
        <w:rPr>
          <w:bCs/>
        </w:rPr>
      </w:pPr>
      <w:r w:rsidRPr="00A55081">
        <w:rPr>
          <w:bCs/>
          <w:lang w:val="en-US"/>
        </w:rPr>
        <w:t>"5.6.</w:t>
      </w:r>
      <w:r w:rsidRPr="00A55081">
        <w:rPr>
          <w:bCs/>
          <w:lang w:val="en-US"/>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w:t>
      </w:r>
      <w:r w:rsidRPr="00A55081">
        <w:rPr>
          <w:bCs/>
          <w:lang w:val="en-US"/>
        </w:rPr>
        <w:br/>
      </w:r>
      <w:r w:rsidRPr="005C50F0">
        <w:rPr>
          <w:bCs/>
        </w:rPr>
        <w:t xml:space="preserve">non-replaceable filament lamp(s) with the requirements as specified in paragraph </w:t>
      </w:r>
      <w:r>
        <w:rPr>
          <w:bCs/>
        </w:rPr>
        <w:t>4</w:t>
      </w:r>
      <w:r w:rsidRPr="005C50F0">
        <w:rPr>
          <w:bCs/>
        </w:rPr>
        <w:t>.11. of IEC 60809, Edition 3."</w:t>
      </w:r>
    </w:p>
    <w:p w14:paraId="5D570D73" w14:textId="77777777" w:rsidR="00002CD6" w:rsidRPr="005651D1" w:rsidRDefault="00002CD6" w:rsidP="00002CD6">
      <w:pPr>
        <w:spacing w:after="120"/>
        <w:ind w:left="1134" w:right="1134"/>
        <w:jc w:val="both"/>
        <w:rPr>
          <w:bCs/>
          <w:lang w:val="en-US"/>
        </w:rPr>
      </w:pPr>
      <w:r w:rsidRPr="005651D1">
        <w:rPr>
          <w:bCs/>
          <w:i/>
          <w:lang w:val="en-US"/>
        </w:rPr>
        <w:t>Paragraph 6.4.</w:t>
      </w:r>
      <w:r w:rsidRPr="002B5557">
        <w:rPr>
          <w:bCs/>
          <w:lang w:val="en-US"/>
        </w:rPr>
        <w:t>,</w:t>
      </w:r>
      <w:r w:rsidRPr="005651D1">
        <w:rPr>
          <w:b/>
          <w:bCs/>
          <w:lang w:val="en-US"/>
        </w:rPr>
        <w:t xml:space="preserve"> </w:t>
      </w:r>
      <w:r w:rsidRPr="005651D1">
        <w:rPr>
          <w:bCs/>
          <w:lang w:val="en-US"/>
        </w:rPr>
        <w:t>amend to read:</w:t>
      </w:r>
    </w:p>
    <w:p w14:paraId="6FABDF9F" w14:textId="77777777" w:rsidR="00002CD6" w:rsidRPr="005651D1" w:rsidRDefault="00002CD6" w:rsidP="00002CD6">
      <w:pPr>
        <w:spacing w:after="120"/>
        <w:ind w:left="2268" w:right="1134" w:hanging="1134"/>
        <w:jc w:val="both"/>
        <w:rPr>
          <w:lang w:val="en-US" w:eastAsia="de-DE"/>
        </w:rPr>
      </w:pPr>
      <w:r w:rsidRPr="005651D1">
        <w:rPr>
          <w:lang w:val="en-US" w:eastAsia="de-DE"/>
        </w:rPr>
        <w:t>"6.4.</w:t>
      </w:r>
      <w:r w:rsidRPr="005651D1">
        <w:rPr>
          <w:lang w:val="en-US" w:eastAsia="de-DE"/>
        </w:rPr>
        <w:tab/>
        <w:t>In the case of a single lamp containing more than one light source</w:t>
      </w:r>
      <w:r>
        <w:rPr>
          <w:lang w:val="en-US" w:eastAsia="de-DE"/>
        </w:rPr>
        <w:t xml:space="preserve"> </w:t>
      </w:r>
      <w:r w:rsidRPr="005651D1">
        <w:rPr>
          <w:lang w:val="en-US" w:eastAsia="de-DE"/>
        </w:rPr>
        <w:t>when all light sources are illuminated the maximum intensities shall not be exceeded."</w:t>
      </w:r>
    </w:p>
    <w:p w14:paraId="2FAED7B7" w14:textId="41242DCB" w:rsidR="00002CD6" w:rsidRPr="005651D1" w:rsidRDefault="00002CD6" w:rsidP="00002CD6">
      <w:pPr>
        <w:keepNext/>
        <w:keepLines/>
        <w:spacing w:after="120"/>
        <w:ind w:left="1134" w:right="1134"/>
        <w:jc w:val="both"/>
        <w:rPr>
          <w:bCs/>
          <w:lang w:val="en-US"/>
        </w:rPr>
      </w:pPr>
      <w:r w:rsidRPr="005651D1">
        <w:rPr>
          <w:bCs/>
          <w:i/>
          <w:lang w:val="en-US"/>
        </w:rPr>
        <w:t>Insert a new paragraph 6.5.</w:t>
      </w:r>
      <w:r w:rsidR="002B5557">
        <w:rPr>
          <w:bCs/>
          <w:lang w:val="en-US"/>
        </w:rPr>
        <w:t>,</w:t>
      </w:r>
      <w:r w:rsidRPr="005651D1">
        <w:rPr>
          <w:bCs/>
          <w:lang w:val="en-US"/>
        </w:rPr>
        <w:t xml:space="preserve"> to read:</w:t>
      </w:r>
    </w:p>
    <w:p w14:paraId="6196522F" w14:textId="77777777" w:rsidR="00002CD6" w:rsidRPr="005651D1" w:rsidRDefault="00002CD6" w:rsidP="00002CD6">
      <w:pPr>
        <w:keepNext/>
        <w:keepLines/>
        <w:spacing w:after="120"/>
        <w:ind w:left="2259" w:right="1134" w:hanging="1125"/>
        <w:jc w:val="both"/>
        <w:rPr>
          <w:lang w:val="en-US"/>
        </w:rPr>
      </w:pPr>
      <w:r w:rsidRPr="005651D1">
        <w:rPr>
          <w:lang w:val="en-US" w:eastAsia="de-DE"/>
        </w:rPr>
        <w:t>"6.5.</w:t>
      </w:r>
      <w:r w:rsidRPr="005651D1">
        <w:rPr>
          <w:lang w:val="en-US" w:eastAsia="de-DE"/>
        </w:rPr>
        <w:tab/>
      </w:r>
      <w:r w:rsidRPr="005651D1">
        <w:rPr>
          <w:rFonts w:eastAsia="Calibri"/>
          <w:lang w:val="en-US"/>
        </w:rPr>
        <w:t>Failure of a single lamp containing more than one light source:</w:t>
      </w:r>
    </w:p>
    <w:p w14:paraId="5EDBB295" w14:textId="77777777" w:rsidR="00002CD6" w:rsidRPr="005651D1" w:rsidRDefault="00002CD6" w:rsidP="00002CD6">
      <w:pPr>
        <w:spacing w:after="120"/>
        <w:ind w:left="2259" w:right="1134" w:hanging="1125"/>
        <w:jc w:val="both"/>
        <w:rPr>
          <w:lang w:val="en-US"/>
        </w:rPr>
      </w:pPr>
      <w:r w:rsidRPr="005651D1">
        <w:rPr>
          <w:lang w:val="en-US"/>
        </w:rPr>
        <w:t>6.5.1.</w:t>
      </w:r>
      <w:r w:rsidRPr="005651D1">
        <w:rPr>
          <w:lang w:val="en-US"/>
        </w:rPr>
        <w:tab/>
        <w:t>I</w:t>
      </w:r>
      <w:r w:rsidRPr="005651D1">
        <w:rPr>
          <w:rFonts w:eastAsia="Calibri"/>
          <w:lang w:val="en-US"/>
        </w:rPr>
        <w:t>n a single lamp containing more than one light source, a</w:t>
      </w:r>
      <w:r w:rsidRPr="005651D1">
        <w:rPr>
          <w:lang w:val="en-US"/>
        </w:rPr>
        <w:t xml:space="preserve"> group of light sources, wired so that the failure of any one of them causes all of them to stop emitting light, shall be considered to be one light source.</w:t>
      </w:r>
    </w:p>
    <w:p w14:paraId="2D5EF258" w14:textId="77777777" w:rsidR="00002CD6" w:rsidRPr="005651D1" w:rsidRDefault="00002CD6" w:rsidP="00002CD6">
      <w:pPr>
        <w:spacing w:after="120"/>
        <w:ind w:left="2268" w:right="1134" w:hanging="1134"/>
        <w:jc w:val="both"/>
        <w:rPr>
          <w:rFonts w:eastAsia="Calibri"/>
          <w:lang w:val="en-US"/>
        </w:rPr>
      </w:pPr>
      <w:r w:rsidRPr="005651D1">
        <w:rPr>
          <w:bCs/>
          <w:lang w:val="en-US"/>
        </w:rPr>
        <w:t>6.5.2.</w:t>
      </w:r>
      <w:r w:rsidRPr="005651D1">
        <w:rPr>
          <w:bCs/>
          <w:lang w:val="en-US"/>
        </w:rPr>
        <w:tab/>
        <w:t>I</w:t>
      </w:r>
      <w:r w:rsidRPr="005651D1">
        <w:rPr>
          <w:rFonts w:eastAsia="Calibri"/>
          <w:bCs/>
          <w:snapToGrid w:val="0"/>
          <w:lang w:val="en-US"/>
        </w:rPr>
        <w:t>n case of failure of any one light source in a single lamp containing more than one light source, at least one of the following provisions shall apply:</w:t>
      </w:r>
    </w:p>
    <w:p w14:paraId="2E83E93F" w14:textId="1DAE9ED3" w:rsidR="00002CD6" w:rsidRPr="005651D1" w:rsidRDefault="00002CD6" w:rsidP="00002CD6">
      <w:pPr>
        <w:tabs>
          <w:tab w:val="left" w:pos="2268"/>
        </w:tabs>
        <w:spacing w:after="120"/>
        <w:ind w:left="2835" w:right="1134" w:hanging="1701"/>
        <w:jc w:val="both"/>
        <w:rPr>
          <w:rFonts w:eastAsia="Calibri"/>
          <w:bCs/>
          <w:lang w:val="en-US"/>
        </w:rPr>
      </w:pPr>
      <w:r w:rsidRPr="005651D1">
        <w:rPr>
          <w:rFonts w:eastAsia="Calibri"/>
          <w:bCs/>
          <w:snapToGrid w:val="0"/>
          <w:lang w:val="en-US"/>
        </w:rPr>
        <w:tab/>
        <w:t>(a)</w:t>
      </w:r>
      <w:r w:rsidRPr="005651D1">
        <w:rPr>
          <w:rFonts w:eastAsia="Calibri"/>
          <w:bCs/>
          <w:snapToGrid w:val="0"/>
          <w:lang w:val="en-US"/>
        </w:rPr>
        <w:tab/>
        <w:t xml:space="preserve">The light intensity </w:t>
      </w:r>
      <w:r w:rsidRPr="005651D1">
        <w:rPr>
          <w:rFonts w:eastAsia="Calibri"/>
          <w:bCs/>
          <w:lang w:val="en-US"/>
        </w:rPr>
        <w:t>complies with the minimum intensity required in the table of standard light distribution in space as</w:t>
      </w:r>
      <w:r w:rsidR="002B5557">
        <w:rPr>
          <w:rFonts w:eastAsia="Calibri"/>
          <w:bCs/>
          <w:lang w:val="en-US"/>
        </w:rPr>
        <w:t xml:space="preserve"> shown in Annex 3;</w:t>
      </w:r>
      <w:r w:rsidRPr="005651D1">
        <w:rPr>
          <w:rFonts w:eastAsia="Calibri"/>
          <w:bCs/>
          <w:lang w:val="en-US"/>
        </w:rPr>
        <w:t xml:space="preserve"> or</w:t>
      </w:r>
    </w:p>
    <w:p w14:paraId="1597D01C" w14:textId="77777777" w:rsidR="00002CD6" w:rsidRPr="005651D1" w:rsidRDefault="00002CD6" w:rsidP="00002CD6">
      <w:pPr>
        <w:tabs>
          <w:tab w:val="left" w:pos="2268"/>
        </w:tabs>
        <w:spacing w:after="120"/>
        <w:ind w:left="2835" w:right="1134" w:hanging="1701"/>
        <w:jc w:val="both"/>
        <w:rPr>
          <w:rFonts w:eastAsia="Calibri"/>
          <w:bCs/>
          <w:snapToGrid w:val="0"/>
          <w:lang w:val="en-US"/>
        </w:rPr>
      </w:pPr>
      <w:r w:rsidRPr="005651D1">
        <w:rPr>
          <w:rFonts w:eastAsia="Calibri"/>
          <w:bCs/>
          <w:snapToGrid w:val="0"/>
          <w:lang w:val="en-US"/>
        </w:rPr>
        <w:tab/>
        <w:t>(</w:t>
      </w:r>
      <w:r w:rsidRPr="005651D1">
        <w:rPr>
          <w:rFonts w:eastAsia="Calibri"/>
          <w:bCs/>
          <w:lang w:val="en-US"/>
        </w:rPr>
        <w:t>b)</w:t>
      </w:r>
      <w:r w:rsidRPr="005651D1">
        <w:rPr>
          <w:rFonts w:eastAsia="Calibri"/>
          <w:bCs/>
          <w:lang w:val="en-US"/>
        </w:rPr>
        <w:tab/>
        <w:t xml:space="preserve">A signal for activation of a tell-tale indicating failure, as indicated in paragraph 6.11.8. of Regulation No. 48, is produced, provided that the luminous intensity </w:t>
      </w:r>
      <w:r w:rsidRPr="005651D1">
        <w:rPr>
          <w:rFonts w:eastAsia="Calibri"/>
          <w:bCs/>
          <w:snapToGrid w:val="0"/>
          <w:lang w:val="en-US"/>
        </w:rPr>
        <w:t>in the axis of reference</w:t>
      </w:r>
      <w:r w:rsidRPr="005651D1">
        <w:rPr>
          <w:rFonts w:eastAsia="Calibri"/>
          <w:bCs/>
          <w:lang w:val="en-US"/>
        </w:rPr>
        <w:t xml:space="preserve"> is at least 50</w:t>
      </w:r>
      <w:r w:rsidRPr="005651D1">
        <w:rPr>
          <w:rFonts w:eastAsia="Calibri"/>
          <w:bCs/>
          <w:snapToGrid w:val="0"/>
          <w:lang w:val="en-US"/>
        </w:rPr>
        <w:t xml:space="preserve"> per cent of the minimum intensity required. In this case, a note in the communication form states that the lamp is only for use on a vehicle fitted with a tell-tale</w:t>
      </w:r>
      <w:r w:rsidRPr="005651D1">
        <w:rPr>
          <w:lang w:val="en-US"/>
        </w:rPr>
        <w:t xml:space="preserve"> indicating failure</w:t>
      </w:r>
      <w:r w:rsidRPr="005651D1">
        <w:rPr>
          <w:rFonts w:eastAsia="Calibri"/>
          <w:bCs/>
          <w:snapToGrid w:val="0"/>
          <w:lang w:val="en-US"/>
        </w:rPr>
        <w:t>."</w:t>
      </w:r>
    </w:p>
    <w:p w14:paraId="7C177AD0" w14:textId="77777777" w:rsidR="00002CD6" w:rsidRPr="005651D1" w:rsidRDefault="00002CD6" w:rsidP="00002CD6">
      <w:pPr>
        <w:spacing w:after="120"/>
        <w:ind w:left="1134" w:right="1134"/>
        <w:jc w:val="both"/>
        <w:rPr>
          <w:rFonts w:eastAsia="Calibri"/>
          <w:bCs/>
          <w:snapToGrid w:val="0"/>
          <w:lang w:val="en-US"/>
        </w:rPr>
      </w:pPr>
      <w:r w:rsidRPr="005651D1">
        <w:rPr>
          <w:rFonts w:eastAsia="Calibri"/>
          <w:bCs/>
          <w:i/>
          <w:snapToGrid w:val="0"/>
          <w:lang w:val="en-US"/>
        </w:rPr>
        <w:t>Paragraphs 6.5. (former), and its subparagraphs, to 6.7.</w:t>
      </w:r>
      <w:r w:rsidRPr="002B5557">
        <w:rPr>
          <w:rFonts w:eastAsia="Calibri"/>
          <w:bCs/>
          <w:snapToGrid w:val="0"/>
          <w:lang w:val="en-US"/>
        </w:rPr>
        <w:t>,</w:t>
      </w:r>
      <w:r w:rsidRPr="005651D1">
        <w:rPr>
          <w:rFonts w:eastAsia="Calibri"/>
          <w:bCs/>
          <w:snapToGrid w:val="0"/>
          <w:lang w:val="en-US"/>
        </w:rPr>
        <w:t xml:space="preserve"> renumber accordingly.</w:t>
      </w:r>
    </w:p>
    <w:p w14:paraId="2BCF8A0E" w14:textId="0C217606" w:rsidR="00002CD6" w:rsidRPr="005C50F0" w:rsidRDefault="00002CD6" w:rsidP="00002CD6">
      <w:pPr>
        <w:spacing w:after="100"/>
        <w:ind w:left="2268" w:right="1134" w:hanging="1134"/>
        <w:jc w:val="both"/>
      </w:pPr>
      <w:r w:rsidRPr="005C50F0">
        <w:rPr>
          <w:bCs/>
          <w:i/>
          <w:iCs/>
        </w:rPr>
        <w:t>Paragraph 10</w:t>
      </w:r>
      <w:r>
        <w:rPr>
          <w:bCs/>
          <w:i/>
          <w:iCs/>
        </w:rPr>
        <w:t>.1.</w:t>
      </w:r>
      <w:r w:rsidR="002B5557">
        <w:rPr>
          <w:bCs/>
          <w:iCs/>
        </w:rPr>
        <w:t>,</w:t>
      </w:r>
      <w:r w:rsidRPr="005C50F0">
        <w:rPr>
          <w:bCs/>
          <w:i/>
          <w:iCs/>
        </w:rPr>
        <w:t xml:space="preserve"> </w:t>
      </w:r>
      <w:r w:rsidRPr="00C84BAE">
        <w:rPr>
          <w:bCs/>
          <w:iCs/>
        </w:rPr>
        <w:t>amend to read</w:t>
      </w:r>
      <w:r w:rsidRPr="005C50F0">
        <w:rPr>
          <w:bCs/>
          <w:i/>
          <w:iCs/>
        </w:rPr>
        <w:t>:</w:t>
      </w:r>
    </w:p>
    <w:p w14:paraId="53F004BD" w14:textId="77777777" w:rsidR="00002CD6" w:rsidRPr="005C50F0" w:rsidRDefault="00002CD6" w:rsidP="00002CD6">
      <w:pPr>
        <w:spacing w:after="100"/>
        <w:ind w:left="2268" w:right="1134" w:hanging="1134"/>
        <w:jc w:val="both"/>
      </w:pPr>
      <w:r w:rsidRPr="005C50F0">
        <w:t>"10.1.</w:t>
      </w:r>
      <w:r w:rsidRPr="005C50F0">
        <w:tab/>
        <w:t>Rear fog lamps shall be so manufactured as to conform to the type approved under this</w:t>
      </w:r>
      <w:r>
        <w:t xml:space="preserve"> Regulation.</w:t>
      </w:r>
    </w:p>
    <w:p w14:paraId="39F2B5B4" w14:textId="77777777" w:rsidR="00002CD6" w:rsidRPr="005C50F0" w:rsidRDefault="00002CD6" w:rsidP="00002CD6">
      <w:pPr>
        <w:spacing w:after="100"/>
        <w:ind w:left="2268" w:right="1134"/>
        <w:jc w:val="both"/>
      </w:pPr>
      <w:r w:rsidRPr="005C50F0">
        <w:t>The compliance with the requirements set forth in paragraphs 6</w:t>
      </w:r>
      <w:r>
        <w:t>.</w:t>
      </w:r>
      <w:r w:rsidRPr="005C50F0">
        <w:t xml:space="preserve"> and 9</w:t>
      </w:r>
      <w:r>
        <w:t>.</w:t>
      </w:r>
      <w:r w:rsidRPr="005C50F0">
        <w:t xml:space="preserve"> above shall be verified as follows:"</w:t>
      </w:r>
    </w:p>
    <w:p w14:paraId="2F319B93" w14:textId="77777777" w:rsidR="00002CD6" w:rsidRPr="005C50F0" w:rsidRDefault="00002CD6" w:rsidP="00002CD6">
      <w:pPr>
        <w:spacing w:after="100"/>
        <w:ind w:left="2268" w:right="1134" w:hanging="1134"/>
        <w:jc w:val="both"/>
      </w:pPr>
      <w:r w:rsidRPr="005C50F0">
        <w:rPr>
          <w:i/>
        </w:rPr>
        <w:t>Paragraph 10.2. (former)</w:t>
      </w:r>
      <w:r w:rsidRPr="005C50F0">
        <w:t>, renumber as paragraph 10.1.1.</w:t>
      </w:r>
    </w:p>
    <w:p w14:paraId="1D2A206F" w14:textId="77777777" w:rsidR="00002CD6" w:rsidRPr="005C50F0" w:rsidRDefault="00002CD6" w:rsidP="00002CD6">
      <w:pPr>
        <w:spacing w:after="100"/>
        <w:ind w:left="2268" w:right="1134" w:hanging="1134"/>
        <w:jc w:val="both"/>
        <w:rPr>
          <w:bCs/>
        </w:rPr>
      </w:pPr>
      <w:r w:rsidRPr="005C50F0">
        <w:rPr>
          <w:i/>
        </w:rPr>
        <w:t>Paragraph 10.3. (former)</w:t>
      </w:r>
      <w:r w:rsidRPr="005C50F0">
        <w:t>, renumber as paragraph 10.1.2.</w:t>
      </w:r>
    </w:p>
    <w:p w14:paraId="742B077B" w14:textId="77777777" w:rsidR="00002CD6" w:rsidRPr="005C50F0" w:rsidRDefault="00002CD6" w:rsidP="00002CD6">
      <w:pPr>
        <w:spacing w:after="100"/>
        <w:ind w:left="2268" w:right="1134" w:hanging="1134"/>
        <w:jc w:val="both"/>
      </w:pPr>
      <w:r w:rsidRPr="005C50F0">
        <w:rPr>
          <w:i/>
        </w:rPr>
        <w:t>Paragraph 10.4. (former)</w:t>
      </w:r>
      <w:r w:rsidRPr="005C50F0">
        <w:t>, renumber as paragraph 10.2.</w:t>
      </w:r>
    </w:p>
    <w:p w14:paraId="31CAECA0" w14:textId="565527CE" w:rsidR="00002CD6" w:rsidRPr="005C50F0" w:rsidRDefault="00002CD6" w:rsidP="00002CD6">
      <w:pPr>
        <w:pStyle w:val="SingleTxtG"/>
        <w:keepNext/>
        <w:keepLines/>
        <w:spacing w:after="100"/>
        <w:ind w:left="2268" w:hanging="1134"/>
      </w:pPr>
      <w:r w:rsidRPr="005C50F0">
        <w:rPr>
          <w:i/>
          <w:iCs/>
        </w:rPr>
        <w:lastRenderedPageBreak/>
        <w:t>Insert a new paragraph 10.</w:t>
      </w:r>
      <w:r>
        <w:rPr>
          <w:i/>
          <w:iCs/>
        </w:rPr>
        <w:t>3</w:t>
      </w:r>
      <w:r w:rsidR="002B5557">
        <w:rPr>
          <w:i/>
          <w:iCs/>
        </w:rPr>
        <w:t>.</w:t>
      </w:r>
      <w:r w:rsidRPr="002B5557">
        <w:rPr>
          <w:iCs/>
        </w:rPr>
        <w:t>,</w:t>
      </w:r>
      <w:r w:rsidRPr="005C50F0">
        <w:rPr>
          <w:i/>
          <w:iCs/>
        </w:rPr>
        <w:t xml:space="preserve"> </w:t>
      </w:r>
      <w:r w:rsidRPr="005C50F0">
        <w:t>to read:</w:t>
      </w:r>
    </w:p>
    <w:p w14:paraId="50E4822D" w14:textId="28E2B87A" w:rsidR="00002CD6" w:rsidRPr="00A55081" w:rsidRDefault="00002CD6" w:rsidP="00002CD6">
      <w:pPr>
        <w:pStyle w:val="SingleTxtG"/>
        <w:keepNext/>
        <w:keepLines/>
        <w:spacing w:after="100"/>
        <w:ind w:left="2268" w:hanging="1134"/>
        <w:rPr>
          <w:lang w:val="en-US"/>
        </w:rPr>
      </w:pPr>
      <w:r w:rsidRPr="00A55081">
        <w:rPr>
          <w:bCs/>
          <w:lang w:val="en-US"/>
        </w:rPr>
        <w:t>"10.3.</w:t>
      </w:r>
      <w:r w:rsidRPr="00A55081">
        <w:rPr>
          <w:bCs/>
          <w:lang w:val="en-US"/>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lang w:val="en-US"/>
        </w:rPr>
        <w:t>4</w:t>
      </w:r>
      <w:r w:rsidR="002B5557">
        <w:rPr>
          <w:bCs/>
          <w:lang w:val="en-US"/>
        </w:rPr>
        <w:t>.11. of IEC 60809, Edition </w:t>
      </w:r>
      <w:r w:rsidRPr="00A55081">
        <w:rPr>
          <w:bCs/>
          <w:lang w:val="en-US"/>
        </w:rPr>
        <w:t>3."</w:t>
      </w:r>
    </w:p>
    <w:p w14:paraId="6962E032" w14:textId="77777777" w:rsidR="00002CD6" w:rsidRPr="004257CA" w:rsidRDefault="00002CD6" w:rsidP="00002CD6">
      <w:pPr>
        <w:autoSpaceDE w:val="0"/>
        <w:autoSpaceDN w:val="0"/>
        <w:adjustRightInd w:val="0"/>
        <w:spacing w:after="120"/>
        <w:ind w:left="1134" w:right="1134"/>
        <w:jc w:val="both"/>
        <w:rPr>
          <w:lang w:val="en-US"/>
        </w:rPr>
      </w:pPr>
      <w:r w:rsidRPr="004257CA">
        <w:rPr>
          <w:i/>
          <w:lang w:val="en-US"/>
        </w:rPr>
        <w:t>Annex 1, item 9</w:t>
      </w:r>
      <w:r w:rsidRPr="004257CA">
        <w:rPr>
          <w:lang w:val="en-US"/>
        </w:rPr>
        <w:t>, amend to read:</w:t>
      </w:r>
    </w:p>
    <w:p w14:paraId="113FD4EE" w14:textId="77777777" w:rsidR="00002CD6" w:rsidRPr="005651D1" w:rsidRDefault="00002CD6" w:rsidP="00582F8B">
      <w:pPr>
        <w:pStyle w:val="SingleTxtG"/>
        <w:keepNext/>
        <w:keepLines/>
        <w:spacing w:after="100"/>
        <w:ind w:left="2268" w:hanging="1134"/>
        <w:rPr>
          <w:bCs/>
          <w:lang w:val="en-US"/>
        </w:rPr>
      </w:pPr>
      <w:r w:rsidRPr="005651D1">
        <w:rPr>
          <w:lang w:val="en-US"/>
        </w:rPr>
        <w:t>"9.</w:t>
      </w:r>
      <w:r w:rsidRPr="005651D1">
        <w:rPr>
          <w:lang w:val="en-US"/>
        </w:rPr>
        <w:tab/>
      </w:r>
      <w:r w:rsidRPr="005651D1">
        <w:rPr>
          <w:bCs/>
          <w:lang w:val="en-US"/>
        </w:rPr>
        <w:t>Concise description:</w:t>
      </w:r>
    </w:p>
    <w:p w14:paraId="58D85E1D" w14:textId="2C7BBEB8" w:rsidR="00002CD6" w:rsidRPr="005651D1" w:rsidRDefault="00002CD6" w:rsidP="002A1775">
      <w:pPr>
        <w:widowControl w:val="0"/>
        <w:tabs>
          <w:tab w:val="left" w:pos="2268"/>
          <w:tab w:val="right" w:leader="dot" w:pos="8505"/>
        </w:tabs>
        <w:spacing w:after="120"/>
        <w:ind w:left="2268" w:right="1134" w:hanging="567"/>
        <w:jc w:val="both"/>
        <w:rPr>
          <w:bCs/>
          <w:lang w:val="en-US"/>
        </w:rPr>
      </w:pPr>
      <w:r w:rsidRPr="005651D1">
        <w:rPr>
          <w:bCs/>
          <w:lang w:val="en-US"/>
        </w:rPr>
        <w:tab/>
        <w:t>Number, category and kind of light source(s)</w:t>
      </w:r>
      <w:r w:rsidR="002B5557">
        <w:rPr>
          <w:bCs/>
          <w:lang w:val="en-US"/>
        </w:rPr>
        <w:t>:</w:t>
      </w:r>
      <w:r w:rsidRPr="005651D1">
        <w:rPr>
          <w:bCs/>
          <w:lang w:val="en-US"/>
        </w:rPr>
        <w:t xml:space="preserve"> </w:t>
      </w:r>
      <w:r w:rsidRPr="001A4581">
        <w:rPr>
          <w:bCs/>
          <w:lang w:val="en-US"/>
        </w:rPr>
        <w:tab/>
      </w:r>
    </w:p>
    <w:p w14:paraId="7F9F6C74" w14:textId="77777777" w:rsidR="00002CD6" w:rsidRPr="005651D1" w:rsidRDefault="00002CD6" w:rsidP="002A1775">
      <w:pPr>
        <w:widowControl w:val="0"/>
        <w:tabs>
          <w:tab w:val="left" w:pos="2268"/>
          <w:tab w:val="right" w:leader="dot" w:pos="8505"/>
        </w:tabs>
        <w:spacing w:after="120"/>
        <w:ind w:left="2268" w:right="1134" w:hanging="567"/>
        <w:jc w:val="both"/>
        <w:rPr>
          <w:bCs/>
          <w:lang w:val="en-US"/>
        </w:rPr>
      </w:pPr>
      <w:r w:rsidRPr="005651D1">
        <w:rPr>
          <w:bCs/>
          <w:lang w:val="en-US"/>
        </w:rPr>
        <w:tab/>
        <w:t xml:space="preserve">Voltage and wattage: </w:t>
      </w:r>
      <w:r w:rsidRPr="001A4581">
        <w:rPr>
          <w:bCs/>
          <w:lang w:val="en-US"/>
        </w:rPr>
        <w:tab/>
      </w:r>
    </w:p>
    <w:p w14:paraId="221089E4" w14:textId="77777777" w:rsidR="00002CD6" w:rsidRPr="005651D1" w:rsidRDefault="00002CD6" w:rsidP="002A1775">
      <w:pPr>
        <w:widowControl w:val="0"/>
        <w:tabs>
          <w:tab w:val="left" w:pos="2268"/>
          <w:tab w:val="right" w:leader="dot" w:pos="8505"/>
        </w:tabs>
        <w:spacing w:after="120"/>
        <w:ind w:left="2268" w:right="1134" w:hanging="567"/>
        <w:jc w:val="both"/>
        <w:rPr>
          <w:bCs/>
          <w:lang w:val="en-US"/>
        </w:rPr>
      </w:pPr>
      <w:r w:rsidRPr="005651D1">
        <w:rPr>
          <w:bCs/>
          <w:lang w:val="en-US"/>
        </w:rPr>
        <w:tab/>
        <w:t xml:space="preserve">Light source module specific identification code: </w:t>
      </w:r>
      <w:r w:rsidRPr="001A4581">
        <w:rPr>
          <w:bCs/>
          <w:lang w:val="en-US"/>
        </w:rPr>
        <w:tab/>
      </w:r>
    </w:p>
    <w:p w14:paraId="6F86AB18" w14:textId="77777777" w:rsidR="00002CD6" w:rsidRPr="004257CA" w:rsidRDefault="00002CD6" w:rsidP="002A1775">
      <w:pPr>
        <w:widowControl w:val="0"/>
        <w:tabs>
          <w:tab w:val="left" w:pos="2268"/>
          <w:tab w:val="right" w:leader="dot" w:pos="8505"/>
        </w:tabs>
        <w:spacing w:after="120"/>
        <w:ind w:left="2268" w:right="1134" w:hanging="567"/>
        <w:jc w:val="both"/>
        <w:rPr>
          <w:bCs/>
          <w:lang w:val="en-US"/>
        </w:rPr>
      </w:pPr>
      <w:r w:rsidRPr="005651D1">
        <w:rPr>
          <w:bCs/>
          <w:lang w:val="en-US"/>
        </w:rPr>
        <w:tab/>
        <w:t xml:space="preserve">Geometrical conditions of installation and relating variations, if any: </w:t>
      </w:r>
      <w:r w:rsidRPr="001A4581">
        <w:rPr>
          <w:bCs/>
          <w:lang w:val="en-US"/>
        </w:rPr>
        <w:tab/>
      </w:r>
    </w:p>
    <w:p w14:paraId="1C5EAB8F" w14:textId="77777777" w:rsidR="00002CD6" w:rsidRPr="005651D1" w:rsidRDefault="00002CD6" w:rsidP="002A1775">
      <w:pPr>
        <w:widowControl w:val="0"/>
        <w:tabs>
          <w:tab w:val="left" w:pos="2268"/>
          <w:tab w:val="right" w:leader="dot" w:pos="8505"/>
        </w:tabs>
        <w:spacing w:after="120"/>
        <w:ind w:left="2268" w:right="1134" w:hanging="567"/>
        <w:jc w:val="both"/>
        <w:rPr>
          <w:bCs/>
          <w:lang w:val="en-US"/>
        </w:rPr>
      </w:pPr>
      <w:r w:rsidRPr="005651D1">
        <w:rPr>
          <w:bCs/>
          <w:lang w:val="en-US"/>
        </w:rPr>
        <w:tab/>
        <w:t>Application of an electronic light source control gear/variable intensity control:</w:t>
      </w:r>
    </w:p>
    <w:p w14:paraId="76E85FE4" w14:textId="04E679A7" w:rsidR="00002CD6" w:rsidRPr="005651D1" w:rsidRDefault="00582F8B" w:rsidP="00582F8B">
      <w:pPr>
        <w:pStyle w:val="bloc"/>
        <w:rPr>
          <w:lang w:val="en-US"/>
        </w:rPr>
      </w:pPr>
      <w:r>
        <w:rPr>
          <w:lang w:val="en-US"/>
        </w:rPr>
        <w:t>(a)</w:t>
      </w:r>
      <w:r>
        <w:rPr>
          <w:lang w:val="en-US"/>
        </w:rPr>
        <w:tab/>
      </w:r>
      <w:r w:rsidR="00002CD6" w:rsidRPr="005651D1">
        <w:rPr>
          <w:lang w:val="en-US"/>
        </w:rPr>
        <w:t>Being part of the lamp: yes/n</w:t>
      </w:r>
      <w:r w:rsidR="00002CD6" w:rsidRPr="008C2CA5">
        <w:rPr>
          <w:lang w:val="en-US"/>
        </w:rPr>
        <w:t>o</w:t>
      </w:r>
      <w:r w:rsidR="00002CD6" w:rsidRPr="005651D1">
        <w:rPr>
          <w:vertAlign w:val="superscript"/>
          <w:lang w:val="en-US"/>
        </w:rPr>
        <w:t>2</w:t>
      </w:r>
    </w:p>
    <w:p w14:paraId="4BB3B0F4" w14:textId="5D792219" w:rsidR="00002CD6" w:rsidRPr="005651D1" w:rsidRDefault="00002CD6" w:rsidP="00582F8B">
      <w:pPr>
        <w:pStyle w:val="bloc"/>
        <w:rPr>
          <w:lang w:val="en-US"/>
        </w:rPr>
      </w:pPr>
      <w:r w:rsidRPr="005651D1">
        <w:rPr>
          <w:lang w:val="en-US"/>
        </w:rPr>
        <w:t>(b)</w:t>
      </w:r>
      <w:r w:rsidR="00582F8B">
        <w:rPr>
          <w:lang w:val="en-US"/>
        </w:rPr>
        <w:tab/>
      </w:r>
      <w:r w:rsidRPr="005651D1">
        <w:rPr>
          <w:lang w:val="en-US"/>
        </w:rPr>
        <w:t>Being not part of the lamp: yes/n</w:t>
      </w:r>
      <w:r w:rsidRPr="008C2CA5">
        <w:rPr>
          <w:lang w:val="en-US"/>
        </w:rPr>
        <w:t>o</w:t>
      </w:r>
      <w:r w:rsidRPr="005651D1">
        <w:rPr>
          <w:vertAlign w:val="superscript"/>
          <w:lang w:val="en-US"/>
        </w:rPr>
        <w:t>2</w:t>
      </w:r>
    </w:p>
    <w:p w14:paraId="479855AF" w14:textId="33323D98" w:rsidR="00002CD6" w:rsidRPr="005651D1" w:rsidRDefault="00582F8B" w:rsidP="00582F8B">
      <w:pPr>
        <w:widowControl w:val="0"/>
        <w:tabs>
          <w:tab w:val="left" w:pos="2268"/>
          <w:tab w:val="right" w:leader="dot" w:pos="8505"/>
        </w:tabs>
        <w:spacing w:after="120"/>
        <w:ind w:left="2268" w:right="1134" w:hanging="567"/>
        <w:jc w:val="both"/>
        <w:rPr>
          <w:bCs/>
          <w:iCs/>
          <w:lang w:val="en-US"/>
        </w:rPr>
      </w:pPr>
      <w:r>
        <w:rPr>
          <w:bCs/>
          <w:iCs/>
          <w:lang w:val="en-US"/>
        </w:rPr>
        <w:tab/>
      </w:r>
      <w:r w:rsidR="00002CD6" w:rsidRPr="005651D1">
        <w:rPr>
          <w:bCs/>
          <w:iCs/>
          <w:lang w:val="en-US"/>
        </w:rPr>
        <w:t xml:space="preserve">Input voltage(s) supplied by an electronic light source control </w:t>
      </w:r>
      <w:r w:rsidR="002B5557">
        <w:rPr>
          <w:bCs/>
          <w:iCs/>
          <w:lang w:val="en-US"/>
        </w:rPr>
        <w:t xml:space="preserve">gear/variable intensity control: </w:t>
      </w:r>
      <w:r w:rsidR="00002CD6" w:rsidRPr="001A4581">
        <w:rPr>
          <w:bCs/>
          <w:iCs/>
          <w:lang w:val="en-US"/>
        </w:rPr>
        <w:tab/>
      </w:r>
    </w:p>
    <w:p w14:paraId="3A1BFAA2" w14:textId="77777777" w:rsidR="00002CD6" w:rsidRPr="005651D1" w:rsidRDefault="00002CD6" w:rsidP="00582F8B">
      <w:pPr>
        <w:widowControl w:val="0"/>
        <w:tabs>
          <w:tab w:val="left" w:pos="2268"/>
          <w:tab w:val="right" w:leader="dot" w:pos="8505"/>
        </w:tabs>
        <w:spacing w:after="120"/>
        <w:ind w:left="2268" w:right="1134"/>
        <w:jc w:val="both"/>
        <w:rPr>
          <w:bCs/>
          <w:iCs/>
          <w:lang w:val="en-US"/>
        </w:rPr>
      </w:pPr>
      <w:r w:rsidRPr="005651D1">
        <w:rPr>
          <w:bCs/>
          <w:iCs/>
          <w:lang w:val="en-US"/>
        </w:rPr>
        <w:t xml:space="preserve">Electronic light source control gear/variable intensity control manufacturer and identification number (when the light source control gear is part of the lamp but is not included into the lamp body): </w:t>
      </w:r>
      <w:r w:rsidRPr="001A4581">
        <w:rPr>
          <w:bCs/>
          <w:iCs/>
          <w:lang w:val="en-US"/>
        </w:rPr>
        <w:tab/>
      </w:r>
    </w:p>
    <w:p w14:paraId="5E6AED72" w14:textId="77777777" w:rsidR="00002CD6" w:rsidRPr="005651D1" w:rsidRDefault="00002CD6" w:rsidP="002A1775">
      <w:pPr>
        <w:widowControl w:val="0"/>
        <w:tabs>
          <w:tab w:val="left" w:pos="2268"/>
          <w:tab w:val="right" w:leader="dot" w:pos="8505"/>
        </w:tabs>
        <w:spacing w:after="120"/>
        <w:ind w:left="2268" w:right="1134" w:hanging="567"/>
        <w:jc w:val="both"/>
        <w:rPr>
          <w:bCs/>
          <w:vertAlign w:val="superscript"/>
          <w:lang w:val="en-US"/>
        </w:rPr>
      </w:pPr>
      <w:r w:rsidRPr="005651D1">
        <w:rPr>
          <w:bCs/>
          <w:lang w:val="en-US"/>
        </w:rPr>
        <w:tab/>
        <w:t>Variable luminous intensity: yes/n</w:t>
      </w:r>
      <w:r w:rsidRPr="008C2CA5">
        <w:rPr>
          <w:lang w:val="en-US"/>
        </w:rPr>
        <w:t>o</w:t>
      </w:r>
      <w:r w:rsidRPr="005651D1">
        <w:rPr>
          <w:bCs/>
          <w:vertAlign w:val="superscript"/>
          <w:lang w:val="en-US"/>
        </w:rPr>
        <w:t>2</w:t>
      </w:r>
    </w:p>
    <w:p w14:paraId="47240B06" w14:textId="2AE2EFF4" w:rsidR="00002CD6" w:rsidRPr="005651D1" w:rsidRDefault="00002CD6" w:rsidP="00582F8B">
      <w:pPr>
        <w:tabs>
          <w:tab w:val="right" w:pos="8505"/>
        </w:tabs>
        <w:ind w:left="1701" w:right="1134" w:firstLine="567"/>
        <w:jc w:val="both"/>
        <w:rPr>
          <w:lang w:val="en-US"/>
        </w:rPr>
      </w:pPr>
      <w:r w:rsidRPr="005651D1">
        <w:rPr>
          <w:lang w:val="en-US"/>
        </w:rPr>
        <w:t>The lamp is only for use on a vehicle fitted with a tell-tale indicating failure:</w:t>
      </w:r>
    </w:p>
    <w:p w14:paraId="4CC7D280" w14:textId="77777777" w:rsidR="00002CD6" w:rsidRPr="005651D1" w:rsidRDefault="00002CD6" w:rsidP="002A1775">
      <w:pPr>
        <w:widowControl w:val="0"/>
        <w:tabs>
          <w:tab w:val="left" w:pos="2268"/>
          <w:tab w:val="right" w:leader="dot" w:pos="8505"/>
        </w:tabs>
        <w:spacing w:after="120"/>
        <w:ind w:left="2268" w:right="1134" w:hanging="567"/>
        <w:jc w:val="both"/>
        <w:rPr>
          <w:lang w:val="en-US"/>
        </w:rPr>
      </w:pPr>
      <w:r w:rsidRPr="005651D1">
        <w:rPr>
          <w:lang w:val="en-US"/>
        </w:rPr>
        <w:tab/>
        <w:t>yes/n</w:t>
      </w:r>
      <w:r w:rsidRPr="008C2CA5">
        <w:rPr>
          <w:lang w:val="en-US"/>
        </w:rPr>
        <w:t>o</w:t>
      </w:r>
      <w:r w:rsidRPr="005651D1">
        <w:rPr>
          <w:bCs/>
          <w:vertAlign w:val="superscript"/>
          <w:lang w:val="en-US"/>
        </w:rPr>
        <w:t>2</w:t>
      </w:r>
      <w:r w:rsidRPr="005651D1">
        <w:rPr>
          <w:bCs/>
          <w:lang w:val="en-US"/>
        </w:rPr>
        <w:t>"</w:t>
      </w:r>
    </w:p>
    <w:p w14:paraId="28E352DE" w14:textId="5DDF3227" w:rsidR="00002CD6" w:rsidRPr="002B5557" w:rsidRDefault="00002CD6" w:rsidP="00002CD6">
      <w:pPr>
        <w:spacing w:after="100"/>
        <w:ind w:left="2268" w:right="1134" w:hanging="1134"/>
        <w:jc w:val="both"/>
      </w:pPr>
      <w:r w:rsidRPr="005C50F0">
        <w:rPr>
          <w:i/>
        </w:rPr>
        <w:t>Annex 4</w:t>
      </w:r>
    </w:p>
    <w:p w14:paraId="33EEC460" w14:textId="77777777" w:rsidR="00002CD6" w:rsidRPr="005C50F0" w:rsidRDefault="00002CD6" w:rsidP="00002CD6">
      <w:pPr>
        <w:spacing w:after="100"/>
        <w:ind w:left="2268" w:right="1134" w:hanging="1134"/>
        <w:jc w:val="both"/>
      </w:pPr>
      <w:r>
        <w:rPr>
          <w:i/>
        </w:rPr>
        <w:t>P</w:t>
      </w:r>
      <w:r w:rsidRPr="005C50F0">
        <w:rPr>
          <w:i/>
        </w:rPr>
        <w:t>aragraphs 1.2. to 1.3.</w:t>
      </w:r>
      <w:r w:rsidRPr="002B5557">
        <w:t>,</w:t>
      </w:r>
      <w:r w:rsidRPr="005C50F0">
        <w:rPr>
          <w:i/>
        </w:rPr>
        <w:t xml:space="preserve"> </w:t>
      </w:r>
      <w:r w:rsidRPr="005C50F0">
        <w:t>amend to read:</w:t>
      </w:r>
    </w:p>
    <w:p w14:paraId="69F0536A" w14:textId="0D6B1A0E" w:rsidR="00002CD6" w:rsidRPr="005C50F0" w:rsidRDefault="002B5557" w:rsidP="00002CD6">
      <w:pPr>
        <w:spacing w:after="100"/>
        <w:ind w:left="2268" w:right="1134" w:hanging="1134"/>
        <w:jc w:val="both"/>
      </w:pPr>
      <w:r>
        <w:t>"1.2.</w:t>
      </w:r>
      <w:r w:rsidR="00002CD6" w:rsidRPr="005C50F0">
        <w:tab/>
        <w:t>With respect to photometric performances, the conformity of mass-produced lamps shall not be contested if, when testing according to paragraph 7</w:t>
      </w:r>
      <w:r w:rsidR="00002CD6">
        <w:t>.</w:t>
      </w:r>
      <w:r w:rsidR="00002CD6" w:rsidRPr="005C50F0">
        <w:t xml:space="preserve"> of this </w:t>
      </w:r>
      <w:r w:rsidR="00002CD6">
        <w:t>R</w:t>
      </w:r>
      <w:r w:rsidR="00002CD6" w:rsidRPr="005C50F0">
        <w:t>egulation, the photometric performances as set forth in paragraph 6</w:t>
      </w:r>
      <w:r w:rsidR="00002CD6">
        <w:t>.</w:t>
      </w:r>
      <w:r w:rsidR="00002CD6" w:rsidRPr="005C50F0">
        <w:t xml:space="preserve"> of this Regulation of any lamp chosen at random and equipped with a standard light source, or when the lamps are equipped with non-replaceable light sources (filament lamps or other), and when all measurements are made at 6.75 V, 13.5 V or 28.0 V respectively:</w:t>
      </w:r>
    </w:p>
    <w:p w14:paraId="43BD00B8" w14:textId="77777777" w:rsidR="00002CD6" w:rsidRPr="005C50F0" w:rsidRDefault="00002CD6" w:rsidP="00002CD6">
      <w:pPr>
        <w:spacing w:after="100"/>
        <w:ind w:left="2268" w:right="1134" w:hanging="1134"/>
        <w:jc w:val="both"/>
      </w:pPr>
      <w:r w:rsidRPr="005C50F0">
        <w:t>1.2.1.</w:t>
      </w:r>
      <w:r w:rsidRPr="005C50F0">
        <w:tab/>
      </w:r>
      <w:r>
        <w:t>N</w:t>
      </w:r>
      <w:r w:rsidRPr="005C50F0">
        <w:t>o measured value deviates unfavourably by more than 20 per cent from the values prescribed in this Regulation.</w:t>
      </w:r>
    </w:p>
    <w:p w14:paraId="44D16C4F" w14:textId="0E923D0C" w:rsidR="00002CD6" w:rsidRPr="005C50F0" w:rsidRDefault="002B5557" w:rsidP="00002CD6">
      <w:pPr>
        <w:spacing w:after="100"/>
        <w:ind w:left="2268" w:right="1134" w:hanging="1134"/>
        <w:jc w:val="both"/>
      </w:pPr>
      <w:r>
        <w:t>1.2.2.</w:t>
      </w:r>
      <w:r w:rsidR="00002CD6" w:rsidRPr="005C50F0">
        <w:tab/>
        <w:t xml:space="preserve">In the case of a direction indicator equipped with a replaceable light source, if results of the test described above do not meet the requirements, tests shall be repeated using another standard light source. </w:t>
      </w:r>
    </w:p>
    <w:p w14:paraId="3134E7E5" w14:textId="77777777" w:rsidR="00002CD6" w:rsidRPr="005C50F0" w:rsidRDefault="00002CD6" w:rsidP="00002CD6">
      <w:pPr>
        <w:suppressAutoHyphens w:val="0"/>
        <w:spacing w:after="100"/>
        <w:ind w:left="2268" w:right="1134" w:hanging="1134"/>
        <w:jc w:val="both"/>
      </w:pPr>
      <w:r>
        <w:t>1.3.</w:t>
      </w:r>
      <w:r>
        <w:tab/>
      </w:r>
      <w:r w:rsidRPr="005C50F0">
        <w:t>With respect to colorimetric performance, the requirements set out in paragraph 9. of this Regulation shall be complied with."</w:t>
      </w:r>
    </w:p>
    <w:p w14:paraId="55B103D2" w14:textId="77777777" w:rsidR="00002CD6" w:rsidRPr="00A55081" w:rsidRDefault="00002CD6" w:rsidP="00002CD6">
      <w:pPr>
        <w:pStyle w:val="SingleTxtG"/>
        <w:keepNext/>
        <w:keepLines/>
        <w:spacing w:after="100"/>
        <w:rPr>
          <w:lang w:val="en-US"/>
        </w:rPr>
      </w:pPr>
      <w:r>
        <w:rPr>
          <w:i/>
          <w:iCs/>
        </w:rPr>
        <w:lastRenderedPageBreak/>
        <w:t>I</w:t>
      </w:r>
      <w:r w:rsidRPr="00A55081">
        <w:rPr>
          <w:i/>
          <w:iCs/>
          <w:lang w:val="en-US"/>
        </w:rPr>
        <w:t>nsert a new paragraph 1.4.</w:t>
      </w:r>
      <w:r w:rsidRPr="00A55081">
        <w:rPr>
          <w:lang w:val="en-US"/>
        </w:rPr>
        <w:t>, to read:</w:t>
      </w:r>
    </w:p>
    <w:p w14:paraId="02EC8202" w14:textId="77777777" w:rsidR="00002CD6" w:rsidRPr="00A55081" w:rsidRDefault="00002CD6" w:rsidP="00002CD6">
      <w:pPr>
        <w:pStyle w:val="SingleTxtG"/>
        <w:keepNext/>
        <w:keepLines/>
        <w:spacing w:after="100"/>
        <w:ind w:left="2268" w:hanging="1134"/>
        <w:rPr>
          <w:bCs/>
          <w:lang w:val="en-US"/>
        </w:rPr>
      </w:pPr>
      <w:r w:rsidRPr="00A55081">
        <w:rPr>
          <w:bCs/>
          <w:lang w:val="en-US"/>
        </w:rPr>
        <w:t>"1.4.</w:t>
      </w:r>
      <w:r w:rsidRPr="00A55081">
        <w:rPr>
          <w:bCs/>
          <w:lang w:val="en-US"/>
        </w:rPr>
        <w:tab/>
        <w:t>In the case of non-replaceable filament lamp(s) or light source module(s) equipped with non-replaceable filament lamps, at any conformity of production check:</w:t>
      </w:r>
    </w:p>
    <w:p w14:paraId="46443DB9" w14:textId="77777777" w:rsidR="00002CD6" w:rsidRPr="00A55081" w:rsidRDefault="00002CD6" w:rsidP="00002CD6">
      <w:pPr>
        <w:pStyle w:val="SingleTxtG"/>
        <w:spacing w:after="100"/>
        <w:ind w:left="2268" w:hanging="1134"/>
        <w:rPr>
          <w:bCs/>
          <w:lang w:val="en-US"/>
        </w:rPr>
      </w:pPr>
      <w:r w:rsidRPr="00A55081">
        <w:rPr>
          <w:bCs/>
          <w:lang w:val="en-US"/>
        </w:rPr>
        <w:t>1.4.1.</w:t>
      </w:r>
      <w:r w:rsidRPr="00A55081">
        <w:rPr>
          <w:bCs/>
          <w:lang w:val="en-US"/>
        </w:rPr>
        <w:tab/>
        <w:t>The holder of the approval mark shall demonstrate the use in normal production and show the identification of the non-replaceable filament lamp(s) as indicated in the type approval documentation;</w:t>
      </w:r>
    </w:p>
    <w:p w14:paraId="4300C87D" w14:textId="27C081E7" w:rsidR="00A61C62" w:rsidRDefault="00002CD6" w:rsidP="00002CD6">
      <w:pPr>
        <w:pStyle w:val="SingleTxtG"/>
        <w:spacing w:after="100"/>
        <w:ind w:left="2268" w:hanging="1134"/>
        <w:rPr>
          <w:bCs/>
          <w:lang w:val="en-US"/>
        </w:rPr>
      </w:pPr>
      <w:r w:rsidRPr="00A55081">
        <w:rPr>
          <w:bCs/>
          <w:lang w:val="en-US"/>
        </w:rPr>
        <w:t>1.4.2.</w:t>
      </w:r>
      <w:r w:rsidRPr="00A55081">
        <w:rPr>
          <w:bCs/>
          <w:lang w:val="en-US"/>
        </w:rPr>
        <w:tab/>
        <w:t>In the case where doubt exists in respect to compliance of the non-replaceable filament lamp(s) with lifetime requirements and/or, in the case of colour coated filament lamps, with colour endurance requirem</w:t>
      </w:r>
      <w:r w:rsidR="002B5557">
        <w:rPr>
          <w:bCs/>
          <w:lang w:val="en-US"/>
        </w:rPr>
        <w:t>ents, as specified in paragraph </w:t>
      </w:r>
      <w:r>
        <w:rPr>
          <w:bCs/>
          <w:lang w:val="en-US"/>
        </w:rPr>
        <w:t>4</w:t>
      </w:r>
      <w:r w:rsidRPr="00A55081">
        <w:rPr>
          <w:bCs/>
          <w:lang w:val="en-US"/>
        </w:rPr>
        <w:t xml:space="preserve">.11. of IEC 60809, Edition 3, conformity shall be checked (by the light source manufacturer indicated in the type approval documentation) as specified in paragraph </w:t>
      </w:r>
      <w:r>
        <w:rPr>
          <w:bCs/>
          <w:lang w:val="en-US"/>
        </w:rPr>
        <w:t>4</w:t>
      </w:r>
      <w:r w:rsidRPr="00A55081">
        <w:rPr>
          <w:bCs/>
          <w:lang w:val="en-US"/>
        </w:rPr>
        <w:t>.11. of IEC 60809, Edition 3."</w:t>
      </w:r>
    </w:p>
    <w:p w14:paraId="485AE9A9" w14:textId="77777777" w:rsidR="00A61C62" w:rsidRDefault="00A61C62">
      <w:pPr>
        <w:suppressAutoHyphens w:val="0"/>
        <w:spacing w:line="240" w:lineRule="auto"/>
        <w:rPr>
          <w:bCs/>
          <w:lang w:val="en-US"/>
        </w:rPr>
      </w:pPr>
      <w:r>
        <w:rPr>
          <w:bCs/>
          <w:lang w:val="en-US"/>
        </w:rPr>
        <w:br w:type="page"/>
      </w:r>
    </w:p>
    <w:p w14:paraId="10182B92" w14:textId="77777777" w:rsidR="00002CD6" w:rsidRPr="001E2FC1" w:rsidRDefault="00002CD6" w:rsidP="00002CD6">
      <w:pPr>
        <w:spacing w:after="100"/>
        <w:ind w:left="2268" w:right="1134" w:hanging="1134"/>
        <w:jc w:val="both"/>
        <w:rPr>
          <w:bCs/>
          <w:iCs/>
        </w:rPr>
      </w:pPr>
      <w:r w:rsidRPr="001E2FC1">
        <w:rPr>
          <w:i/>
        </w:rPr>
        <w:lastRenderedPageBreak/>
        <w:t>Annex 5</w:t>
      </w:r>
      <w:r w:rsidRPr="002B5557">
        <w:t xml:space="preserve">, </w:t>
      </w:r>
      <w:r w:rsidRPr="001E2FC1">
        <w:rPr>
          <w:bCs/>
          <w:iCs/>
        </w:rPr>
        <w:t>amend to read:</w:t>
      </w:r>
    </w:p>
    <w:p w14:paraId="0A4C3072" w14:textId="77777777" w:rsidR="00002CD6" w:rsidRPr="00A55081" w:rsidRDefault="00002CD6" w:rsidP="00002CD6">
      <w:pPr>
        <w:pStyle w:val="HChG"/>
        <w:spacing w:line="240" w:lineRule="atLeast"/>
        <w:rPr>
          <w:lang w:val="en-US"/>
        </w:rPr>
      </w:pPr>
      <w:r w:rsidRPr="00A55081">
        <w:rPr>
          <w:bCs/>
          <w:iCs/>
          <w:lang w:val="en-US"/>
        </w:rPr>
        <w:t>"</w:t>
      </w:r>
      <w:r w:rsidRPr="00A55081">
        <w:rPr>
          <w:lang w:val="en-US"/>
        </w:rPr>
        <w:t>Annex 5</w:t>
      </w:r>
    </w:p>
    <w:p w14:paraId="27EB45EE" w14:textId="77777777" w:rsidR="00002CD6" w:rsidRPr="00A55081" w:rsidRDefault="00002CD6" w:rsidP="00002CD6">
      <w:pPr>
        <w:pStyle w:val="HChG"/>
        <w:spacing w:line="240" w:lineRule="atLeast"/>
        <w:rPr>
          <w:lang w:val="en-US"/>
        </w:rPr>
      </w:pPr>
      <w:r w:rsidRPr="00A55081">
        <w:rPr>
          <w:lang w:val="en-US"/>
        </w:rPr>
        <w:tab/>
      </w:r>
      <w:r w:rsidRPr="00A55081">
        <w:rPr>
          <w:lang w:val="en-US"/>
        </w:rPr>
        <w:tab/>
        <w:t>Minimum requirements for sampling by an inspector</w:t>
      </w:r>
    </w:p>
    <w:p w14:paraId="07E67E00" w14:textId="77777777" w:rsidR="00002CD6" w:rsidRPr="001E2FC1" w:rsidRDefault="00002CD6" w:rsidP="00002CD6">
      <w:pPr>
        <w:pStyle w:val="SingleTxtG"/>
        <w:spacing w:after="100"/>
        <w:ind w:left="2268" w:hanging="1134"/>
      </w:pPr>
      <w:r w:rsidRPr="001E2FC1">
        <w:t>1.</w:t>
      </w:r>
      <w:r w:rsidRPr="001E2FC1">
        <w:tab/>
      </w:r>
      <w:r w:rsidRPr="001E2FC1">
        <w:tab/>
        <w:t>General</w:t>
      </w:r>
    </w:p>
    <w:p w14:paraId="307C84DE" w14:textId="77777777" w:rsidR="00002CD6" w:rsidRPr="001E2FC1" w:rsidRDefault="00002CD6" w:rsidP="00002CD6">
      <w:pPr>
        <w:pStyle w:val="SingleTxtG"/>
        <w:spacing w:after="100"/>
        <w:ind w:left="2268" w:hanging="1134"/>
      </w:pPr>
      <w:r w:rsidRPr="001E2FC1">
        <w:t>1.1.</w:t>
      </w:r>
      <w:r w:rsidRPr="001E2FC1">
        <w:tab/>
      </w:r>
      <w:r w:rsidRPr="001E2FC1">
        <w:tab/>
        <w:t>The conformity requirements shall be considered satisfied from a mechanical and a geometric standpoint, in accordance with the requirements of this Regulation, if any, if the differences do not exceed inevitable manufacturing deviations.</w:t>
      </w:r>
    </w:p>
    <w:p w14:paraId="3401FB56" w14:textId="77777777" w:rsidR="00002CD6" w:rsidRPr="001E2FC1" w:rsidRDefault="00002CD6" w:rsidP="00002CD6">
      <w:pPr>
        <w:pStyle w:val="SingleTxtG"/>
        <w:spacing w:after="100"/>
        <w:ind w:left="2268" w:hanging="1134"/>
      </w:pPr>
      <w:r>
        <w:t>1.2.</w:t>
      </w:r>
      <w:r w:rsidRPr="001E2FC1">
        <w:tab/>
        <w:t>With respect to photometric performances, the conformity of mass-produced lamps shall not be contested if, when testing according to paragraph 7</w:t>
      </w:r>
      <w:r>
        <w:t>.</w:t>
      </w:r>
      <w:r w:rsidRPr="001E2FC1">
        <w:t xml:space="preserve"> of this Regulation, the photometric performances as set forth in paragraph 6</w:t>
      </w:r>
      <w:r>
        <w:t>.</w:t>
      </w:r>
      <w:r w:rsidRPr="001E2FC1">
        <w:t xml:space="preserve"> to this Regulation of any lamp chosen at random and equipped with a standard light source, or when the lamps are equipped with non-replaceable light sources (filament lamps or other), and when all measurements are made at 6.75 V, 13.5 V or 28.0 V respectively:</w:t>
      </w:r>
    </w:p>
    <w:p w14:paraId="4B13DF0B" w14:textId="77777777" w:rsidR="00002CD6" w:rsidRPr="001E2FC1" w:rsidRDefault="00002CD6" w:rsidP="00002CD6">
      <w:pPr>
        <w:pStyle w:val="SingleTxtG"/>
        <w:spacing w:after="100"/>
        <w:ind w:left="2268" w:hanging="1134"/>
      </w:pPr>
      <w:r>
        <w:t>1.2.1.</w:t>
      </w:r>
      <w:r w:rsidRPr="001E2FC1">
        <w:tab/>
      </w:r>
      <w:r>
        <w:t>A</w:t>
      </w:r>
      <w:r w:rsidRPr="001E2FC1">
        <w:t>ccording to the requirements in paragraph 1.2.1. of Annex 4 to this Regulation are met.</w:t>
      </w:r>
    </w:p>
    <w:p w14:paraId="546089CD" w14:textId="77777777" w:rsidR="00002CD6" w:rsidRPr="001E2FC1" w:rsidRDefault="00002CD6" w:rsidP="00002CD6">
      <w:pPr>
        <w:pStyle w:val="SingleTxtG"/>
        <w:spacing w:after="100"/>
        <w:ind w:left="2268" w:hanging="1134"/>
      </w:pPr>
      <w:r>
        <w:t>1.2.2.</w:t>
      </w:r>
      <w:r>
        <w:tab/>
        <w:t>I</w:t>
      </w:r>
      <w:r w:rsidRPr="001E2FC1">
        <w:t>n the case of a lamp equipped with a replaceable light source, if results of the test described above do not meet the requirements, tests on lamps shall be repeated using another standard light source.</w:t>
      </w:r>
    </w:p>
    <w:p w14:paraId="16937164" w14:textId="77777777" w:rsidR="00002CD6" w:rsidRPr="001E2FC1" w:rsidRDefault="00002CD6" w:rsidP="00002CD6">
      <w:pPr>
        <w:pStyle w:val="SingleTxtG"/>
        <w:spacing w:after="100"/>
        <w:ind w:left="2268" w:hanging="1134"/>
      </w:pPr>
      <w:r w:rsidRPr="001E2FC1">
        <w:t>1.2.3.</w:t>
      </w:r>
      <w:r w:rsidRPr="001E2FC1">
        <w:tab/>
        <w:t>Lamps with apparent defects are disregarded.</w:t>
      </w:r>
    </w:p>
    <w:p w14:paraId="3171BCBB" w14:textId="77777777" w:rsidR="00002CD6" w:rsidRPr="001E2FC1" w:rsidRDefault="00002CD6" w:rsidP="00002CD6">
      <w:pPr>
        <w:pStyle w:val="SingleTxtG"/>
        <w:spacing w:after="100"/>
        <w:ind w:left="2268" w:hanging="1134"/>
      </w:pPr>
      <w:r w:rsidRPr="001E2FC1">
        <w:t>1.3.</w:t>
      </w:r>
      <w:r w:rsidRPr="001E2FC1">
        <w:tab/>
      </w:r>
      <w:r w:rsidRPr="001E2FC1">
        <w:tab/>
        <w:t>The chromaticity coordinates shall be complied with when tested under the conditions of paragraph 7</w:t>
      </w:r>
      <w:r>
        <w:t>.</w:t>
      </w:r>
      <w:r w:rsidRPr="001E2FC1">
        <w:t xml:space="preserve"> of this Regulation.</w:t>
      </w:r>
    </w:p>
    <w:p w14:paraId="73621CA2" w14:textId="77777777" w:rsidR="00002CD6" w:rsidRPr="001E2FC1" w:rsidRDefault="00002CD6" w:rsidP="00002CD6">
      <w:pPr>
        <w:pStyle w:val="SingleTxtG"/>
        <w:spacing w:after="100"/>
        <w:ind w:left="2268" w:hanging="1134"/>
      </w:pPr>
      <w:r w:rsidRPr="001E2FC1">
        <w:t>2.</w:t>
      </w:r>
      <w:r w:rsidRPr="001E2FC1">
        <w:tab/>
      </w:r>
      <w:r w:rsidRPr="001E2FC1">
        <w:tab/>
        <w:t>First sampling</w:t>
      </w:r>
    </w:p>
    <w:p w14:paraId="15F176BA" w14:textId="77777777" w:rsidR="00002CD6" w:rsidRPr="001E2FC1" w:rsidRDefault="00002CD6" w:rsidP="00002CD6">
      <w:pPr>
        <w:pStyle w:val="SingleTxtG"/>
        <w:spacing w:after="100"/>
        <w:ind w:left="2268"/>
      </w:pPr>
      <w:r w:rsidRPr="001E2FC1">
        <w:t>In the first sampling four rear fog lamps are selected at random. The first sample of two is marked A, the second sample of two is marked B.</w:t>
      </w:r>
    </w:p>
    <w:p w14:paraId="6B648B6B" w14:textId="77777777" w:rsidR="00002CD6" w:rsidRPr="001E2FC1" w:rsidRDefault="00002CD6" w:rsidP="00002CD6">
      <w:pPr>
        <w:pStyle w:val="SingleTxtG"/>
        <w:spacing w:after="100"/>
        <w:ind w:left="2268" w:hanging="1134"/>
      </w:pPr>
      <w:r w:rsidRPr="001E2FC1">
        <w:t>2.1.</w:t>
      </w:r>
      <w:r w:rsidRPr="001E2FC1">
        <w:tab/>
        <w:t>The conformity of mass-produced rear fog lamps shall not be contested if the deviation of any specimen of samples A and B (all four lamps) is not more than 20 per cent.</w:t>
      </w:r>
    </w:p>
    <w:p w14:paraId="0B457D83" w14:textId="77777777" w:rsidR="00002CD6" w:rsidRPr="001E2FC1" w:rsidRDefault="00002CD6" w:rsidP="00002CD6">
      <w:pPr>
        <w:pStyle w:val="SingleTxtG"/>
        <w:spacing w:after="100"/>
        <w:ind w:left="2268"/>
      </w:pPr>
      <w:r w:rsidRPr="001E2FC1">
        <w:t xml:space="preserve">In the case, that the deviation of </w:t>
      </w:r>
      <w:r w:rsidRPr="001E2FC1">
        <w:rPr>
          <w:bCs/>
        </w:rPr>
        <w:t xml:space="preserve">both lamps </w:t>
      </w:r>
      <w:r w:rsidRPr="001E2FC1">
        <w:t>of sample A is not more than</w:t>
      </w:r>
      <w:r w:rsidRPr="001E2FC1">
        <w:tab/>
      </w:r>
      <w:r w:rsidRPr="001E2FC1">
        <w:rPr>
          <w:bCs/>
        </w:rPr>
        <w:t>0</w:t>
      </w:r>
      <w:r w:rsidRPr="001E2FC1">
        <w:t xml:space="preserve"> per cent, </w:t>
      </w:r>
      <w:r>
        <w:t>the measurement can be closed.</w:t>
      </w:r>
    </w:p>
    <w:p w14:paraId="03ECC4F7" w14:textId="77777777" w:rsidR="00002CD6" w:rsidRPr="001E2FC1" w:rsidRDefault="00002CD6" w:rsidP="00002CD6">
      <w:pPr>
        <w:pStyle w:val="SingleTxtG"/>
        <w:spacing w:after="100"/>
        <w:ind w:left="2268" w:hanging="1134"/>
      </w:pPr>
      <w:r w:rsidRPr="001E2FC1">
        <w:t>2.2.</w:t>
      </w:r>
      <w:r w:rsidRPr="001E2FC1">
        <w:tab/>
        <w:t>The conformity of mass-produced rear fog lamps shall be contested if the deviation of at least one specimen of sample A or B is more than 20 per cent.</w:t>
      </w:r>
    </w:p>
    <w:p w14:paraId="2D4CD7F3" w14:textId="77777777" w:rsidR="00002CD6" w:rsidRPr="001E2FC1" w:rsidRDefault="00002CD6" w:rsidP="00002CD6">
      <w:pPr>
        <w:pStyle w:val="SingleTxtG"/>
        <w:spacing w:after="100"/>
        <w:ind w:left="2268"/>
      </w:pPr>
      <w:r w:rsidRPr="001E2FC1">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w:t>
      </w:r>
      <w:r>
        <w:t>Conformity of Production</w:t>
      </w:r>
      <w:r w:rsidRPr="001E2FC1">
        <w:t xml:space="preserve"> process is finished. </w:t>
      </w:r>
    </w:p>
    <w:p w14:paraId="78056329" w14:textId="77777777" w:rsidR="00002CD6" w:rsidRPr="001E2FC1" w:rsidRDefault="00002CD6" w:rsidP="00002CD6">
      <w:pPr>
        <w:pStyle w:val="SingleTxtG"/>
        <w:spacing w:after="100"/>
        <w:ind w:left="2268" w:hanging="1134"/>
      </w:pPr>
      <w:r w:rsidRPr="001E2FC1">
        <w:t>3.</w:t>
      </w:r>
      <w:r w:rsidRPr="001E2FC1">
        <w:tab/>
      </w:r>
      <w:r w:rsidRPr="001E2FC1">
        <w:tab/>
        <w:t>First repeated sampling</w:t>
      </w:r>
    </w:p>
    <w:p w14:paraId="01BA0C97" w14:textId="5AAB9D25" w:rsidR="00002CD6" w:rsidRPr="001E2FC1" w:rsidRDefault="00002CD6" w:rsidP="00002CD6">
      <w:pPr>
        <w:pStyle w:val="SingleTxtG"/>
        <w:spacing w:after="100"/>
        <w:ind w:left="2268"/>
        <w:rPr>
          <w:strike/>
        </w:rPr>
      </w:pPr>
      <w:r w:rsidRPr="001E2FC1">
        <w:t>A sample of four lamps is selected at random from stock manufactured after alignment.</w:t>
      </w:r>
    </w:p>
    <w:p w14:paraId="5981B786" w14:textId="77777777" w:rsidR="00002CD6" w:rsidRPr="001E2FC1" w:rsidRDefault="00002CD6" w:rsidP="00002CD6">
      <w:pPr>
        <w:pStyle w:val="SingleTxtG"/>
        <w:spacing w:after="100"/>
        <w:ind w:left="2268"/>
      </w:pPr>
      <w:r w:rsidRPr="001E2FC1">
        <w:lastRenderedPageBreak/>
        <w:t>The first sample of two is marked C, the second sample of two is marked</w:t>
      </w:r>
      <w:r>
        <w:t xml:space="preserve"> </w:t>
      </w:r>
      <w:r w:rsidRPr="001E2FC1">
        <w:t>D.</w:t>
      </w:r>
    </w:p>
    <w:p w14:paraId="606A7223" w14:textId="77777777" w:rsidR="00002CD6" w:rsidRPr="001E2FC1" w:rsidRDefault="00002CD6" w:rsidP="00002CD6">
      <w:pPr>
        <w:pStyle w:val="SingleTxtG"/>
        <w:spacing w:after="100"/>
        <w:ind w:left="2268" w:hanging="1134"/>
      </w:pPr>
      <w:r w:rsidRPr="001E2FC1">
        <w:t>3.1.</w:t>
      </w:r>
      <w:r w:rsidRPr="001E2FC1">
        <w:tab/>
      </w:r>
      <w:r w:rsidRPr="001E2FC1">
        <w:tab/>
        <w:t>The conformity of mass-produced rear fog lamps shall not be contested if the deviation of any specimen of samples C and D (</w:t>
      </w:r>
      <w:r w:rsidRPr="001E2FC1">
        <w:rPr>
          <w:bCs/>
        </w:rPr>
        <w:t>all four lamps) is not more than 20</w:t>
      </w:r>
      <w:r w:rsidRPr="001E2FC1">
        <w:t xml:space="preserve"> per cent.</w:t>
      </w:r>
    </w:p>
    <w:p w14:paraId="6EA98D1E" w14:textId="77777777" w:rsidR="00002CD6" w:rsidRPr="001E2FC1" w:rsidRDefault="00002CD6" w:rsidP="00002CD6">
      <w:pPr>
        <w:pStyle w:val="SingleTxtG"/>
        <w:spacing w:after="100"/>
        <w:ind w:left="2268"/>
      </w:pPr>
      <w:r w:rsidRPr="001E2FC1">
        <w:t xml:space="preserve">In the case, that the deviation of </w:t>
      </w:r>
      <w:r w:rsidRPr="001E2FC1">
        <w:rPr>
          <w:bCs/>
        </w:rPr>
        <w:t xml:space="preserve">both lamps </w:t>
      </w:r>
      <w:r w:rsidRPr="001E2FC1">
        <w:t xml:space="preserve">of sample C is not more than </w:t>
      </w:r>
      <w:r w:rsidRPr="001E2FC1">
        <w:tab/>
      </w:r>
      <w:r w:rsidRPr="001E2FC1">
        <w:rPr>
          <w:bCs/>
        </w:rPr>
        <w:t>0</w:t>
      </w:r>
      <w:r w:rsidRPr="001E2FC1">
        <w:t xml:space="preserve"> per cent, the measurement can be closed.</w:t>
      </w:r>
    </w:p>
    <w:p w14:paraId="7997A105" w14:textId="77777777" w:rsidR="00002CD6" w:rsidRPr="001E2FC1" w:rsidRDefault="00002CD6" w:rsidP="00002CD6">
      <w:pPr>
        <w:pStyle w:val="SingleTxtG"/>
        <w:spacing w:after="100"/>
        <w:ind w:left="2268" w:hanging="1134"/>
      </w:pPr>
      <w:r w:rsidRPr="001E2FC1">
        <w:t>3.2.</w:t>
      </w:r>
      <w:r w:rsidRPr="001E2FC1">
        <w:tab/>
        <w:t>The conformity of mass-produced rear fog lamps shall be contested if the deviation of at least</w:t>
      </w:r>
      <w:r>
        <w:t>:</w:t>
      </w:r>
    </w:p>
    <w:p w14:paraId="49093706" w14:textId="77777777" w:rsidR="00002CD6" w:rsidRPr="001E2FC1" w:rsidRDefault="00002CD6" w:rsidP="00002CD6">
      <w:pPr>
        <w:pStyle w:val="SingleTxtG"/>
        <w:spacing w:after="100"/>
        <w:ind w:left="2268" w:hanging="1134"/>
      </w:pPr>
      <w:r w:rsidRPr="001E2FC1">
        <w:t>3.2.1.</w:t>
      </w:r>
      <w:r w:rsidRPr="001E2FC1">
        <w:tab/>
      </w:r>
      <w:r>
        <w:t>O</w:t>
      </w:r>
      <w:r w:rsidRPr="001E2FC1">
        <w:t xml:space="preserve">ne specimen of sample C or D </w:t>
      </w:r>
      <w:r w:rsidRPr="001E2FC1">
        <w:rPr>
          <w:bCs/>
        </w:rPr>
        <w:t>is more than</w:t>
      </w:r>
      <w:r w:rsidRPr="001E2FC1">
        <w:t xml:space="preserve"> </w:t>
      </w:r>
      <w:r w:rsidRPr="001E2FC1">
        <w:rPr>
          <w:bCs/>
        </w:rPr>
        <w:t>20</w:t>
      </w:r>
      <w:r w:rsidRPr="001E2FC1">
        <w:t xml:space="preserve"> per cent but the deviation of all specimen of these samples is not more than 30 per cent.</w:t>
      </w:r>
    </w:p>
    <w:p w14:paraId="0190C4EA" w14:textId="77777777" w:rsidR="00002CD6" w:rsidRPr="001E2FC1" w:rsidRDefault="00002CD6" w:rsidP="00002CD6">
      <w:pPr>
        <w:pStyle w:val="SingleTxtG"/>
        <w:spacing w:after="100"/>
        <w:ind w:left="2268"/>
      </w:pPr>
      <w:r w:rsidRPr="001E2FC1">
        <w:t>The manufacturer shall be requested again to bring his production in line with the requirements (alignment).</w:t>
      </w:r>
    </w:p>
    <w:p w14:paraId="29DEEF6B" w14:textId="77777777" w:rsidR="00002CD6" w:rsidRPr="001E2FC1" w:rsidRDefault="00002CD6" w:rsidP="00002CD6">
      <w:pPr>
        <w:pStyle w:val="SingleTxtG"/>
        <w:spacing w:after="100"/>
        <w:ind w:left="2268"/>
      </w:pPr>
      <w:r w:rsidRPr="001E2FC1">
        <w:t xml:space="preserve">A second repeated sampling according to paragraph 4. below shall be carried out within two months' time after the notification. The samples C and D shall be retained by the Technical Service until the entire </w:t>
      </w:r>
      <w:r>
        <w:t>Conformity of Production</w:t>
      </w:r>
      <w:r w:rsidRPr="001E2FC1">
        <w:t xml:space="preserve"> process is finished.</w:t>
      </w:r>
    </w:p>
    <w:p w14:paraId="6893AE5E" w14:textId="77777777" w:rsidR="00002CD6" w:rsidRPr="001E2FC1" w:rsidRDefault="00002CD6" w:rsidP="00002CD6">
      <w:pPr>
        <w:pStyle w:val="SingleTxtG"/>
        <w:spacing w:after="100"/>
        <w:ind w:left="2268" w:hanging="1134"/>
      </w:pPr>
      <w:r w:rsidRPr="001E2FC1">
        <w:t>3.2.2.</w:t>
      </w:r>
      <w:r w:rsidRPr="001E2FC1">
        <w:tab/>
      </w:r>
      <w:r>
        <w:t>O</w:t>
      </w:r>
      <w:r w:rsidRPr="001E2FC1">
        <w:t xml:space="preserve">ne specimen of sample C or D </w:t>
      </w:r>
      <w:r w:rsidRPr="001E2FC1">
        <w:rPr>
          <w:bCs/>
        </w:rPr>
        <w:t>is more than 30</w:t>
      </w:r>
      <w:r w:rsidRPr="001E2FC1">
        <w:t xml:space="preserve"> per cent.</w:t>
      </w:r>
    </w:p>
    <w:p w14:paraId="049530F8" w14:textId="77777777" w:rsidR="00002CD6" w:rsidRPr="001E2FC1" w:rsidRDefault="00002CD6" w:rsidP="00002CD6">
      <w:pPr>
        <w:pStyle w:val="SingleTxtG"/>
        <w:spacing w:after="100"/>
        <w:ind w:left="2268"/>
      </w:pPr>
      <w:r w:rsidRPr="001E2FC1">
        <w:t>In this case the approval shall be withdrawn and paragraph 5</w:t>
      </w:r>
      <w:r>
        <w:t>.</w:t>
      </w:r>
      <w:r w:rsidRPr="001E2FC1">
        <w:t xml:space="preserve"> below shall be applied.</w:t>
      </w:r>
    </w:p>
    <w:p w14:paraId="6A844999" w14:textId="77777777" w:rsidR="00002CD6" w:rsidRPr="001E2FC1" w:rsidRDefault="00002CD6" w:rsidP="00002CD6">
      <w:pPr>
        <w:pStyle w:val="SingleTxtG"/>
        <w:spacing w:after="100"/>
        <w:ind w:left="2268" w:hanging="1134"/>
      </w:pPr>
      <w:r w:rsidRPr="001E2FC1">
        <w:t>4.</w:t>
      </w:r>
      <w:r w:rsidRPr="001E2FC1">
        <w:tab/>
      </w:r>
      <w:r w:rsidRPr="001E2FC1">
        <w:tab/>
        <w:t>Second repeated sampling</w:t>
      </w:r>
    </w:p>
    <w:p w14:paraId="70085290" w14:textId="26C597A8" w:rsidR="00002CD6" w:rsidRPr="001E2FC1" w:rsidRDefault="00002CD6" w:rsidP="00002CD6">
      <w:pPr>
        <w:pStyle w:val="SingleTxtG"/>
        <w:spacing w:after="100"/>
        <w:ind w:left="2268"/>
      </w:pPr>
      <w:r w:rsidRPr="001E2FC1">
        <w:t>A sample of four lamps is selected at random from stoc</w:t>
      </w:r>
      <w:r w:rsidR="002B5557">
        <w:t>k manufactured</w:t>
      </w:r>
      <w:r w:rsidR="002B5557">
        <w:tab/>
        <w:t>after alignment.</w:t>
      </w:r>
    </w:p>
    <w:p w14:paraId="0A54524E" w14:textId="77777777" w:rsidR="00002CD6" w:rsidRPr="001E2FC1" w:rsidRDefault="00002CD6" w:rsidP="00002CD6">
      <w:pPr>
        <w:pStyle w:val="SingleTxtG"/>
        <w:spacing w:after="100"/>
        <w:ind w:left="2268"/>
      </w:pPr>
      <w:r w:rsidRPr="001E2FC1">
        <w:t>The first sample of two is marked E, the second sample of two is marked</w:t>
      </w:r>
      <w:r>
        <w:t xml:space="preserve"> </w:t>
      </w:r>
      <w:r w:rsidRPr="001E2FC1">
        <w:t>F.</w:t>
      </w:r>
    </w:p>
    <w:p w14:paraId="5FE634B4" w14:textId="77777777" w:rsidR="00002CD6" w:rsidRPr="001E2FC1" w:rsidRDefault="00002CD6" w:rsidP="00002CD6">
      <w:pPr>
        <w:pStyle w:val="SingleTxtG"/>
        <w:spacing w:after="100"/>
        <w:ind w:left="2268" w:hanging="1134"/>
      </w:pPr>
      <w:r w:rsidRPr="001E2FC1">
        <w:t>4.1.</w:t>
      </w:r>
      <w:r w:rsidRPr="001E2FC1">
        <w:tab/>
        <w:t>The conformity of mass-produced rear fog lamps shall not be contested if the deviation of any specimen of samples E and F (</w:t>
      </w:r>
      <w:r w:rsidRPr="001E2FC1">
        <w:rPr>
          <w:bCs/>
        </w:rPr>
        <w:t>all four lamps) is not more than 20</w:t>
      </w:r>
      <w:r w:rsidRPr="001E2FC1">
        <w:t xml:space="preserve"> per cent.</w:t>
      </w:r>
    </w:p>
    <w:p w14:paraId="1D80CA57" w14:textId="77777777" w:rsidR="00002CD6" w:rsidRPr="001E2FC1" w:rsidRDefault="00002CD6" w:rsidP="00002CD6">
      <w:pPr>
        <w:pStyle w:val="SingleTxtG"/>
        <w:spacing w:after="100"/>
        <w:ind w:left="2268"/>
      </w:pPr>
      <w:r w:rsidRPr="001E2FC1">
        <w:t xml:space="preserve">In the case, that the deviation of </w:t>
      </w:r>
      <w:r w:rsidRPr="001E2FC1">
        <w:rPr>
          <w:bCs/>
        </w:rPr>
        <w:t xml:space="preserve">both lamps </w:t>
      </w:r>
      <w:r w:rsidRPr="001E2FC1">
        <w:t xml:space="preserve">of sample E is not more than </w:t>
      </w:r>
      <w:r w:rsidRPr="001E2FC1">
        <w:tab/>
      </w:r>
      <w:r w:rsidRPr="001E2FC1">
        <w:rPr>
          <w:bCs/>
        </w:rPr>
        <w:t>0</w:t>
      </w:r>
      <w:r w:rsidRPr="001E2FC1">
        <w:t xml:space="preserve"> per cent, </w:t>
      </w:r>
      <w:r>
        <w:t>the measurement can be closed.</w:t>
      </w:r>
    </w:p>
    <w:p w14:paraId="70DF2320" w14:textId="77777777" w:rsidR="00002CD6" w:rsidRPr="001E2FC1" w:rsidRDefault="00002CD6" w:rsidP="00002CD6">
      <w:pPr>
        <w:pStyle w:val="SingleTxtG"/>
        <w:spacing w:after="100"/>
        <w:ind w:left="2268" w:hanging="1134"/>
      </w:pPr>
      <w:r w:rsidRPr="001E2FC1">
        <w:t>4.2.</w:t>
      </w:r>
      <w:r w:rsidRPr="001E2FC1">
        <w:tab/>
        <w:t>The conformity of mass-produced rear fog lamps shall be contested if the deviation of at least</w:t>
      </w:r>
      <w:r>
        <w:t xml:space="preserve"> </w:t>
      </w:r>
      <w:r w:rsidRPr="001E2FC1">
        <w:t xml:space="preserve">one specimen of sample E or F </w:t>
      </w:r>
      <w:r w:rsidRPr="001E2FC1">
        <w:rPr>
          <w:bCs/>
        </w:rPr>
        <w:t>is more than</w:t>
      </w:r>
      <w:r w:rsidRPr="001E2FC1">
        <w:t xml:space="preserve"> </w:t>
      </w:r>
      <w:r w:rsidRPr="001E2FC1">
        <w:rPr>
          <w:bCs/>
        </w:rPr>
        <w:t>20</w:t>
      </w:r>
      <w:r w:rsidRPr="001E2FC1">
        <w:t xml:space="preserve"> per cent. </w:t>
      </w:r>
    </w:p>
    <w:p w14:paraId="3B537351" w14:textId="77777777" w:rsidR="00002CD6" w:rsidRPr="001E2FC1" w:rsidRDefault="00002CD6" w:rsidP="00002CD6">
      <w:pPr>
        <w:pStyle w:val="SingleTxtG"/>
        <w:spacing w:after="100"/>
        <w:ind w:left="2268"/>
      </w:pPr>
      <w:r w:rsidRPr="001E2FC1">
        <w:t>In this case the approval shall be withdrawn and paragraph 5</w:t>
      </w:r>
      <w:r>
        <w:t>.</w:t>
      </w:r>
      <w:r w:rsidRPr="001E2FC1">
        <w:t xml:space="preserve"> below shall be applied.</w:t>
      </w:r>
    </w:p>
    <w:p w14:paraId="0B7BCB76" w14:textId="77777777" w:rsidR="00002CD6" w:rsidRPr="001E2FC1" w:rsidRDefault="00002CD6" w:rsidP="00002CD6">
      <w:pPr>
        <w:pStyle w:val="SingleTxtG"/>
        <w:spacing w:after="100"/>
        <w:ind w:left="2268" w:hanging="1134"/>
        <w:rPr>
          <w:u w:val="single"/>
        </w:rPr>
      </w:pPr>
      <w:r w:rsidRPr="001E2FC1">
        <w:t>5.</w:t>
      </w:r>
      <w:r w:rsidRPr="001E2FC1">
        <w:tab/>
        <w:t>Approval withdrawn</w:t>
      </w:r>
    </w:p>
    <w:p w14:paraId="273929F6" w14:textId="77777777" w:rsidR="00002CD6" w:rsidRPr="001E2FC1" w:rsidRDefault="00002CD6" w:rsidP="00002CD6">
      <w:pPr>
        <w:pStyle w:val="SingleTxtG"/>
        <w:ind w:left="2268"/>
      </w:pPr>
      <w:r w:rsidRPr="001E2FC1">
        <w:t>Approval shall be withdrawn according to paragraph 11. of this Regulation."</w:t>
      </w:r>
    </w:p>
    <w:p w14:paraId="570B8FC4" w14:textId="77777777" w:rsidR="00002CD6" w:rsidRDefault="00002CD6" w:rsidP="00002CD6">
      <w:pPr>
        <w:ind w:left="1134" w:right="1134"/>
        <w:jc w:val="both"/>
        <w:rPr>
          <w:u w:val="single"/>
        </w:rPr>
      </w:pPr>
      <w:r>
        <w:rPr>
          <w:i/>
        </w:rPr>
        <w:t>F</w:t>
      </w:r>
      <w:r w:rsidRPr="001E2FC1">
        <w:rPr>
          <w:i/>
        </w:rPr>
        <w:t>igure 1</w:t>
      </w:r>
      <w:r w:rsidRPr="001E2FC1">
        <w:t xml:space="preserve">, </w:t>
      </w:r>
      <w:r>
        <w:t xml:space="preserve">shall be </w:t>
      </w:r>
      <w:r w:rsidRPr="001E2FC1">
        <w:t>delete</w:t>
      </w:r>
      <w:r>
        <w:t>d</w:t>
      </w:r>
      <w:r w:rsidRPr="001E2FC1">
        <w:t>.</w:t>
      </w:r>
    </w:p>
    <w:p w14:paraId="26D13658" w14:textId="40DA674F" w:rsidR="00CD683D" w:rsidRPr="00002CD6" w:rsidRDefault="00002CD6" w:rsidP="00002CD6">
      <w:pPr>
        <w:spacing w:before="240"/>
        <w:ind w:left="1134" w:right="1134"/>
        <w:jc w:val="center"/>
        <w:rPr>
          <w:u w:val="single"/>
        </w:rPr>
      </w:pPr>
      <w:r w:rsidRPr="00EB72C9">
        <w:rPr>
          <w:u w:val="single"/>
        </w:rPr>
        <w:tab/>
      </w:r>
      <w:r w:rsidRPr="00EB72C9">
        <w:rPr>
          <w:u w:val="single"/>
        </w:rPr>
        <w:tab/>
      </w:r>
      <w:r w:rsidRPr="00EB72C9">
        <w:rPr>
          <w:u w:val="single"/>
        </w:rPr>
        <w:tab/>
      </w:r>
      <w:bookmarkStart w:id="2" w:name="_GoBack"/>
      <w:bookmarkEnd w:id="2"/>
    </w:p>
    <w:sectPr w:rsidR="00CD683D" w:rsidRPr="00002CD6" w:rsidSect="00CD683D">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19364358"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66A7C">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621022D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66A7C">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14BF8793" w14:textId="77777777" w:rsidR="00A61C62" w:rsidRDefault="00A61C62" w:rsidP="00A61C62">
      <w:pPr>
        <w:pStyle w:val="FootnoteText"/>
      </w:pPr>
      <w:r>
        <w:tab/>
      </w:r>
      <w:r>
        <w:rPr>
          <w:rStyle w:val="FootnoteReference"/>
          <w:sz w:val="20"/>
        </w:rPr>
        <w:t>*</w:t>
      </w:r>
      <w:r>
        <w:rPr>
          <w:sz w:val="20"/>
        </w:rPr>
        <w:tab/>
      </w:r>
      <w:r>
        <w:t>Former titles of the Agreement:</w:t>
      </w:r>
    </w:p>
    <w:p w14:paraId="12C0DCA9" w14:textId="77777777" w:rsidR="00A61C62" w:rsidRDefault="00A61C62"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A61C62" w:rsidRDefault="00A61C62" w:rsidP="00A61C6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689D5BFB" w:rsidR="00B701B3" w:rsidRDefault="00B701B3">
    <w:pPr>
      <w:pStyle w:val="Header"/>
    </w:pPr>
    <w:r w:rsidRPr="00D623A7">
      <w:t>E/ECE/324</w:t>
    </w:r>
    <w:r w:rsidR="00CD683D">
      <w:t>/</w:t>
    </w:r>
    <w:r w:rsidR="00CD683D" w:rsidRPr="00841EB5">
      <w:t>Rev.</w:t>
    </w:r>
    <w:r w:rsidR="00CD683D">
      <w:t>1</w:t>
    </w:r>
    <w:r w:rsidR="00CD683D" w:rsidRPr="00841EB5">
      <w:t>/</w:t>
    </w:r>
    <w:r w:rsidRPr="00841EB5">
      <w:t>Add.</w:t>
    </w:r>
    <w:r w:rsidR="00002CD6">
      <w:t>37</w:t>
    </w:r>
    <w:r w:rsidRPr="00841EB5">
      <w:t>/Rev.</w:t>
    </w:r>
    <w:r w:rsidR="00002CD6">
      <w:t>3</w:t>
    </w:r>
    <w:r w:rsidRPr="00841EB5">
      <w:t>/Amend.</w:t>
    </w:r>
    <w:r w:rsidR="00002CD6">
      <w:t>2</w:t>
    </w:r>
    <w:r>
      <w:br/>
    </w:r>
    <w:r w:rsidRPr="00D623A7">
      <w:t>E/ECE/TRANS/505</w:t>
    </w:r>
    <w:r w:rsidR="00CD683D">
      <w:t>/</w:t>
    </w:r>
    <w:r w:rsidR="00CD683D" w:rsidRPr="00841EB5">
      <w:t>Rev.</w:t>
    </w:r>
    <w:r w:rsidR="00CD683D">
      <w:t>1</w:t>
    </w:r>
    <w:r w:rsidR="00CD683D" w:rsidRPr="00841EB5">
      <w:t>/</w:t>
    </w:r>
    <w:r w:rsidRPr="00841EB5">
      <w:t>Add.</w:t>
    </w:r>
    <w:r w:rsidR="00002CD6">
      <w:t>37</w:t>
    </w:r>
    <w:r w:rsidRPr="00841EB5">
      <w:t>/Rev.</w:t>
    </w:r>
    <w:r w:rsidR="00002CD6">
      <w:t>3</w:t>
    </w:r>
    <w:r w:rsidRPr="00841EB5">
      <w:t>/Amend.</w:t>
    </w:r>
    <w:r w:rsidR="00002CD6">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2E445BEE" w:rsidR="00B701B3" w:rsidRDefault="000E12E4" w:rsidP="00776D12">
    <w:pPr>
      <w:pStyle w:val="Header"/>
      <w:jc w:val="right"/>
    </w:pPr>
    <w:r w:rsidRPr="00D623A7">
      <w:t>E/ECE/324</w:t>
    </w:r>
    <w:r>
      <w:t>/</w:t>
    </w:r>
    <w:r w:rsidRPr="00841EB5">
      <w:t>Rev.</w:t>
    </w:r>
    <w:r>
      <w:t>1</w:t>
    </w:r>
    <w:r w:rsidRPr="00841EB5">
      <w:t>/Add.</w:t>
    </w:r>
    <w:r w:rsidR="00002CD6">
      <w:t>37</w:t>
    </w:r>
    <w:r w:rsidRPr="00841EB5">
      <w:t>/Rev.</w:t>
    </w:r>
    <w:r w:rsidR="00002CD6">
      <w:t>3</w:t>
    </w:r>
    <w:r w:rsidR="002A32FA">
      <w:t>/</w:t>
    </w:r>
    <w:r w:rsidRPr="00841EB5">
      <w:t>Amend.</w:t>
    </w:r>
    <w:r w:rsidR="00002CD6">
      <w:t>2</w:t>
    </w:r>
    <w:r>
      <w:br/>
    </w:r>
    <w:r w:rsidRPr="00D623A7">
      <w:t>E/ECE/TRANS/505</w:t>
    </w:r>
    <w:r>
      <w:t>/</w:t>
    </w:r>
    <w:r w:rsidRPr="00841EB5">
      <w:t>Rev.</w:t>
    </w:r>
    <w:r>
      <w:t>1</w:t>
    </w:r>
    <w:r w:rsidRPr="00841EB5">
      <w:t>/Add.</w:t>
    </w:r>
    <w:r w:rsidR="00002CD6">
      <w:t>37</w:t>
    </w:r>
    <w:r w:rsidRPr="00841EB5">
      <w:t>/Rev.</w:t>
    </w:r>
    <w:r w:rsidR="00002CD6">
      <w:t>3</w:t>
    </w:r>
    <w:r w:rsidRPr="00841EB5">
      <w:t>/Amend.</w:t>
    </w:r>
    <w:r w:rsidR="00002CD6">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02CD6"/>
    <w:rsid w:val="00050F6B"/>
    <w:rsid w:val="00072C8C"/>
    <w:rsid w:val="00086287"/>
    <w:rsid w:val="000931C0"/>
    <w:rsid w:val="000B175B"/>
    <w:rsid w:val="000B3A0F"/>
    <w:rsid w:val="000D3A4F"/>
    <w:rsid w:val="000D7944"/>
    <w:rsid w:val="000E0415"/>
    <w:rsid w:val="000E12E4"/>
    <w:rsid w:val="001220B8"/>
    <w:rsid w:val="00134B40"/>
    <w:rsid w:val="001352D9"/>
    <w:rsid w:val="00165E82"/>
    <w:rsid w:val="001B4B04"/>
    <w:rsid w:val="001C6663"/>
    <w:rsid w:val="001C7895"/>
    <w:rsid w:val="001D26DF"/>
    <w:rsid w:val="00211E0B"/>
    <w:rsid w:val="002405A7"/>
    <w:rsid w:val="00263238"/>
    <w:rsid w:val="00271A7F"/>
    <w:rsid w:val="00277F0D"/>
    <w:rsid w:val="00297181"/>
    <w:rsid w:val="002A1775"/>
    <w:rsid w:val="002A1E3A"/>
    <w:rsid w:val="002A32FA"/>
    <w:rsid w:val="002B5557"/>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27D1"/>
    <w:rsid w:val="0054561B"/>
    <w:rsid w:val="00582B38"/>
    <w:rsid w:val="00582F8B"/>
    <w:rsid w:val="005A4FB3"/>
    <w:rsid w:val="005B3DB3"/>
    <w:rsid w:val="005E1409"/>
    <w:rsid w:val="005E2617"/>
    <w:rsid w:val="00611FC4"/>
    <w:rsid w:val="006176FB"/>
    <w:rsid w:val="00627ED0"/>
    <w:rsid w:val="00640B26"/>
    <w:rsid w:val="0064636E"/>
    <w:rsid w:val="00665595"/>
    <w:rsid w:val="0069341E"/>
    <w:rsid w:val="00694209"/>
    <w:rsid w:val="006A67EF"/>
    <w:rsid w:val="006A7392"/>
    <w:rsid w:val="006E564B"/>
    <w:rsid w:val="006E670E"/>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2A4"/>
    <w:rsid w:val="008518D5"/>
    <w:rsid w:val="00871FD5"/>
    <w:rsid w:val="008979B1"/>
    <w:rsid w:val="008A6B25"/>
    <w:rsid w:val="008A6C4F"/>
    <w:rsid w:val="008B5D15"/>
    <w:rsid w:val="008C2CA5"/>
    <w:rsid w:val="008C3804"/>
    <w:rsid w:val="008E0E46"/>
    <w:rsid w:val="00907AD2"/>
    <w:rsid w:val="00963CBA"/>
    <w:rsid w:val="00974A8D"/>
    <w:rsid w:val="00991261"/>
    <w:rsid w:val="009F3A17"/>
    <w:rsid w:val="00A1427D"/>
    <w:rsid w:val="00A41529"/>
    <w:rsid w:val="00A569D6"/>
    <w:rsid w:val="00A61C62"/>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78EB"/>
    <w:rsid w:val="00C41A28"/>
    <w:rsid w:val="00C463DD"/>
    <w:rsid w:val="00C711C7"/>
    <w:rsid w:val="00C71A58"/>
    <w:rsid w:val="00C745C3"/>
    <w:rsid w:val="00C84414"/>
    <w:rsid w:val="00CD683D"/>
    <w:rsid w:val="00CE4A8F"/>
    <w:rsid w:val="00CE5E33"/>
    <w:rsid w:val="00D2031B"/>
    <w:rsid w:val="00D25FE2"/>
    <w:rsid w:val="00D317BB"/>
    <w:rsid w:val="00D43252"/>
    <w:rsid w:val="00D44CED"/>
    <w:rsid w:val="00D5540C"/>
    <w:rsid w:val="00D623A7"/>
    <w:rsid w:val="00D6614F"/>
    <w:rsid w:val="00D978C6"/>
    <w:rsid w:val="00DA67AD"/>
    <w:rsid w:val="00DB5D0F"/>
    <w:rsid w:val="00DC3F07"/>
    <w:rsid w:val="00DF12F7"/>
    <w:rsid w:val="00DF3A2D"/>
    <w:rsid w:val="00E02C81"/>
    <w:rsid w:val="00E130AB"/>
    <w:rsid w:val="00E506F0"/>
    <w:rsid w:val="00E53330"/>
    <w:rsid w:val="00E66A7C"/>
    <w:rsid w:val="00E7260F"/>
    <w:rsid w:val="00E87921"/>
    <w:rsid w:val="00E96630"/>
    <w:rsid w:val="00EA0ED6"/>
    <w:rsid w:val="00EA264E"/>
    <w:rsid w:val="00ED7A2A"/>
    <w:rsid w:val="00EF1D7F"/>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11</TotalTime>
  <Pages>7</Pages>
  <Words>2117</Words>
  <Characters>10905</Characters>
  <Application>Microsoft Office Word</Application>
  <DocSecurity>0</DocSecurity>
  <Lines>242</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5</cp:revision>
  <cp:lastPrinted>2017-12-05T14:00:00Z</cp:lastPrinted>
  <dcterms:created xsi:type="dcterms:W3CDTF">2017-12-01T13:33:00Z</dcterms:created>
  <dcterms:modified xsi:type="dcterms:W3CDTF">2017-12-05T14:01:00Z</dcterms:modified>
</cp:coreProperties>
</file>