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96E85" w:rsidRPr="002C0ADD" w:rsidTr="008779A4">
        <w:trPr>
          <w:trHeight w:hRule="exact" w:val="851"/>
        </w:trPr>
        <w:tc>
          <w:tcPr>
            <w:tcW w:w="9639" w:type="dxa"/>
            <w:gridSpan w:val="3"/>
            <w:tcBorders>
              <w:bottom w:val="single" w:sz="4" w:space="0" w:color="auto"/>
            </w:tcBorders>
            <w:vAlign w:val="bottom"/>
          </w:tcPr>
          <w:p w:rsidR="00596E85" w:rsidRPr="00FE676A" w:rsidRDefault="00596E85" w:rsidP="00596E85">
            <w:pPr>
              <w:jc w:val="right"/>
              <w:rPr>
                <w:lang w:val="en-GB"/>
              </w:rPr>
            </w:pPr>
            <w:bookmarkStart w:id="0" w:name="_GoBack"/>
            <w:bookmarkEnd w:id="0"/>
            <w:r w:rsidRPr="00FE676A">
              <w:rPr>
                <w:sz w:val="40"/>
                <w:lang w:val="en-GB"/>
              </w:rPr>
              <w:t>E</w:t>
            </w:r>
            <w:r w:rsidRPr="00FE676A">
              <w:rPr>
                <w:lang w:val="en-GB"/>
              </w:rPr>
              <w:t>/ECE/324/Rev.1/Add.29/Rev.3/Amend.4−</w:t>
            </w:r>
            <w:r w:rsidRPr="00FE676A">
              <w:rPr>
                <w:sz w:val="40"/>
                <w:lang w:val="en-GB"/>
              </w:rPr>
              <w:t>E</w:t>
            </w:r>
            <w:r w:rsidRPr="00FE676A">
              <w:rPr>
                <w:lang w:val="en-GB"/>
              </w:rPr>
              <w:t>/ECE/TRANS/505/Rev.1/Add.29/Rev.3/Amend.4</w:t>
            </w:r>
            <w:r w:rsidR="00FE676A" w:rsidRPr="00FE676A">
              <w:rPr>
                <w:rStyle w:val="FootnoteReference"/>
                <w:sz w:val="20"/>
                <w:vertAlign w:val="baseline"/>
                <w:lang w:val="en-GB"/>
              </w:rPr>
              <w:footnoteReference w:customMarkFollows="1" w:id="2"/>
              <w:t>*</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FE676A" w:rsidRDefault="0080236C" w:rsidP="0002432E">
            <w:pPr>
              <w:spacing w:before="120"/>
              <w:jc w:val="center"/>
              <w:rPr>
                <w:lang w:val="en-GB"/>
              </w:rPr>
            </w:pPr>
          </w:p>
        </w:tc>
        <w:tc>
          <w:tcPr>
            <w:tcW w:w="5528" w:type="dxa"/>
            <w:tcBorders>
              <w:top w:val="single" w:sz="4" w:space="0" w:color="auto"/>
              <w:bottom w:val="single" w:sz="12" w:space="0" w:color="auto"/>
            </w:tcBorders>
          </w:tcPr>
          <w:p w:rsidR="0080236C" w:rsidRPr="00FE676A" w:rsidRDefault="0080236C" w:rsidP="0002432E">
            <w:pPr>
              <w:spacing w:before="120" w:line="420" w:lineRule="exact"/>
              <w:rPr>
                <w:b/>
                <w:sz w:val="40"/>
                <w:szCs w:val="40"/>
                <w:lang w:val="en-GB"/>
              </w:rPr>
            </w:pPr>
          </w:p>
        </w:tc>
        <w:tc>
          <w:tcPr>
            <w:tcW w:w="2835" w:type="dxa"/>
            <w:tcBorders>
              <w:top w:val="single" w:sz="4" w:space="0" w:color="auto"/>
              <w:bottom w:val="single" w:sz="12" w:space="0" w:color="auto"/>
            </w:tcBorders>
          </w:tcPr>
          <w:p w:rsidR="00596E85" w:rsidRDefault="009D248D" w:rsidP="00596E85">
            <w:pPr>
              <w:spacing w:before="720" w:line="240" w:lineRule="exact"/>
            </w:pPr>
            <w:r>
              <w:t>22 </w:t>
            </w:r>
            <w:r w:rsidR="00596E85">
              <w:t>février 2017</w:t>
            </w:r>
          </w:p>
          <w:p w:rsidR="00596E85" w:rsidRPr="00DB58B5" w:rsidRDefault="00596E85" w:rsidP="00596E85">
            <w:pPr>
              <w:spacing w:line="240" w:lineRule="exact"/>
            </w:pPr>
          </w:p>
        </w:tc>
      </w:tr>
    </w:tbl>
    <w:p w:rsidR="00596E85" w:rsidRDefault="00596E85" w:rsidP="00596E85">
      <w:pPr>
        <w:pStyle w:val="HChG"/>
        <w:spacing w:after="220" w:line="280" w:lineRule="exact"/>
      </w:pPr>
      <w:r>
        <w:tab/>
      </w:r>
      <w:r>
        <w:tab/>
        <w:t>Accord</w:t>
      </w:r>
    </w:p>
    <w:p w:rsidR="00596E85" w:rsidRDefault="00596E85" w:rsidP="00596E85">
      <w:pPr>
        <w:pStyle w:val="H1G"/>
        <w:rPr>
          <w:b w:val="0"/>
          <w:sz w:val="20"/>
        </w:rPr>
      </w:pPr>
      <w:r>
        <w:tab/>
      </w:r>
      <w:r>
        <w:tab/>
        <w:t xml:space="preserve">Concernant l’adoption de prescriptions techniques uniformes applicables aux véhicules à roues, aux équipements et aux pièces susceptibles d’être montés ou utilisés sur un véhicule à roues </w:t>
      </w:r>
      <w:r w:rsidR="009D248D">
        <w:br/>
      </w:r>
      <w:r>
        <w:t xml:space="preserve">et les conditions de </w:t>
      </w:r>
      <w:r w:rsidRPr="00083F1B">
        <w:t>reconnaissance</w:t>
      </w:r>
      <w:r>
        <w:t xml:space="preserve"> réciproque des homologations délivrées conformément à ces prescriptions</w:t>
      </w:r>
      <w:r w:rsidR="005A7429" w:rsidRPr="005A7429">
        <w:rPr>
          <w:rStyle w:val="FootnoteReference"/>
          <w:b w:val="0"/>
          <w:sz w:val="20"/>
          <w:vertAlign w:val="baseline"/>
        </w:rPr>
        <w:footnoteReference w:customMarkFollows="1" w:id="3"/>
        <w:t>**</w:t>
      </w:r>
    </w:p>
    <w:p w:rsidR="00596E85" w:rsidRDefault="00596E85" w:rsidP="00596E85">
      <w:pPr>
        <w:pStyle w:val="SingleTxtG"/>
        <w:spacing w:after="100" w:line="220" w:lineRule="atLeast"/>
      </w:pPr>
      <w:r>
        <w:t>(Révision 2, comprenant les amendements entrés en vigueur le 16 octobre 1995)</w:t>
      </w:r>
    </w:p>
    <w:p w:rsidR="00596E85" w:rsidRPr="00C36A3B" w:rsidRDefault="00596E85" w:rsidP="00596E85">
      <w:pPr>
        <w:pStyle w:val="SingleTxtG"/>
        <w:spacing w:before="120" w:after="0" w:line="120" w:lineRule="atLeast"/>
        <w:jc w:val="center"/>
        <w:rPr>
          <w:b/>
          <w:u w:val="single"/>
        </w:rPr>
      </w:pPr>
      <w:r>
        <w:rPr>
          <w:b/>
          <w:u w:val="single"/>
        </w:rPr>
        <w:tab/>
      </w:r>
      <w:r>
        <w:rPr>
          <w:b/>
          <w:u w:val="single"/>
        </w:rPr>
        <w:tab/>
      </w:r>
      <w:r>
        <w:rPr>
          <w:b/>
          <w:u w:val="single"/>
        </w:rPr>
        <w:tab/>
      </w:r>
    </w:p>
    <w:p w:rsidR="00596E85" w:rsidRDefault="00596E85" w:rsidP="00596E85">
      <w:pPr>
        <w:pStyle w:val="H1G"/>
        <w:spacing w:before="340" w:after="220" w:line="250" w:lineRule="exact"/>
      </w:pPr>
      <w:r>
        <w:tab/>
      </w:r>
      <w:r>
        <w:tab/>
        <w:t xml:space="preserve">Additif </w:t>
      </w:r>
      <w:r w:rsidR="009D248D">
        <w:t>29 : Règlement n</w:t>
      </w:r>
      <w:r w:rsidRPr="007859A7">
        <w:rPr>
          <w:vertAlign w:val="superscript"/>
        </w:rPr>
        <w:t>o</w:t>
      </w:r>
      <w:r>
        <w:t> </w:t>
      </w:r>
      <w:r w:rsidR="009D248D">
        <w:t>30</w:t>
      </w:r>
    </w:p>
    <w:p w:rsidR="00596E85" w:rsidRDefault="009D248D" w:rsidP="00596E85">
      <w:pPr>
        <w:pStyle w:val="H1G"/>
        <w:spacing w:before="340" w:after="220" w:line="250" w:lineRule="exact"/>
      </w:pPr>
      <w:r>
        <w:tab/>
      </w:r>
      <w:r>
        <w:tab/>
        <w:t>Révision 3 − Amendement 4</w:t>
      </w:r>
    </w:p>
    <w:p w:rsidR="00596E85" w:rsidRPr="00083F1B" w:rsidRDefault="009D248D" w:rsidP="00596E85">
      <w:pPr>
        <w:pStyle w:val="SingleTxtG"/>
        <w:rPr>
          <w:spacing w:val="-3"/>
        </w:rPr>
      </w:pPr>
      <w:r>
        <w:rPr>
          <w:spacing w:val="-3"/>
        </w:rPr>
        <w:t>Complément </w:t>
      </w:r>
      <w:r w:rsidR="00262E31">
        <w:rPr>
          <w:spacing w:val="-3"/>
        </w:rPr>
        <w:t>1</w:t>
      </w:r>
      <w:r>
        <w:rPr>
          <w:spacing w:val="-3"/>
        </w:rPr>
        <w:t>8</w:t>
      </w:r>
      <w:r w:rsidR="00596E85" w:rsidRPr="00083F1B">
        <w:rPr>
          <w:spacing w:val="-3"/>
        </w:rPr>
        <w:t xml:space="preserve"> à la </w:t>
      </w:r>
      <w:r>
        <w:rPr>
          <w:spacing w:val="-3"/>
        </w:rPr>
        <w:t>série 02</w:t>
      </w:r>
      <w:r w:rsidR="00596E85" w:rsidRPr="00083F1B">
        <w:rPr>
          <w:spacing w:val="-3"/>
        </w:rPr>
        <w:t xml:space="preserve"> </w:t>
      </w:r>
      <w:r>
        <w:rPr>
          <w:spacing w:val="-3"/>
        </w:rPr>
        <w:t>d’amendements − </w:t>
      </w:r>
      <w:r w:rsidR="00596E85" w:rsidRPr="00083F1B">
        <w:rPr>
          <w:spacing w:val="-3"/>
        </w:rPr>
        <w:t>Date d’entrée en vigueur : 9 février 2017</w:t>
      </w:r>
    </w:p>
    <w:p w:rsidR="00596E85" w:rsidRDefault="00596E85" w:rsidP="00596E85">
      <w:pPr>
        <w:pStyle w:val="H1G"/>
        <w:spacing w:before="340" w:after="220" w:line="250" w:lineRule="exact"/>
        <w:rPr>
          <w:spacing w:val="2"/>
        </w:rPr>
      </w:pPr>
      <w:r w:rsidRPr="000A3E26">
        <w:rPr>
          <w:spacing w:val="2"/>
        </w:rPr>
        <w:tab/>
      </w:r>
      <w:r w:rsidRPr="000A3E26">
        <w:rPr>
          <w:spacing w:val="2"/>
        </w:rPr>
        <w:tab/>
      </w:r>
      <w:r w:rsidRPr="00052D42">
        <w:t>Prescriptions</w:t>
      </w:r>
      <w:r w:rsidRPr="000A3E26">
        <w:rPr>
          <w:spacing w:val="2"/>
        </w:rPr>
        <w:t xml:space="preserve"> uniformes relatives à l’homologation</w:t>
      </w:r>
      <w:r w:rsidR="002039BC">
        <w:rPr>
          <w:spacing w:val="2"/>
        </w:rPr>
        <w:t xml:space="preserve"> des pneumatiques pour automobiles et leurs remorques</w:t>
      </w:r>
    </w:p>
    <w:p w:rsidR="00596E85" w:rsidRPr="009E4A20" w:rsidRDefault="00596E85" w:rsidP="00596E85">
      <w:pPr>
        <w:pStyle w:val="SingleTxtG"/>
      </w:pPr>
      <w:r w:rsidRPr="009E4A20">
        <w:rPr>
          <w:spacing w:val="-2"/>
        </w:rPr>
        <w:t xml:space="preserve">Le présent document est communiqué uniquement à titre d’information. Le texte authentique, </w:t>
      </w:r>
      <w:r w:rsidRPr="009E4A20">
        <w:t>juridiquement contraignant, est celui du document ECE/TRANS/WP.29/2016/</w:t>
      </w:r>
      <w:r w:rsidR="002039BC">
        <w:t>51.</w:t>
      </w:r>
    </w:p>
    <w:p w:rsidR="00596E85" w:rsidRPr="007859A7" w:rsidRDefault="00596E85" w:rsidP="00596E85">
      <w:pPr>
        <w:pStyle w:val="SingleTxtG"/>
        <w:spacing w:before="200" w:after="80" w:line="200" w:lineRule="atLeast"/>
        <w:jc w:val="center"/>
        <w:rPr>
          <w:u w:val="single"/>
        </w:rPr>
      </w:pPr>
      <w:r>
        <w:rPr>
          <w:u w:val="single"/>
        </w:rPr>
        <w:tab/>
      </w:r>
      <w:r>
        <w:rPr>
          <w:u w:val="single"/>
        </w:rPr>
        <w:tab/>
      </w:r>
      <w:r>
        <w:rPr>
          <w:u w:val="single"/>
        </w:rPr>
        <w:tab/>
      </w:r>
    </w:p>
    <w:p w:rsidR="00596E85" w:rsidRDefault="00596E85" w:rsidP="00596E85">
      <w:pPr>
        <w:pStyle w:val="SingleTxtG"/>
        <w:jc w:val="center"/>
      </w:pPr>
      <w:r w:rsidRPr="00133191">
        <w:rPr>
          <w:b/>
          <w:noProof/>
          <w:lang w:eastAsia="fr-CH"/>
        </w:rPr>
        <w:drawing>
          <wp:inline distT="0" distB="0" distL="0" distR="0" wp14:anchorId="7749CD16" wp14:editId="654DABDE">
            <wp:extent cx="971812" cy="78105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3" r="-7603"/>
                    <a:stretch>
                      <a:fillRect/>
                    </a:stretch>
                  </pic:blipFill>
                  <pic:spPr bwMode="auto">
                    <a:xfrm>
                      <a:off x="0" y="0"/>
                      <a:ext cx="972356" cy="781487"/>
                    </a:xfrm>
                    <a:prstGeom prst="rect">
                      <a:avLst/>
                    </a:prstGeom>
                    <a:noFill/>
                  </pic:spPr>
                </pic:pic>
              </a:graphicData>
            </a:graphic>
          </wp:inline>
        </w:drawing>
      </w:r>
    </w:p>
    <w:p w:rsidR="00706390" w:rsidRDefault="00596E85" w:rsidP="001D4010">
      <w:pPr>
        <w:jc w:val="center"/>
        <w:rPr>
          <w:b/>
          <w:sz w:val="24"/>
          <w:szCs w:val="24"/>
        </w:rPr>
      </w:pPr>
      <w:r w:rsidRPr="004778D3">
        <w:rPr>
          <w:b/>
          <w:sz w:val="24"/>
          <w:szCs w:val="24"/>
        </w:rPr>
        <w:t>NATIONS UNIES</w:t>
      </w:r>
    </w:p>
    <w:p w:rsidR="00706390" w:rsidRPr="00B67112" w:rsidRDefault="00706390" w:rsidP="00AE7547">
      <w:pPr>
        <w:pStyle w:val="SingleTxtG"/>
        <w:rPr>
          <w:rFonts w:eastAsia="HGMaruGothicMPRO"/>
        </w:rPr>
      </w:pPr>
      <w:r>
        <w:br w:type="page"/>
      </w:r>
      <w:r w:rsidR="00AE7547" w:rsidRPr="00AE7547">
        <w:rPr>
          <w:rFonts w:eastAsia="HGMaruGothicMPRO"/>
          <w:i/>
        </w:rPr>
        <w:lastRenderedPageBreak/>
        <w:t>Paragraphe </w:t>
      </w:r>
      <w:r w:rsidRPr="00AE7547">
        <w:rPr>
          <w:rFonts w:eastAsia="HGMaruGothicMPRO"/>
          <w:i/>
        </w:rPr>
        <w:t>1</w:t>
      </w:r>
      <w:r w:rsidRPr="00B67112">
        <w:rPr>
          <w:rFonts w:eastAsia="HGMaruGothicMPRO"/>
        </w:rPr>
        <w:t xml:space="preserve">, </w:t>
      </w:r>
      <w:r w:rsidRPr="00A47634">
        <w:rPr>
          <w:rFonts w:eastAsia="HGMaruGothicMPRO"/>
        </w:rPr>
        <w:t>lire :</w:t>
      </w:r>
    </w:p>
    <w:p w:rsidR="00706390" w:rsidRPr="00A47634" w:rsidRDefault="00706390" w:rsidP="00706390">
      <w:pPr>
        <w:pStyle w:val="SingleTxtG"/>
        <w:ind w:left="2268" w:hanging="1134"/>
        <w:rPr>
          <w:rFonts w:eastAsia="Calibri"/>
        </w:rPr>
      </w:pPr>
      <w:bookmarkStart w:id="1" w:name="_Toc340745068"/>
      <w:bookmarkStart w:id="2" w:name="_Toc340666205"/>
      <w:r w:rsidRPr="00A47634">
        <w:rPr>
          <w:rFonts w:eastAsia="Calibri"/>
        </w:rPr>
        <w:t>« </w:t>
      </w:r>
      <w:r w:rsidRPr="00A47634">
        <w:rPr>
          <w:rFonts w:eastAsia="Calibri"/>
          <w:b/>
          <w:sz w:val="28"/>
          <w:szCs w:val="28"/>
        </w:rPr>
        <w:t>1.</w:t>
      </w:r>
      <w:r w:rsidRPr="00A47634">
        <w:rPr>
          <w:rFonts w:eastAsia="Calibri"/>
          <w:b/>
          <w:sz w:val="28"/>
          <w:szCs w:val="28"/>
        </w:rPr>
        <w:tab/>
      </w:r>
      <w:r w:rsidRPr="00A47634">
        <w:rPr>
          <w:rFonts w:eastAsia="Calibri"/>
          <w:b/>
          <w:sz w:val="28"/>
          <w:szCs w:val="28"/>
        </w:rPr>
        <w:tab/>
        <w:t>Domaine d’application</w:t>
      </w:r>
    </w:p>
    <w:p w:rsidR="00706390" w:rsidRPr="00A47634" w:rsidRDefault="00706390" w:rsidP="00706390">
      <w:pPr>
        <w:pStyle w:val="SingleTxtG"/>
        <w:ind w:left="2268"/>
        <w:rPr>
          <w:rFonts w:eastAsia="Calibri"/>
        </w:rPr>
      </w:pPr>
      <w:r w:rsidRPr="00A47634">
        <w:rPr>
          <w:rFonts w:eastAsia="Calibri"/>
        </w:rPr>
        <w:tab/>
        <w:t>Le présent Règlement s’applique aux pneumatiques neufs</w:t>
      </w:r>
      <w:r w:rsidR="00A41A0C" w:rsidRPr="0054720E">
        <w:rPr>
          <w:rFonts w:eastAsia="Calibri"/>
          <w:vertAlign w:val="superscript"/>
        </w:rPr>
        <w:t>*</w:t>
      </w:r>
      <w:r w:rsidRPr="00A47634">
        <w:rPr>
          <w:rFonts w:eastAsia="Calibri"/>
        </w:rPr>
        <w:t xml:space="preserve"> conçus principalement po</w:t>
      </w:r>
      <w:r w:rsidR="00A41A0C">
        <w:rPr>
          <w:rFonts w:eastAsia="Calibri"/>
        </w:rPr>
        <w:t>ur les véhicules des catégories </w:t>
      </w:r>
      <w:r w:rsidRPr="00A47634">
        <w:rPr>
          <w:rFonts w:eastAsia="Calibri"/>
        </w:rPr>
        <w:t>M</w:t>
      </w:r>
      <w:r w:rsidRPr="00A47634">
        <w:rPr>
          <w:rFonts w:eastAsia="Calibri"/>
          <w:vertAlign w:val="subscript"/>
        </w:rPr>
        <w:t>1</w:t>
      </w:r>
      <w:r w:rsidRPr="00A47634">
        <w:rPr>
          <w:rFonts w:eastAsia="Calibri"/>
        </w:rPr>
        <w:t>, N</w:t>
      </w:r>
      <w:r w:rsidRPr="00A47634">
        <w:rPr>
          <w:rFonts w:eastAsia="Calibri"/>
          <w:vertAlign w:val="subscript"/>
        </w:rPr>
        <w:t>1</w:t>
      </w:r>
      <w:r w:rsidRPr="00A47634">
        <w:rPr>
          <w:rFonts w:eastAsia="Calibri"/>
        </w:rPr>
        <w:t>, O</w:t>
      </w:r>
      <w:r w:rsidRPr="00A47634">
        <w:rPr>
          <w:rFonts w:eastAsia="Calibri"/>
          <w:vertAlign w:val="subscript"/>
        </w:rPr>
        <w:t>1</w:t>
      </w:r>
      <w:r w:rsidRPr="00A47634">
        <w:rPr>
          <w:rFonts w:eastAsia="Calibri"/>
        </w:rPr>
        <w:t xml:space="preserve"> et O</w:t>
      </w:r>
      <w:r w:rsidRPr="00A47634">
        <w:rPr>
          <w:rFonts w:eastAsia="Calibri"/>
          <w:vertAlign w:val="subscript"/>
        </w:rPr>
        <w:t>2</w:t>
      </w:r>
      <w:r w:rsidRPr="00A47634">
        <w:rPr>
          <w:rFonts w:eastAsia="Calibri"/>
          <w:b/>
          <w:sz w:val="18"/>
          <w:szCs w:val="18"/>
          <w:vertAlign w:val="superscript"/>
        </w:rPr>
        <w:t>1</w:t>
      </w:r>
      <w:r w:rsidRPr="00A47634">
        <w:rPr>
          <w:rFonts w:eastAsia="Calibri"/>
        </w:rPr>
        <w:t>.</w:t>
      </w:r>
    </w:p>
    <w:p w:rsidR="00706390" w:rsidRPr="00A47634" w:rsidRDefault="00706390" w:rsidP="00706390">
      <w:pPr>
        <w:pStyle w:val="SingleTxtG"/>
        <w:ind w:left="2268"/>
        <w:rPr>
          <w:rFonts w:eastAsia="Calibri"/>
        </w:rPr>
      </w:pPr>
      <w:r w:rsidRPr="00A47634">
        <w:rPr>
          <w:rFonts w:eastAsia="Calibri"/>
        </w:rPr>
        <w:tab/>
        <w:t>Il ne s’applique pas aux pneumati</w:t>
      </w:r>
      <w:r w:rsidR="00631298">
        <w:rPr>
          <w:rFonts w:eastAsia="Calibri"/>
        </w:rPr>
        <w:t>ques principalement conçus pour </w:t>
      </w:r>
      <w:r w:rsidRPr="00A47634">
        <w:rPr>
          <w:rFonts w:eastAsia="Calibri"/>
        </w:rPr>
        <w:t>:</w:t>
      </w:r>
    </w:p>
    <w:p w:rsidR="00706390" w:rsidRPr="00A47634" w:rsidRDefault="00706390" w:rsidP="00706390">
      <w:pPr>
        <w:pStyle w:val="SingleTxtG"/>
        <w:ind w:left="2268" w:hanging="1134"/>
        <w:rPr>
          <w:rFonts w:eastAsia="Calibri"/>
        </w:rPr>
      </w:pPr>
      <w:r w:rsidRPr="00A47634">
        <w:rPr>
          <w:rFonts w:eastAsia="Calibri"/>
        </w:rPr>
        <w:t>1.1</w:t>
      </w:r>
      <w:r w:rsidRPr="00A47634">
        <w:rPr>
          <w:rFonts w:eastAsia="Calibri"/>
        </w:rPr>
        <w:tab/>
        <w:t>Équiper les voitures de collection</w:t>
      </w:r>
      <w:r w:rsidR="00631298">
        <w:rPr>
          <w:rFonts w:eastAsia="Calibri"/>
        </w:rPr>
        <w:t> </w:t>
      </w:r>
      <w:r w:rsidRPr="00A47634">
        <w:rPr>
          <w:rFonts w:eastAsia="Calibri"/>
        </w:rPr>
        <w:t>;</w:t>
      </w:r>
    </w:p>
    <w:p w:rsidR="00706390" w:rsidRDefault="00706390" w:rsidP="00706390">
      <w:pPr>
        <w:pStyle w:val="SingleTxtG"/>
        <w:ind w:left="2268" w:hanging="1134"/>
        <w:rPr>
          <w:rFonts w:eastAsia="Calibri"/>
        </w:rPr>
      </w:pPr>
      <w:r w:rsidRPr="00A47634">
        <w:rPr>
          <w:rFonts w:eastAsia="Calibri"/>
        </w:rPr>
        <w:t>1.2</w:t>
      </w:r>
      <w:r w:rsidRPr="00A47634">
        <w:rPr>
          <w:rFonts w:eastAsia="Calibri"/>
        </w:rPr>
        <w:tab/>
        <w:t>La compétition. ».</w:t>
      </w:r>
    </w:p>
    <w:p w:rsidR="0054720E" w:rsidRDefault="0054720E" w:rsidP="00706390">
      <w:pPr>
        <w:pStyle w:val="SingleTxtG"/>
        <w:ind w:left="2268" w:hanging="1134"/>
        <w:rPr>
          <w:rFonts w:eastAsiaTheme="minorEastAsia"/>
        </w:rPr>
      </w:pPr>
      <w:r>
        <w:rPr>
          <w:rFonts w:eastAsiaTheme="minorEastAsia"/>
        </w:rPr>
        <w:t>___________________</w:t>
      </w:r>
    </w:p>
    <w:p w:rsidR="0054720E" w:rsidRPr="00A47634" w:rsidRDefault="0054720E" w:rsidP="00816BB7">
      <w:pPr>
        <w:pStyle w:val="SingleTxtG"/>
        <w:spacing w:after="240" w:line="220" w:lineRule="atLeast"/>
        <w:ind w:left="2268" w:hanging="1134"/>
        <w:rPr>
          <w:rFonts w:eastAsia="Calibri"/>
        </w:rPr>
      </w:pPr>
      <w:r w:rsidRPr="0054720E">
        <w:rPr>
          <w:rFonts w:eastAsiaTheme="minorEastAsia"/>
          <w:vertAlign w:val="superscript"/>
        </w:rPr>
        <w:t>*</w:t>
      </w:r>
      <w:r w:rsidRPr="00816BB7">
        <w:rPr>
          <w:rFonts w:eastAsiaTheme="minorEastAsia"/>
          <w:vertAlign w:val="superscript"/>
        </w:rPr>
        <w:t xml:space="preserve">  </w:t>
      </w:r>
      <w:r w:rsidRPr="00816BB7">
        <w:rPr>
          <w:rFonts w:eastAsia="Calibri"/>
          <w:sz w:val="18"/>
        </w:rPr>
        <w:t>Sans</w:t>
      </w:r>
      <w:r w:rsidRPr="0054720E">
        <w:rPr>
          <w:rFonts w:eastAsiaTheme="minorEastAsia"/>
          <w:sz w:val="18"/>
          <w:szCs w:val="18"/>
        </w:rPr>
        <w:t xml:space="preserve"> objet en français</w:t>
      </w:r>
      <w:r>
        <w:rPr>
          <w:rFonts w:eastAsiaTheme="minorEastAsia"/>
        </w:rPr>
        <w:t>.</w:t>
      </w:r>
    </w:p>
    <w:bookmarkEnd w:id="1"/>
    <w:bookmarkEnd w:id="2"/>
    <w:p w:rsidR="00706390" w:rsidRPr="00A47634" w:rsidRDefault="00706390" w:rsidP="00706390">
      <w:pPr>
        <w:pStyle w:val="SingleTxtG"/>
        <w:rPr>
          <w:rFonts w:eastAsia="HGMaruGothicMPRO"/>
        </w:rPr>
      </w:pPr>
      <w:r w:rsidRPr="00A47634">
        <w:rPr>
          <w:rFonts w:eastAsia="HGMaruGothicMPRO"/>
          <w:i/>
        </w:rPr>
        <w:t>Paragraphe 2.1</w:t>
      </w:r>
      <w:r w:rsidRPr="00A47634">
        <w:rPr>
          <w:rFonts w:eastAsia="HGMaruGothicMPRO"/>
        </w:rPr>
        <w:t>, lire :</w:t>
      </w:r>
    </w:p>
    <w:p w:rsidR="00706390" w:rsidRPr="00A47634" w:rsidRDefault="00706390" w:rsidP="00706390">
      <w:pPr>
        <w:pStyle w:val="SingleTxtG"/>
        <w:ind w:left="2268" w:hanging="1134"/>
        <w:rPr>
          <w:rFonts w:eastAsia="Calibri"/>
          <w:szCs w:val="24"/>
        </w:rPr>
      </w:pPr>
      <w:r w:rsidRPr="00A47634">
        <w:rPr>
          <w:rFonts w:eastAsia="Calibri"/>
        </w:rPr>
        <w:t>« 2.1</w:t>
      </w:r>
      <w:r w:rsidRPr="00A47634">
        <w:rPr>
          <w:rFonts w:eastAsia="Calibri"/>
        </w:rPr>
        <w:tab/>
        <w:t>“</w:t>
      </w:r>
      <w:r w:rsidRPr="00A47634">
        <w:rPr>
          <w:rFonts w:eastAsia="Calibri"/>
          <w:i/>
        </w:rPr>
        <w:t>Type de pneumatique”</w:t>
      </w:r>
      <w:r w:rsidRPr="00A47634">
        <w:rPr>
          <w:rFonts w:eastAsia="Calibri"/>
        </w:rPr>
        <w:t>, des pneumatiques ne présentant pas entre eux de différences</w:t>
      </w:r>
      <w:r w:rsidR="00CE1709">
        <w:rPr>
          <w:rFonts w:eastAsia="Calibri"/>
        </w:rPr>
        <w:t xml:space="preserve"> en ce qui concerne d</w:t>
      </w:r>
      <w:r w:rsidR="0054720E">
        <w:rPr>
          <w:rFonts w:eastAsia="Calibri"/>
        </w:rPr>
        <w:t>es éléments essentiels</w:t>
      </w:r>
      <w:r w:rsidRPr="00A47634">
        <w:rPr>
          <w:rFonts w:eastAsia="Calibri"/>
        </w:rPr>
        <w:t xml:space="preserve">, </w:t>
      </w:r>
      <w:r w:rsidR="009446C3">
        <w:rPr>
          <w:rFonts w:eastAsia="Calibri"/>
        </w:rPr>
        <w:t>tels que</w:t>
      </w:r>
      <w:r w:rsidRPr="00A47634">
        <w:rPr>
          <w:rFonts w:eastAsia="Calibri"/>
          <w:szCs w:val="24"/>
        </w:rPr>
        <w:t> :</w:t>
      </w:r>
    </w:p>
    <w:p w:rsidR="00706390" w:rsidRPr="00A47634" w:rsidRDefault="00706390" w:rsidP="00706390">
      <w:pPr>
        <w:pStyle w:val="SingleTxtG"/>
        <w:ind w:left="2835" w:hanging="567"/>
        <w:rPr>
          <w:rFonts w:eastAsia="Calibri"/>
          <w:w w:val="103"/>
        </w:rPr>
      </w:pPr>
      <w:r w:rsidRPr="00A47634">
        <w:rPr>
          <w:rFonts w:eastAsia="Calibri"/>
          <w:w w:val="103"/>
        </w:rPr>
        <w:t>a)</w:t>
      </w:r>
      <w:r w:rsidRPr="00A47634">
        <w:rPr>
          <w:rFonts w:eastAsia="Calibri"/>
          <w:w w:val="103"/>
        </w:rPr>
        <w:tab/>
        <w:t>Le nom du fabricant ;</w:t>
      </w:r>
    </w:p>
    <w:p w:rsidR="00706390" w:rsidRPr="00A47634" w:rsidRDefault="00706390" w:rsidP="00706390">
      <w:pPr>
        <w:pStyle w:val="SingleTxtG"/>
        <w:ind w:left="2835" w:hanging="567"/>
        <w:rPr>
          <w:rFonts w:eastAsia="Calibri"/>
          <w:w w:val="103"/>
        </w:rPr>
      </w:pPr>
      <w:r w:rsidRPr="00A47634">
        <w:rPr>
          <w:rFonts w:eastAsia="Calibri"/>
          <w:w w:val="103"/>
        </w:rPr>
        <w:t>b)</w:t>
      </w:r>
      <w:r w:rsidRPr="00A47634">
        <w:rPr>
          <w:rFonts w:eastAsia="Calibri"/>
          <w:w w:val="103"/>
        </w:rPr>
        <w:tab/>
        <w:t>La désignation de la dimension du pneumatique ;</w:t>
      </w:r>
    </w:p>
    <w:p w:rsidR="00706390" w:rsidRPr="00A47634" w:rsidRDefault="00706390" w:rsidP="00706390">
      <w:pPr>
        <w:pStyle w:val="SingleTxtG"/>
        <w:ind w:left="2835" w:hanging="567"/>
        <w:rPr>
          <w:rFonts w:eastAsia="Calibri"/>
          <w:w w:val="103"/>
        </w:rPr>
      </w:pPr>
      <w:r w:rsidRPr="00A47634">
        <w:rPr>
          <w:rFonts w:eastAsia="Calibri"/>
          <w:w w:val="103"/>
        </w:rPr>
        <w:t>c)</w:t>
      </w:r>
      <w:r w:rsidRPr="00A47634">
        <w:rPr>
          <w:rFonts w:eastAsia="Calibri"/>
          <w:w w:val="103"/>
        </w:rPr>
        <w:tab/>
        <w:t>La catégorie d’utilisation (pneumatique ordinaire, pneumatique neige, pneumatique à usage spécial ou pneumatique à usage temporaire) ;</w:t>
      </w:r>
    </w:p>
    <w:p w:rsidR="00706390" w:rsidRPr="00A47634" w:rsidRDefault="00706390" w:rsidP="00706390">
      <w:pPr>
        <w:pStyle w:val="SingleTxtG"/>
        <w:ind w:left="2835" w:hanging="567"/>
        <w:rPr>
          <w:rFonts w:eastAsia="Calibri"/>
          <w:w w:val="103"/>
        </w:rPr>
      </w:pPr>
      <w:r w:rsidRPr="00A47634">
        <w:rPr>
          <w:rFonts w:eastAsia="Calibri"/>
          <w:w w:val="103"/>
        </w:rPr>
        <w:t>d)</w:t>
      </w:r>
      <w:r w:rsidRPr="00A47634">
        <w:rPr>
          <w:rFonts w:eastAsia="Calibri"/>
          <w:w w:val="103"/>
        </w:rPr>
        <w:tab/>
        <w:t>La structure (diagonale, ceinturée c</w:t>
      </w:r>
      <w:r w:rsidR="00915A64">
        <w:rPr>
          <w:rFonts w:eastAsia="Calibri"/>
          <w:w w:val="103"/>
        </w:rPr>
        <w:t>roisée, radiale, pour roulage à </w:t>
      </w:r>
      <w:r w:rsidRPr="00A47634">
        <w:rPr>
          <w:rFonts w:eastAsia="Calibri"/>
          <w:w w:val="103"/>
        </w:rPr>
        <w:t>plat) ;</w:t>
      </w:r>
    </w:p>
    <w:p w:rsidR="00706390" w:rsidRPr="00A47634" w:rsidRDefault="00706390" w:rsidP="00706390">
      <w:pPr>
        <w:pStyle w:val="SingleTxtG"/>
        <w:ind w:left="2835" w:hanging="567"/>
        <w:rPr>
          <w:rFonts w:eastAsia="Calibri"/>
          <w:w w:val="103"/>
        </w:rPr>
      </w:pPr>
      <w:r w:rsidRPr="00A47634">
        <w:rPr>
          <w:rFonts w:eastAsia="Calibri"/>
          <w:w w:val="103"/>
        </w:rPr>
        <w:t>e)</w:t>
      </w:r>
      <w:r w:rsidRPr="00A47634">
        <w:rPr>
          <w:rFonts w:eastAsia="Calibri"/>
          <w:w w:val="103"/>
        </w:rPr>
        <w:tab/>
        <w:t>Le symbole de la catégorie de vitesse ;</w:t>
      </w:r>
    </w:p>
    <w:p w:rsidR="00706390" w:rsidRPr="00A47634" w:rsidRDefault="00706390" w:rsidP="00706390">
      <w:pPr>
        <w:pStyle w:val="SingleTxtG"/>
        <w:ind w:left="2835" w:hanging="567"/>
        <w:rPr>
          <w:rFonts w:eastAsia="Calibri"/>
          <w:w w:val="103"/>
        </w:rPr>
      </w:pPr>
      <w:r w:rsidRPr="00A47634">
        <w:rPr>
          <w:rFonts w:eastAsia="Calibri"/>
          <w:w w:val="103"/>
        </w:rPr>
        <w:t>f)</w:t>
      </w:r>
      <w:r w:rsidRPr="00A47634">
        <w:rPr>
          <w:rFonts w:eastAsia="Calibri"/>
          <w:w w:val="103"/>
        </w:rPr>
        <w:tab/>
        <w:t>L’indice de capacité de charge ;</w:t>
      </w:r>
    </w:p>
    <w:p w:rsidR="00706390" w:rsidRPr="00A47634" w:rsidRDefault="00706390" w:rsidP="00706390">
      <w:pPr>
        <w:pStyle w:val="SingleTxtG"/>
        <w:ind w:left="2835" w:hanging="567"/>
        <w:rPr>
          <w:rFonts w:eastAsia="Calibri"/>
          <w:w w:val="103"/>
        </w:rPr>
      </w:pPr>
      <w:r w:rsidRPr="00A47634">
        <w:rPr>
          <w:rFonts w:eastAsia="Calibri"/>
          <w:w w:val="103"/>
        </w:rPr>
        <w:t>g)</w:t>
      </w:r>
      <w:r w:rsidRPr="00A47634">
        <w:rPr>
          <w:rFonts w:eastAsia="Calibri"/>
          <w:w w:val="103"/>
        </w:rPr>
        <w:tab/>
        <w:t>La section transversale du pneumatique. ».</w:t>
      </w:r>
    </w:p>
    <w:p w:rsidR="00706390" w:rsidRPr="00A47634" w:rsidRDefault="00706390" w:rsidP="00706390">
      <w:pPr>
        <w:pStyle w:val="SingleTxtG"/>
        <w:keepNext/>
        <w:rPr>
          <w:rFonts w:eastAsia="HGMaruGothicMPRO"/>
        </w:rPr>
      </w:pPr>
      <w:r w:rsidRPr="00A47634">
        <w:rPr>
          <w:rFonts w:eastAsia="Calibri"/>
          <w:i/>
        </w:rPr>
        <w:t xml:space="preserve">Ajouter </w:t>
      </w:r>
      <w:r w:rsidR="009446C3">
        <w:rPr>
          <w:rFonts w:eastAsia="Calibri"/>
          <w:i/>
        </w:rPr>
        <w:t>un</w:t>
      </w:r>
      <w:r w:rsidRPr="00A47634">
        <w:rPr>
          <w:rFonts w:eastAsia="Calibri"/>
          <w:i/>
        </w:rPr>
        <w:t xml:space="preserve"> nouveau paragraphe</w:t>
      </w:r>
      <w:r w:rsidRPr="00A47634">
        <w:rPr>
          <w:rFonts w:eastAsia="Calibri"/>
        </w:rPr>
        <w:t>, libellé comme suit :</w:t>
      </w:r>
    </w:p>
    <w:p w:rsidR="00706390" w:rsidRPr="00B67112" w:rsidRDefault="00706390" w:rsidP="00706390">
      <w:pPr>
        <w:pStyle w:val="SingleTxtG"/>
        <w:ind w:left="2268" w:hanging="1134"/>
        <w:rPr>
          <w:rFonts w:eastAsia="Calibri"/>
          <w:lang w:eastAsia="fr-FR"/>
        </w:rPr>
      </w:pPr>
      <w:r w:rsidRPr="00B67112">
        <w:rPr>
          <w:rFonts w:eastAsia="Calibri"/>
        </w:rPr>
        <w:t>« 2.2</w:t>
      </w:r>
      <w:r w:rsidRPr="00B67112">
        <w:rPr>
          <w:rFonts w:eastAsia="Calibri"/>
        </w:rPr>
        <w:tab/>
      </w:r>
      <w:r w:rsidRPr="00B67112">
        <w:rPr>
          <w:rFonts w:eastAsia="Calibri"/>
          <w:bCs/>
        </w:rPr>
        <w:t>“</w:t>
      </w:r>
      <w:r w:rsidRPr="00465347">
        <w:rPr>
          <w:rFonts w:eastAsia="Calibri"/>
          <w:i/>
        </w:rPr>
        <w:t>Fabricant</w:t>
      </w:r>
      <w:r w:rsidRPr="00B67112">
        <w:rPr>
          <w:rFonts w:eastAsia="Calibri"/>
        </w:rPr>
        <w:t>”, la personne ou l’organisme responsable devant l’autorité d’homologation de type de tous les aspects du processus d’homologation et du respect de la conformité de la production. ».</w:t>
      </w:r>
    </w:p>
    <w:p w:rsidR="00706390" w:rsidRPr="00B67112" w:rsidRDefault="00706390" w:rsidP="00706390">
      <w:pPr>
        <w:pStyle w:val="SingleTxtG"/>
        <w:keepNext/>
        <w:rPr>
          <w:rFonts w:eastAsia="HGMaruGothicMPRO"/>
          <w:szCs w:val="24"/>
        </w:rPr>
      </w:pPr>
      <w:r w:rsidRPr="00B67112">
        <w:rPr>
          <w:rFonts w:eastAsia="Calibri"/>
          <w:i/>
          <w:szCs w:val="24"/>
        </w:rPr>
        <w:t xml:space="preserve">Ajouter </w:t>
      </w:r>
      <w:r w:rsidR="009446C3">
        <w:rPr>
          <w:rFonts w:eastAsia="Calibri"/>
          <w:i/>
          <w:szCs w:val="24"/>
        </w:rPr>
        <w:t>un</w:t>
      </w:r>
      <w:r w:rsidRPr="00B67112">
        <w:rPr>
          <w:rFonts w:eastAsia="Calibri"/>
          <w:i/>
          <w:szCs w:val="24"/>
        </w:rPr>
        <w:t xml:space="preserve"> nouveau paragraphe</w:t>
      </w:r>
      <w:r w:rsidRPr="00B67112">
        <w:rPr>
          <w:rFonts w:eastAsia="Calibri"/>
          <w:szCs w:val="24"/>
        </w:rPr>
        <w:t>, libellé comme suit :</w:t>
      </w:r>
    </w:p>
    <w:p w:rsidR="00706390" w:rsidRPr="00465347" w:rsidRDefault="00706390" w:rsidP="00706390">
      <w:pPr>
        <w:pStyle w:val="SingleTxtG"/>
        <w:keepNext/>
        <w:ind w:left="2268" w:hanging="1134"/>
        <w:rPr>
          <w:rFonts w:eastAsia="Calibri"/>
          <w:szCs w:val="24"/>
        </w:rPr>
      </w:pPr>
      <w:r w:rsidRPr="00B67112">
        <w:rPr>
          <w:rFonts w:eastAsia="Calibri"/>
          <w:szCs w:val="24"/>
        </w:rPr>
        <w:t>« 2.3</w:t>
      </w:r>
      <w:r w:rsidRPr="00B67112">
        <w:rPr>
          <w:rFonts w:eastAsia="Calibri"/>
          <w:szCs w:val="24"/>
        </w:rPr>
        <w:tab/>
      </w:r>
      <w:r>
        <w:rPr>
          <w:rFonts w:eastAsia="Calibri"/>
          <w:szCs w:val="24"/>
        </w:rPr>
        <w:t>“</w:t>
      </w:r>
      <w:r w:rsidRPr="00465347">
        <w:rPr>
          <w:rFonts w:eastAsia="Calibri"/>
          <w:i/>
          <w:szCs w:val="24"/>
        </w:rPr>
        <w:t>Nom de marque/marque de fabrique</w:t>
      </w:r>
      <w:r>
        <w:rPr>
          <w:rFonts w:eastAsia="Calibri"/>
          <w:szCs w:val="24"/>
        </w:rPr>
        <w:t>”, l</w:t>
      </w:r>
      <w:r w:rsidRPr="00A47634">
        <w:t>a désignation commerciale choisie par le fabricant de pneumatiques et apposée sur le</w:t>
      </w:r>
      <w:r w:rsidR="002C5B13">
        <w:t xml:space="preserve"> ou les flancs</w:t>
      </w:r>
      <w:r w:rsidRPr="00A47634">
        <w:t xml:space="preserve"> du pneumatique. Elle peut être la même que le nom du fabricant. ».</w:t>
      </w:r>
    </w:p>
    <w:p w:rsidR="00706390" w:rsidRPr="00B67112" w:rsidRDefault="00706390" w:rsidP="00706390">
      <w:pPr>
        <w:pStyle w:val="SingleTxtG"/>
        <w:keepNext/>
        <w:rPr>
          <w:rFonts w:eastAsia="HGMaruGothicMPRO"/>
          <w:szCs w:val="24"/>
        </w:rPr>
      </w:pPr>
      <w:r w:rsidRPr="00B67112">
        <w:rPr>
          <w:rFonts w:eastAsia="Calibri"/>
          <w:i/>
          <w:szCs w:val="24"/>
        </w:rPr>
        <w:t xml:space="preserve">Ajouter </w:t>
      </w:r>
      <w:r w:rsidRPr="00A47634">
        <w:rPr>
          <w:rFonts w:eastAsia="Calibri"/>
          <w:i/>
          <w:szCs w:val="24"/>
        </w:rPr>
        <w:t>un</w:t>
      </w:r>
      <w:r w:rsidRPr="00B67112">
        <w:rPr>
          <w:rFonts w:eastAsia="Calibri"/>
          <w:i/>
          <w:szCs w:val="24"/>
        </w:rPr>
        <w:t xml:space="preserve"> nouveau paragraphe</w:t>
      </w:r>
      <w:r w:rsidRPr="00B67112">
        <w:rPr>
          <w:rFonts w:eastAsia="Calibri"/>
          <w:szCs w:val="24"/>
        </w:rPr>
        <w:t>, libellé comme suit :</w:t>
      </w:r>
    </w:p>
    <w:p w:rsidR="00706390" w:rsidRPr="00B67112" w:rsidRDefault="00706390" w:rsidP="00706390">
      <w:pPr>
        <w:pStyle w:val="SingleTxtG"/>
        <w:ind w:left="2268" w:hanging="1134"/>
        <w:rPr>
          <w:rFonts w:eastAsia="Calibri"/>
        </w:rPr>
      </w:pPr>
      <w:r>
        <w:rPr>
          <w:rFonts w:eastAsia="Calibri"/>
          <w:szCs w:val="24"/>
        </w:rPr>
        <w:t>« 2.4</w:t>
      </w:r>
      <w:r w:rsidRPr="00B67112">
        <w:rPr>
          <w:rFonts w:eastAsia="Calibri"/>
          <w:szCs w:val="24"/>
        </w:rPr>
        <w:tab/>
      </w:r>
      <w:r>
        <w:rPr>
          <w:rFonts w:eastAsia="Calibri"/>
          <w:szCs w:val="24"/>
        </w:rPr>
        <w:t>“</w:t>
      </w:r>
      <w:r w:rsidRPr="00B67112">
        <w:rPr>
          <w:rFonts w:eastAsia="Calibri"/>
          <w:szCs w:val="24"/>
        </w:rPr>
        <w:t>Désignation commerciale/nom commercial</w:t>
      </w:r>
      <w:r>
        <w:rPr>
          <w:rFonts w:eastAsia="Calibri"/>
          <w:szCs w:val="24"/>
        </w:rPr>
        <w:t>”, l</w:t>
      </w:r>
      <w:r w:rsidRPr="00B67112">
        <w:rPr>
          <w:rFonts w:eastAsia="Calibri"/>
        </w:rPr>
        <w:t>a désignation commerciale de la gamme de pneumatiques attribuée par le fabricant de pneumatiques. Elle peut concorder avec la marque de fabrique/marque de commerce. ».</w:t>
      </w:r>
    </w:p>
    <w:p w:rsidR="00706390" w:rsidRPr="00A47634" w:rsidRDefault="00706390" w:rsidP="00706390">
      <w:pPr>
        <w:pStyle w:val="SingleTxtG"/>
        <w:keepNext/>
        <w:rPr>
          <w:rFonts w:eastAsia="Calibri"/>
        </w:rPr>
      </w:pPr>
      <w:r w:rsidRPr="00A47634">
        <w:rPr>
          <w:rFonts w:eastAsia="Calibri"/>
          <w:i/>
        </w:rPr>
        <w:t>Ajouter un nouveau paragraphe</w:t>
      </w:r>
      <w:r w:rsidRPr="00A47634">
        <w:rPr>
          <w:rFonts w:eastAsia="Calibri"/>
        </w:rPr>
        <w:t>, libellé comme suit :</w:t>
      </w:r>
    </w:p>
    <w:p w:rsidR="0054720E" w:rsidRDefault="00706390" w:rsidP="00E62469">
      <w:pPr>
        <w:pStyle w:val="SingleTxtG"/>
        <w:ind w:left="2268" w:hanging="1134"/>
        <w:rPr>
          <w:rFonts w:eastAsia="Calibri"/>
        </w:rPr>
      </w:pPr>
      <w:r w:rsidRPr="00A47634">
        <w:rPr>
          <w:rFonts w:eastAsia="Calibri"/>
        </w:rPr>
        <w:t>« 2.20.1</w:t>
      </w:r>
      <w:r w:rsidRPr="00A47634">
        <w:rPr>
          <w:rFonts w:eastAsia="Calibri"/>
        </w:rPr>
        <w:tab/>
      </w:r>
      <w:r w:rsidRPr="00A47634">
        <w:rPr>
          <w:rFonts w:eastAsia="Calibri"/>
        </w:rPr>
        <w:tab/>
        <w:t>On trouvera dans le tableau ci</w:t>
      </w:r>
      <w:r w:rsidR="00631298">
        <w:rPr>
          <w:rFonts w:eastAsia="Calibri"/>
        </w:rPr>
        <w:noBreakHyphen/>
      </w:r>
      <w:r w:rsidRPr="00A47634">
        <w:rPr>
          <w:rFonts w:eastAsia="Calibri"/>
        </w:rPr>
        <w:t>après la valeur du diamètre nominal de la jante (exprimée en millimètres) pour les jantes désignées par un code :</w:t>
      </w:r>
    </w:p>
    <w:tbl>
      <w:tblPr>
        <w:tblW w:w="7370" w:type="dxa"/>
        <w:tblInd w:w="1134" w:type="dxa"/>
        <w:tblLayout w:type="fixed"/>
        <w:tblCellMar>
          <w:left w:w="0" w:type="dxa"/>
          <w:right w:w="0" w:type="dxa"/>
        </w:tblCellMar>
        <w:tblLook w:val="04A0" w:firstRow="1" w:lastRow="0" w:firstColumn="1" w:lastColumn="0" w:noHBand="0" w:noVBand="1"/>
      </w:tblPr>
      <w:tblGrid>
        <w:gridCol w:w="3765"/>
        <w:gridCol w:w="3605"/>
      </w:tblGrid>
      <w:tr w:rsidR="00AB4D9D" w:rsidRPr="00AB4D9D" w:rsidTr="00AB4D9D">
        <w:trPr>
          <w:tblHeader/>
        </w:trPr>
        <w:tc>
          <w:tcPr>
            <w:tcW w:w="3765" w:type="dxa"/>
            <w:tcBorders>
              <w:top w:val="single" w:sz="4" w:space="0" w:color="auto"/>
              <w:bottom w:val="single" w:sz="12" w:space="0" w:color="auto"/>
            </w:tcBorders>
            <w:shd w:val="clear" w:color="auto" w:fill="auto"/>
            <w:vAlign w:val="bottom"/>
            <w:hideMark/>
          </w:tcPr>
          <w:p w:rsidR="006D5E0C" w:rsidRPr="00AB4D9D" w:rsidRDefault="006D5E0C" w:rsidP="00AB4D9D">
            <w:pPr>
              <w:keepNext/>
              <w:suppressAutoHyphens w:val="0"/>
              <w:spacing w:before="80" w:after="80" w:line="200" w:lineRule="exact"/>
              <w:rPr>
                <w:rFonts w:eastAsia="Calibri"/>
                <w:i/>
                <w:sz w:val="16"/>
                <w:lang w:eastAsia="zh-CN"/>
              </w:rPr>
            </w:pPr>
            <w:r w:rsidRPr="00AB4D9D">
              <w:rPr>
                <w:rFonts w:eastAsia="Calibri"/>
                <w:i/>
                <w:sz w:val="16"/>
                <w:lang w:eastAsia="zh-CN"/>
              </w:rPr>
              <w:lastRenderedPageBreak/>
              <w:t>Code du diamètre nominal de la jante (symbole « d »)</w:t>
            </w:r>
          </w:p>
        </w:tc>
        <w:tc>
          <w:tcPr>
            <w:tcW w:w="3605" w:type="dxa"/>
            <w:tcBorders>
              <w:top w:val="single" w:sz="4" w:space="0" w:color="auto"/>
              <w:bottom w:val="single" w:sz="12" w:space="0" w:color="auto"/>
            </w:tcBorders>
            <w:shd w:val="clear" w:color="auto" w:fill="auto"/>
            <w:vAlign w:val="bottom"/>
            <w:hideMark/>
          </w:tcPr>
          <w:p w:rsidR="006D5E0C" w:rsidRPr="00AB4D9D" w:rsidRDefault="006D5E0C" w:rsidP="00AB4D9D">
            <w:pPr>
              <w:keepNext/>
              <w:suppressAutoHyphens w:val="0"/>
              <w:spacing w:before="80" w:after="80" w:line="200" w:lineRule="exact"/>
              <w:jc w:val="right"/>
              <w:rPr>
                <w:rFonts w:eastAsia="Calibri"/>
                <w:i/>
                <w:sz w:val="16"/>
                <w:lang w:eastAsia="zh-CN"/>
              </w:rPr>
            </w:pPr>
            <w:r w:rsidRPr="00AB4D9D">
              <w:rPr>
                <w:rFonts w:eastAsia="Calibri"/>
                <w:i/>
                <w:sz w:val="16"/>
                <w:lang w:eastAsia="zh-CN"/>
              </w:rPr>
              <w:t>Valeur du symbole « d » en mm</w:t>
            </w:r>
          </w:p>
        </w:tc>
      </w:tr>
      <w:tr w:rsidR="00AB4D9D" w:rsidRPr="00AB4D9D" w:rsidTr="00AB4D9D">
        <w:tc>
          <w:tcPr>
            <w:tcW w:w="3765" w:type="dxa"/>
            <w:tcBorders>
              <w:top w:val="single" w:sz="12" w:space="0" w:color="auto"/>
            </w:tcBorders>
            <w:shd w:val="clear" w:color="auto" w:fill="auto"/>
            <w:noWrap/>
            <w:hideMark/>
          </w:tcPr>
          <w:p w:rsidR="006D5E0C" w:rsidRPr="00AB4D9D" w:rsidRDefault="006D5E0C" w:rsidP="00AB4D9D">
            <w:pPr>
              <w:keepNext/>
              <w:suppressAutoHyphens w:val="0"/>
              <w:spacing w:before="40" w:after="40" w:line="220" w:lineRule="exact"/>
              <w:rPr>
                <w:rFonts w:eastAsia="Calibri"/>
                <w:sz w:val="18"/>
                <w:lang w:eastAsia="zh-CN"/>
              </w:rPr>
            </w:pPr>
            <w:r w:rsidRPr="00AB4D9D">
              <w:rPr>
                <w:rFonts w:eastAsia="Calibri"/>
                <w:sz w:val="18"/>
                <w:lang w:eastAsia="zh-CN"/>
              </w:rPr>
              <w:t>10</w:t>
            </w:r>
          </w:p>
        </w:tc>
        <w:tc>
          <w:tcPr>
            <w:tcW w:w="3605" w:type="dxa"/>
            <w:tcBorders>
              <w:top w:val="single" w:sz="12" w:space="0" w:color="auto"/>
            </w:tcBorders>
            <w:shd w:val="clear" w:color="auto" w:fill="auto"/>
            <w:noWrap/>
            <w:vAlign w:val="bottom"/>
            <w:hideMark/>
          </w:tcPr>
          <w:p w:rsidR="006D5E0C" w:rsidRPr="00AB4D9D" w:rsidRDefault="006D5E0C" w:rsidP="00AB4D9D">
            <w:pPr>
              <w:keepNext/>
              <w:suppressAutoHyphens w:val="0"/>
              <w:spacing w:before="40" w:after="40" w:line="220" w:lineRule="exact"/>
              <w:jc w:val="right"/>
              <w:rPr>
                <w:rFonts w:eastAsia="Calibri"/>
                <w:sz w:val="18"/>
                <w:lang w:eastAsia="zh-CN"/>
              </w:rPr>
            </w:pPr>
            <w:r w:rsidRPr="00AB4D9D">
              <w:rPr>
                <w:rFonts w:eastAsia="Calibri"/>
                <w:sz w:val="18"/>
                <w:lang w:eastAsia="zh-CN"/>
              </w:rPr>
              <w:t>254</w:t>
            </w:r>
          </w:p>
        </w:tc>
      </w:tr>
      <w:tr w:rsidR="00AB4D9D" w:rsidRPr="00AB4D9D" w:rsidTr="00AB4D9D">
        <w:tc>
          <w:tcPr>
            <w:tcW w:w="3765" w:type="dxa"/>
            <w:shd w:val="clear" w:color="auto" w:fill="auto"/>
            <w:noWrap/>
            <w:hideMark/>
          </w:tcPr>
          <w:p w:rsidR="006D5E0C" w:rsidRPr="00AB4D9D" w:rsidRDefault="006D5E0C" w:rsidP="00AB4D9D">
            <w:pPr>
              <w:keepNext/>
              <w:suppressAutoHyphens w:val="0"/>
              <w:spacing w:before="40" w:after="40" w:line="220" w:lineRule="exact"/>
              <w:rPr>
                <w:rFonts w:eastAsia="Calibri"/>
                <w:sz w:val="18"/>
                <w:lang w:eastAsia="zh-CN"/>
              </w:rPr>
            </w:pPr>
            <w:r w:rsidRPr="00AB4D9D">
              <w:rPr>
                <w:rFonts w:eastAsia="Calibri"/>
                <w:sz w:val="18"/>
                <w:lang w:eastAsia="zh-CN"/>
              </w:rPr>
              <w:t>11</w:t>
            </w:r>
          </w:p>
        </w:tc>
        <w:tc>
          <w:tcPr>
            <w:tcW w:w="3605" w:type="dxa"/>
            <w:shd w:val="clear" w:color="auto" w:fill="auto"/>
            <w:noWrap/>
            <w:vAlign w:val="bottom"/>
            <w:hideMark/>
          </w:tcPr>
          <w:p w:rsidR="006D5E0C" w:rsidRPr="00AB4D9D" w:rsidRDefault="006D5E0C" w:rsidP="00AB4D9D">
            <w:pPr>
              <w:keepNext/>
              <w:suppressAutoHyphens w:val="0"/>
              <w:spacing w:before="40" w:after="40" w:line="220" w:lineRule="exact"/>
              <w:jc w:val="right"/>
              <w:rPr>
                <w:rFonts w:eastAsia="Calibri"/>
                <w:sz w:val="18"/>
                <w:lang w:eastAsia="zh-CN"/>
              </w:rPr>
            </w:pPr>
            <w:r w:rsidRPr="00AB4D9D">
              <w:rPr>
                <w:rFonts w:eastAsia="Calibri"/>
                <w:sz w:val="18"/>
                <w:lang w:eastAsia="zh-CN"/>
              </w:rPr>
              <w:t>279</w:t>
            </w:r>
          </w:p>
        </w:tc>
      </w:tr>
      <w:tr w:rsidR="00AB4D9D" w:rsidRPr="00AB4D9D" w:rsidTr="00AB4D9D">
        <w:tc>
          <w:tcPr>
            <w:tcW w:w="3765" w:type="dxa"/>
            <w:shd w:val="clear" w:color="auto" w:fill="auto"/>
            <w:noWrap/>
            <w:hideMark/>
          </w:tcPr>
          <w:p w:rsidR="006D5E0C" w:rsidRPr="00AB4D9D" w:rsidRDefault="006D5E0C" w:rsidP="00AB4D9D">
            <w:pPr>
              <w:keepNext/>
              <w:suppressAutoHyphens w:val="0"/>
              <w:spacing w:before="40" w:after="40" w:line="220" w:lineRule="exact"/>
              <w:rPr>
                <w:rFonts w:eastAsia="Calibri"/>
                <w:sz w:val="18"/>
                <w:lang w:eastAsia="zh-CN"/>
              </w:rPr>
            </w:pPr>
            <w:r w:rsidRPr="00AB4D9D">
              <w:rPr>
                <w:rFonts w:eastAsia="Calibri"/>
                <w:sz w:val="18"/>
                <w:lang w:eastAsia="zh-CN"/>
              </w:rPr>
              <w:t>12</w:t>
            </w:r>
          </w:p>
        </w:tc>
        <w:tc>
          <w:tcPr>
            <w:tcW w:w="3605" w:type="dxa"/>
            <w:shd w:val="clear" w:color="auto" w:fill="auto"/>
            <w:noWrap/>
            <w:vAlign w:val="bottom"/>
            <w:hideMark/>
          </w:tcPr>
          <w:p w:rsidR="006D5E0C" w:rsidRPr="00AB4D9D" w:rsidRDefault="006D5E0C" w:rsidP="00AB4D9D">
            <w:pPr>
              <w:keepNext/>
              <w:suppressAutoHyphens w:val="0"/>
              <w:spacing w:before="40" w:after="40" w:line="220" w:lineRule="exact"/>
              <w:jc w:val="right"/>
              <w:rPr>
                <w:rFonts w:eastAsia="Calibri"/>
                <w:sz w:val="18"/>
                <w:lang w:eastAsia="zh-CN"/>
              </w:rPr>
            </w:pPr>
            <w:r w:rsidRPr="00AB4D9D">
              <w:rPr>
                <w:rFonts w:eastAsia="Calibri"/>
                <w:sz w:val="18"/>
                <w:lang w:eastAsia="zh-CN"/>
              </w:rPr>
              <w:t>305</w:t>
            </w:r>
          </w:p>
        </w:tc>
      </w:tr>
      <w:tr w:rsidR="00AB4D9D" w:rsidRPr="00AB4D9D" w:rsidTr="00AB4D9D">
        <w:tc>
          <w:tcPr>
            <w:tcW w:w="3765" w:type="dxa"/>
            <w:shd w:val="clear" w:color="auto" w:fill="auto"/>
            <w:noWrap/>
            <w:hideMark/>
          </w:tcPr>
          <w:p w:rsidR="006D5E0C" w:rsidRPr="00AB4D9D" w:rsidRDefault="006D5E0C" w:rsidP="00AB4D9D">
            <w:pPr>
              <w:keepNext/>
              <w:suppressAutoHyphens w:val="0"/>
              <w:spacing w:before="40" w:after="40" w:line="220" w:lineRule="exact"/>
              <w:rPr>
                <w:rFonts w:eastAsia="Calibri"/>
                <w:sz w:val="18"/>
                <w:lang w:eastAsia="zh-CN"/>
              </w:rPr>
            </w:pPr>
            <w:r w:rsidRPr="00AB4D9D">
              <w:rPr>
                <w:rFonts w:eastAsia="Calibri"/>
                <w:sz w:val="18"/>
                <w:lang w:eastAsia="zh-CN"/>
              </w:rPr>
              <w:t>13</w:t>
            </w:r>
          </w:p>
        </w:tc>
        <w:tc>
          <w:tcPr>
            <w:tcW w:w="3605" w:type="dxa"/>
            <w:shd w:val="clear" w:color="auto" w:fill="auto"/>
            <w:noWrap/>
            <w:vAlign w:val="bottom"/>
            <w:hideMark/>
          </w:tcPr>
          <w:p w:rsidR="006D5E0C" w:rsidRPr="00AB4D9D" w:rsidRDefault="006D5E0C" w:rsidP="00AB4D9D">
            <w:pPr>
              <w:keepNext/>
              <w:suppressAutoHyphens w:val="0"/>
              <w:spacing w:before="40" w:after="40" w:line="220" w:lineRule="exact"/>
              <w:jc w:val="right"/>
              <w:rPr>
                <w:rFonts w:eastAsia="Calibri"/>
                <w:sz w:val="18"/>
                <w:lang w:eastAsia="zh-CN"/>
              </w:rPr>
            </w:pPr>
            <w:r w:rsidRPr="00AB4D9D">
              <w:rPr>
                <w:rFonts w:eastAsia="Calibri"/>
                <w:sz w:val="18"/>
                <w:lang w:eastAsia="zh-CN"/>
              </w:rPr>
              <w:t>330</w:t>
            </w:r>
          </w:p>
        </w:tc>
      </w:tr>
      <w:tr w:rsidR="00AB4D9D" w:rsidRPr="00AB4D9D" w:rsidTr="00AB4D9D">
        <w:tc>
          <w:tcPr>
            <w:tcW w:w="3765" w:type="dxa"/>
            <w:shd w:val="clear" w:color="auto" w:fill="auto"/>
            <w:noWrap/>
            <w:hideMark/>
          </w:tcPr>
          <w:p w:rsidR="006D5E0C" w:rsidRPr="00AB4D9D" w:rsidRDefault="006D5E0C" w:rsidP="00AB4D9D">
            <w:pPr>
              <w:keepNext/>
              <w:suppressAutoHyphens w:val="0"/>
              <w:spacing w:before="40" w:after="40" w:line="220" w:lineRule="exact"/>
              <w:rPr>
                <w:rFonts w:eastAsia="Calibri"/>
                <w:sz w:val="18"/>
                <w:lang w:eastAsia="zh-CN"/>
              </w:rPr>
            </w:pPr>
            <w:r w:rsidRPr="00AB4D9D">
              <w:rPr>
                <w:rFonts w:eastAsia="Calibri"/>
                <w:sz w:val="18"/>
                <w:lang w:eastAsia="zh-CN"/>
              </w:rPr>
              <w:t>14</w:t>
            </w:r>
          </w:p>
        </w:tc>
        <w:tc>
          <w:tcPr>
            <w:tcW w:w="3605" w:type="dxa"/>
            <w:shd w:val="clear" w:color="auto" w:fill="auto"/>
            <w:noWrap/>
            <w:vAlign w:val="bottom"/>
            <w:hideMark/>
          </w:tcPr>
          <w:p w:rsidR="006D5E0C" w:rsidRPr="00AB4D9D" w:rsidRDefault="006D5E0C" w:rsidP="00AB4D9D">
            <w:pPr>
              <w:keepNext/>
              <w:suppressAutoHyphens w:val="0"/>
              <w:spacing w:before="40" w:after="40" w:line="220" w:lineRule="exact"/>
              <w:jc w:val="right"/>
              <w:rPr>
                <w:rFonts w:eastAsia="Calibri"/>
                <w:sz w:val="18"/>
                <w:lang w:eastAsia="zh-CN"/>
              </w:rPr>
            </w:pPr>
            <w:r w:rsidRPr="00AB4D9D">
              <w:rPr>
                <w:rFonts w:eastAsia="Calibri"/>
                <w:sz w:val="18"/>
                <w:lang w:eastAsia="zh-CN"/>
              </w:rPr>
              <w:t>356</w:t>
            </w:r>
          </w:p>
        </w:tc>
      </w:tr>
      <w:tr w:rsidR="00AB4D9D" w:rsidRPr="00AB4D9D" w:rsidTr="00AB4D9D">
        <w:tc>
          <w:tcPr>
            <w:tcW w:w="3765" w:type="dxa"/>
            <w:shd w:val="clear" w:color="auto" w:fill="auto"/>
            <w:noWrap/>
            <w:hideMark/>
          </w:tcPr>
          <w:p w:rsidR="006D5E0C" w:rsidRPr="00AB4D9D" w:rsidRDefault="006D5E0C" w:rsidP="00AB4D9D">
            <w:pPr>
              <w:keepNext/>
              <w:suppressAutoHyphens w:val="0"/>
              <w:spacing w:before="40" w:after="40" w:line="220" w:lineRule="exact"/>
              <w:rPr>
                <w:rFonts w:eastAsia="Calibri"/>
                <w:sz w:val="18"/>
                <w:lang w:eastAsia="zh-CN"/>
              </w:rPr>
            </w:pPr>
            <w:r w:rsidRPr="00AB4D9D">
              <w:rPr>
                <w:rFonts w:eastAsia="Calibri"/>
                <w:sz w:val="18"/>
                <w:lang w:eastAsia="zh-CN"/>
              </w:rPr>
              <w:t>15</w:t>
            </w:r>
          </w:p>
        </w:tc>
        <w:tc>
          <w:tcPr>
            <w:tcW w:w="3605" w:type="dxa"/>
            <w:shd w:val="clear" w:color="auto" w:fill="auto"/>
            <w:noWrap/>
            <w:vAlign w:val="bottom"/>
            <w:hideMark/>
          </w:tcPr>
          <w:p w:rsidR="006D5E0C" w:rsidRPr="00AB4D9D" w:rsidRDefault="006D5E0C" w:rsidP="00AB4D9D">
            <w:pPr>
              <w:keepNext/>
              <w:suppressAutoHyphens w:val="0"/>
              <w:spacing w:before="40" w:after="40" w:line="220" w:lineRule="exact"/>
              <w:jc w:val="right"/>
              <w:rPr>
                <w:rFonts w:eastAsia="Calibri"/>
                <w:sz w:val="18"/>
                <w:lang w:eastAsia="zh-CN"/>
              </w:rPr>
            </w:pPr>
            <w:r w:rsidRPr="00AB4D9D">
              <w:rPr>
                <w:rFonts w:eastAsia="Calibri"/>
                <w:sz w:val="18"/>
                <w:lang w:eastAsia="zh-CN"/>
              </w:rPr>
              <w:t>381</w:t>
            </w:r>
          </w:p>
        </w:tc>
      </w:tr>
      <w:tr w:rsidR="00AB4D9D" w:rsidRPr="00AB4D9D" w:rsidTr="00AB4D9D">
        <w:tc>
          <w:tcPr>
            <w:tcW w:w="3765" w:type="dxa"/>
            <w:shd w:val="clear" w:color="auto" w:fill="auto"/>
            <w:noWrap/>
            <w:hideMark/>
          </w:tcPr>
          <w:p w:rsidR="006D5E0C" w:rsidRPr="00AB4D9D" w:rsidRDefault="006D5E0C" w:rsidP="00AB4D9D">
            <w:pPr>
              <w:keepNext/>
              <w:suppressAutoHyphens w:val="0"/>
              <w:spacing w:before="40" w:after="40" w:line="220" w:lineRule="exact"/>
              <w:rPr>
                <w:rFonts w:eastAsia="Calibri"/>
                <w:sz w:val="18"/>
                <w:lang w:eastAsia="zh-CN"/>
              </w:rPr>
            </w:pPr>
            <w:r w:rsidRPr="00AB4D9D">
              <w:rPr>
                <w:rFonts w:eastAsia="Calibri"/>
                <w:sz w:val="18"/>
                <w:lang w:eastAsia="zh-CN"/>
              </w:rPr>
              <w:t>16</w:t>
            </w:r>
          </w:p>
        </w:tc>
        <w:tc>
          <w:tcPr>
            <w:tcW w:w="3605" w:type="dxa"/>
            <w:shd w:val="clear" w:color="auto" w:fill="auto"/>
            <w:noWrap/>
            <w:vAlign w:val="bottom"/>
            <w:hideMark/>
          </w:tcPr>
          <w:p w:rsidR="006D5E0C" w:rsidRPr="00AB4D9D" w:rsidRDefault="006D5E0C" w:rsidP="00AB4D9D">
            <w:pPr>
              <w:keepNext/>
              <w:suppressAutoHyphens w:val="0"/>
              <w:spacing w:before="40" w:after="40" w:line="220" w:lineRule="exact"/>
              <w:jc w:val="right"/>
              <w:rPr>
                <w:rFonts w:eastAsia="Calibri"/>
                <w:sz w:val="18"/>
                <w:lang w:eastAsia="zh-CN"/>
              </w:rPr>
            </w:pPr>
            <w:r w:rsidRPr="00AB4D9D">
              <w:rPr>
                <w:rFonts w:eastAsia="Calibri"/>
                <w:sz w:val="18"/>
                <w:lang w:eastAsia="zh-CN"/>
              </w:rPr>
              <w:t>406</w:t>
            </w:r>
          </w:p>
        </w:tc>
      </w:tr>
      <w:tr w:rsidR="00AB4D9D" w:rsidRPr="00AB4D9D" w:rsidTr="00AB4D9D">
        <w:tc>
          <w:tcPr>
            <w:tcW w:w="3765" w:type="dxa"/>
            <w:shd w:val="clear" w:color="auto" w:fill="auto"/>
            <w:noWrap/>
            <w:hideMark/>
          </w:tcPr>
          <w:p w:rsidR="006D5E0C" w:rsidRPr="00AB4D9D" w:rsidRDefault="006D5E0C" w:rsidP="00AB4D9D">
            <w:pPr>
              <w:keepNext/>
              <w:suppressAutoHyphens w:val="0"/>
              <w:spacing w:before="40" w:after="40" w:line="220" w:lineRule="exact"/>
              <w:rPr>
                <w:rFonts w:eastAsia="Calibri"/>
                <w:sz w:val="18"/>
                <w:lang w:eastAsia="zh-CN"/>
              </w:rPr>
            </w:pPr>
            <w:r w:rsidRPr="00AB4D9D">
              <w:rPr>
                <w:rFonts w:eastAsia="Calibri"/>
                <w:sz w:val="18"/>
                <w:lang w:eastAsia="zh-CN"/>
              </w:rPr>
              <w:t>17</w:t>
            </w:r>
          </w:p>
        </w:tc>
        <w:tc>
          <w:tcPr>
            <w:tcW w:w="3605" w:type="dxa"/>
            <w:shd w:val="clear" w:color="auto" w:fill="auto"/>
            <w:noWrap/>
            <w:vAlign w:val="bottom"/>
            <w:hideMark/>
          </w:tcPr>
          <w:p w:rsidR="006D5E0C" w:rsidRPr="00AB4D9D" w:rsidRDefault="006D5E0C" w:rsidP="00AB4D9D">
            <w:pPr>
              <w:keepNext/>
              <w:suppressAutoHyphens w:val="0"/>
              <w:spacing w:before="40" w:after="40" w:line="220" w:lineRule="exact"/>
              <w:jc w:val="right"/>
              <w:rPr>
                <w:rFonts w:eastAsia="Calibri"/>
                <w:sz w:val="18"/>
                <w:lang w:eastAsia="zh-CN"/>
              </w:rPr>
            </w:pPr>
            <w:r w:rsidRPr="00AB4D9D">
              <w:rPr>
                <w:rFonts w:eastAsia="Calibri"/>
                <w:sz w:val="18"/>
                <w:lang w:eastAsia="zh-CN"/>
              </w:rPr>
              <w:t>432</w:t>
            </w:r>
          </w:p>
        </w:tc>
      </w:tr>
      <w:tr w:rsidR="00AB4D9D" w:rsidRPr="00AB4D9D" w:rsidTr="00AB4D9D">
        <w:tc>
          <w:tcPr>
            <w:tcW w:w="3765" w:type="dxa"/>
            <w:shd w:val="clear" w:color="auto" w:fill="auto"/>
            <w:noWrap/>
            <w:hideMark/>
          </w:tcPr>
          <w:p w:rsidR="006D5E0C" w:rsidRPr="00AB4D9D" w:rsidRDefault="006D5E0C" w:rsidP="00AB4D9D">
            <w:pPr>
              <w:keepNext/>
              <w:suppressAutoHyphens w:val="0"/>
              <w:spacing w:before="40" w:after="40" w:line="220" w:lineRule="exact"/>
              <w:rPr>
                <w:rFonts w:eastAsia="Calibri"/>
                <w:sz w:val="18"/>
                <w:lang w:eastAsia="zh-CN"/>
              </w:rPr>
            </w:pPr>
            <w:r w:rsidRPr="00AB4D9D">
              <w:rPr>
                <w:rFonts w:eastAsia="Calibri"/>
                <w:sz w:val="18"/>
                <w:lang w:eastAsia="zh-CN"/>
              </w:rPr>
              <w:t>18</w:t>
            </w:r>
          </w:p>
        </w:tc>
        <w:tc>
          <w:tcPr>
            <w:tcW w:w="3605" w:type="dxa"/>
            <w:shd w:val="clear" w:color="auto" w:fill="auto"/>
            <w:noWrap/>
            <w:vAlign w:val="bottom"/>
            <w:hideMark/>
          </w:tcPr>
          <w:p w:rsidR="006D5E0C" w:rsidRPr="00AB4D9D" w:rsidRDefault="006D5E0C" w:rsidP="00AB4D9D">
            <w:pPr>
              <w:keepNext/>
              <w:suppressAutoHyphens w:val="0"/>
              <w:spacing w:before="40" w:after="40" w:line="220" w:lineRule="exact"/>
              <w:jc w:val="right"/>
              <w:rPr>
                <w:rFonts w:eastAsia="Calibri"/>
                <w:sz w:val="18"/>
                <w:lang w:eastAsia="zh-CN"/>
              </w:rPr>
            </w:pPr>
            <w:r w:rsidRPr="00AB4D9D">
              <w:rPr>
                <w:rFonts w:eastAsia="Calibri"/>
                <w:sz w:val="18"/>
                <w:lang w:eastAsia="zh-CN"/>
              </w:rPr>
              <w:t>457</w:t>
            </w:r>
          </w:p>
        </w:tc>
      </w:tr>
      <w:tr w:rsidR="00AB4D9D" w:rsidRPr="00AB4D9D" w:rsidTr="00AB4D9D">
        <w:tc>
          <w:tcPr>
            <w:tcW w:w="3765" w:type="dxa"/>
            <w:shd w:val="clear" w:color="auto" w:fill="auto"/>
            <w:noWrap/>
            <w:hideMark/>
          </w:tcPr>
          <w:p w:rsidR="006D5E0C" w:rsidRPr="00AB4D9D" w:rsidRDefault="006D5E0C" w:rsidP="00AB4D9D">
            <w:pPr>
              <w:keepNext/>
              <w:suppressAutoHyphens w:val="0"/>
              <w:spacing w:before="40" w:after="40" w:line="220" w:lineRule="exact"/>
              <w:rPr>
                <w:rFonts w:eastAsia="Calibri"/>
                <w:sz w:val="18"/>
                <w:lang w:eastAsia="zh-CN"/>
              </w:rPr>
            </w:pPr>
            <w:r w:rsidRPr="00AB4D9D">
              <w:rPr>
                <w:rFonts w:eastAsia="Calibri"/>
                <w:sz w:val="18"/>
                <w:lang w:eastAsia="zh-CN"/>
              </w:rPr>
              <w:t>19</w:t>
            </w:r>
          </w:p>
        </w:tc>
        <w:tc>
          <w:tcPr>
            <w:tcW w:w="3605" w:type="dxa"/>
            <w:shd w:val="clear" w:color="auto" w:fill="auto"/>
            <w:noWrap/>
            <w:vAlign w:val="bottom"/>
            <w:hideMark/>
          </w:tcPr>
          <w:p w:rsidR="006D5E0C" w:rsidRPr="00AB4D9D" w:rsidRDefault="006D5E0C" w:rsidP="00AB4D9D">
            <w:pPr>
              <w:keepNext/>
              <w:suppressAutoHyphens w:val="0"/>
              <w:spacing w:before="40" w:after="40" w:line="220" w:lineRule="exact"/>
              <w:jc w:val="right"/>
              <w:rPr>
                <w:rFonts w:eastAsia="Calibri"/>
                <w:sz w:val="18"/>
                <w:lang w:eastAsia="zh-CN"/>
              </w:rPr>
            </w:pPr>
            <w:r w:rsidRPr="00AB4D9D">
              <w:rPr>
                <w:rFonts w:eastAsia="Calibri"/>
                <w:sz w:val="18"/>
                <w:lang w:eastAsia="zh-CN"/>
              </w:rPr>
              <w:t>483</w:t>
            </w:r>
          </w:p>
        </w:tc>
      </w:tr>
      <w:tr w:rsidR="00AB4D9D" w:rsidRPr="00AB4D9D" w:rsidTr="00AB4D9D">
        <w:tc>
          <w:tcPr>
            <w:tcW w:w="3765" w:type="dxa"/>
            <w:shd w:val="clear" w:color="auto" w:fill="auto"/>
            <w:noWrap/>
            <w:hideMark/>
          </w:tcPr>
          <w:p w:rsidR="006D5E0C" w:rsidRPr="00AB4D9D" w:rsidRDefault="006D5E0C" w:rsidP="00AB4D9D">
            <w:pPr>
              <w:keepNext/>
              <w:suppressAutoHyphens w:val="0"/>
              <w:spacing w:before="40" w:after="40" w:line="220" w:lineRule="exact"/>
              <w:rPr>
                <w:rFonts w:eastAsia="Calibri"/>
                <w:sz w:val="18"/>
                <w:lang w:eastAsia="zh-CN"/>
              </w:rPr>
            </w:pPr>
            <w:r w:rsidRPr="00AB4D9D">
              <w:rPr>
                <w:rFonts w:eastAsia="Calibri"/>
                <w:sz w:val="18"/>
                <w:lang w:eastAsia="zh-CN"/>
              </w:rPr>
              <w:t>20</w:t>
            </w:r>
          </w:p>
        </w:tc>
        <w:tc>
          <w:tcPr>
            <w:tcW w:w="3605" w:type="dxa"/>
            <w:shd w:val="clear" w:color="auto" w:fill="auto"/>
            <w:noWrap/>
            <w:vAlign w:val="bottom"/>
            <w:hideMark/>
          </w:tcPr>
          <w:p w:rsidR="006D5E0C" w:rsidRPr="00AB4D9D" w:rsidRDefault="006D5E0C" w:rsidP="00AB4D9D">
            <w:pPr>
              <w:keepNext/>
              <w:suppressAutoHyphens w:val="0"/>
              <w:spacing w:before="40" w:after="40" w:line="220" w:lineRule="exact"/>
              <w:jc w:val="right"/>
              <w:rPr>
                <w:rFonts w:eastAsia="Calibri"/>
                <w:sz w:val="18"/>
                <w:lang w:eastAsia="zh-CN"/>
              </w:rPr>
            </w:pPr>
            <w:r w:rsidRPr="00AB4D9D">
              <w:rPr>
                <w:rFonts w:eastAsia="Calibri"/>
                <w:sz w:val="18"/>
                <w:lang w:eastAsia="zh-CN"/>
              </w:rPr>
              <w:t>508</w:t>
            </w:r>
          </w:p>
        </w:tc>
      </w:tr>
      <w:tr w:rsidR="00AB4D9D" w:rsidRPr="00AB4D9D" w:rsidTr="00AB4D9D">
        <w:tc>
          <w:tcPr>
            <w:tcW w:w="3765" w:type="dxa"/>
            <w:shd w:val="clear" w:color="auto" w:fill="auto"/>
            <w:noWrap/>
            <w:hideMark/>
          </w:tcPr>
          <w:p w:rsidR="006D5E0C" w:rsidRPr="00AB4D9D" w:rsidRDefault="006D5E0C" w:rsidP="00AB4D9D">
            <w:pPr>
              <w:keepNext/>
              <w:suppressAutoHyphens w:val="0"/>
              <w:spacing w:before="40" w:after="40" w:line="220" w:lineRule="exact"/>
              <w:rPr>
                <w:rFonts w:eastAsia="Calibri"/>
                <w:sz w:val="18"/>
                <w:lang w:eastAsia="zh-CN"/>
              </w:rPr>
            </w:pPr>
            <w:r w:rsidRPr="00AB4D9D">
              <w:rPr>
                <w:rFonts w:eastAsia="Calibri"/>
                <w:sz w:val="18"/>
                <w:lang w:eastAsia="zh-CN"/>
              </w:rPr>
              <w:t>21</w:t>
            </w:r>
          </w:p>
        </w:tc>
        <w:tc>
          <w:tcPr>
            <w:tcW w:w="3605" w:type="dxa"/>
            <w:shd w:val="clear" w:color="auto" w:fill="auto"/>
            <w:noWrap/>
            <w:vAlign w:val="bottom"/>
            <w:hideMark/>
          </w:tcPr>
          <w:p w:rsidR="006D5E0C" w:rsidRPr="00AB4D9D" w:rsidRDefault="006D5E0C" w:rsidP="00AB4D9D">
            <w:pPr>
              <w:keepNext/>
              <w:suppressAutoHyphens w:val="0"/>
              <w:spacing w:before="40" w:after="40" w:line="220" w:lineRule="exact"/>
              <w:jc w:val="right"/>
              <w:rPr>
                <w:rFonts w:eastAsia="Calibri"/>
                <w:sz w:val="18"/>
                <w:lang w:eastAsia="zh-CN"/>
              </w:rPr>
            </w:pPr>
            <w:r w:rsidRPr="00AB4D9D">
              <w:rPr>
                <w:rFonts w:eastAsia="Calibri"/>
                <w:sz w:val="18"/>
                <w:lang w:eastAsia="zh-CN"/>
              </w:rPr>
              <w:t>533</w:t>
            </w:r>
          </w:p>
        </w:tc>
      </w:tr>
      <w:tr w:rsidR="00AB4D9D" w:rsidRPr="00AB4D9D" w:rsidTr="00AB4D9D">
        <w:tc>
          <w:tcPr>
            <w:tcW w:w="3765" w:type="dxa"/>
            <w:shd w:val="clear" w:color="auto" w:fill="auto"/>
            <w:noWrap/>
            <w:hideMark/>
          </w:tcPr>
          <w:p w:rsidR="006D5E0C" w:rsidRPr="00AB4D9D" w:rsidRDefault="006D5E0C" w:rsidP="00AB4D9D">
            <w:pPr>
              <w:keepNext/>
              <w:suppressAutoHyphens w:val="0"/>
              <w:spacing w:before="40" w:after="40" w:line="220" w:lineRule="exact"/>
              <w:rPr>
                <w:rFonts w:eastAsia="Calibri"/>
                <w:sz w:val="18"/>
                <w:lang w:eastAsia="zh-CN"/>
              </w:rPr>
            </w:pPr>
            <w:r w:rsidRPr="00AB4D9D">
              <w:rPr>
                <w:rFonts w:eastAsia="Calibri"/>
                <w:sz w:val="18"/>
                <w:lang w:eastAsia="zh-CN"/>
              </w:rPr>
              <w:t>22</w:t>
            </w:r>
          </w:p>
        </w:tc>
        <w:tc>
          <w:tcPr>
            <w:tcW w:w="3605" w:type="dxa"/>
            <w:shd w:val="clear" w:color="auto" w:fill="auto"/>
            <w:noWrap/>
            <w:vAlign w:val="bottom"/>
            <w:hideMark/>
          </w:tcPr>
          <w:p w:rsidR="006D5E0C" w:rsidRPr="00AB4D9D" w:rsidRDefault="006D5E0C" w:rsidP="00AB4D9D">
            <w:pPr>
              <w:keepNext/>
              <w:suppressAutoHyphens w:val="0"/>
              <w:spacing w:before="40" w:after="40" w:line="220" w:lineRule="exact"/>
              <w:jc w:val="right"/>
              <w:rPr>
                <w:rFonts w:eastAsia="Calibri"/>
                <w:sz w:val="18"/>
                <w:lang w:eastAsia="zh-CN"/>
              </w:rPr>
            </w:pPr>
            <w:r w:rsidRPr="00AB4D9D">
              <w:rPr>
                <w:rFonts w:eastAsia="Calibri"/>
                <w:sz w:val="18"/>
                <w:lang w:eastAsia="zh-CN"/>
              </w:rPr>
              <w:t>559</w:t>
            </w:r>
          </w:p>
        </w:tc>
      </w:tr>
      <w:tr w:rsidR="00AB4D9D" w:rsidRPr="00AB4D9D" w:rsidTr="00AB4D9D">
        <w:tc>
          <w:tcPr>
            <w:tcW w:w="3765" w:type="dxa"/>
            <w:shd w:val="clear" w:color="auto" w:fill="auto"/>
            <w:noWrap/>
            <w:hideMark/>
          </w:tcPr>
          <w:p w:rsidR="006D5E0C" w:rsidRPr="00AB4D9D" w:rsidRDefault="006D5E0C" w:rsidP="00AB4D9D">
            <w:pPr>
              <w:keepNext/>
              <w:suppressAutoHyphens w:val="0"/>
              <w:spacing w:before="40" w:after="40" w:line="220" w:lineRule="exact"/>
              <w:rPr>
                <w:rFonts w:eastAsia="Calibri"/>
                <w:sz w:val="18"/>
                <w:lang w:eastAsia="zh-CN"/>
              </w:rPr>
            </w:pPr>
            <w:r w:rsidRPr="00AB4D9D">
              <w:rPr>
                <w:rFonts w:eastAsia="Calibri"/>
                <w:sz w:val="18"/>
                <w:lang w:eastAsia="zh-CN"/>
              </w:rPr>
              <w:t>23</w:t>
            </w:r>
          </w:p>
        </w:tc>
        <w:tc>
          <w:tcPr>
            <w:tcW w:w="3605" w:type="dxa"/>
            <w:shd w:val="clear" w:color="auto" w:fill="auto"/>
            <w:noWrap/>
            <w:vAlign w:val="bottom"/>
            <w:hideMark/>
          </w:tcPr>
          <w:p w:rsidR="006D5E0C" w:rsidRPr="00AB4D9D" w:rsidRDefault="006D5E0C" w:rsidP="00AB4D9D">
            <w:pPr>
              <w:keepNext/>
              <w:suppressAutoHyphens w:val="0"/>
              <w:spacing w:before="40" w:after="40" w:line="220" w:lineRule="exact"/>
              <w:jc w:val="right"/>
              <w:rPr>
                <w:rFonts w:eastAsia="Calibri"/>
                <w:sz w:val="18"/>
                <w:lang w:eastAsia="zh-CN"/>
              </w:rPr>
            </w:pPr>
            <w:r w:rsidRPr="00AB4D9D">
              <w:rPr>
                <w:rFonts w:eastAsia="Calibri"/>
                <w:sz w:val="18"/>
                <w:lang w:eastAsia="zh-CN"/>
              </w:rPr>
              <w:t>584</w:t>
            </w:r>
          </w:p>
        </w:tc>
      </w:tr>
      <w:tr w:rsidR="00AB4D9D" w:rsidRPr="00AB4D9D" w:rsidTr="00AB4D9D">
        <w:tc>
          <w:tcPr>
            <w:tcW w:w="3765" w:type="dxa"/>
            <w:shd w:val="clear" w:color="auto" w:fill="auto"/>
            <w:noWrap/>
            <w:hideMark/>
          </w:tcPr>
          <w:p w:rsidR="006D5E0C" w:rsidRPr="00AB4D9D" w:rsidRDefault="006D5E0C" w:rsidP="00AB4D9D">
            <w:pPr>
              <w:keepNext/>
              <w:suppressAutoHyphens w:val="0"/>
              <w:spacing w:before="40" w:after="40" w:line="220" w:lineRule="exact"/>
              <w:rPr>
                <w:rFonts w:eastAsia="Calibri"/>
                <w:sz w:val="18"/>
                <w:lang w:eastAsia="zh-CN"/>
              </w:rPr>
            </w:pPr>
            <w:r w:rsidRPr="00AB4D9D">
              <w:rPr>
                <w:rFonts w:eastAsia="Calibri"/>
                <w:sz w:val="18"/>
                <w:lang w:eastAsia="zh-CN"/>
              </w:rPr>
              <w:t>24</w:t>
            </w:r>
          </w:p>
        </w:tc>
        <w:tc>
          <w:tcPr>
            <w:tcW w:w="3605" w:type="dxa"/>
            <w:shd w:val="clear" w:color="auto" w:fill="auto"/>
            <w:noWrap/>
            <w:vAlign w:val="bottom"/>
            <w:hideMark/>
          </w:tcPr>
          <w:p w:rsidR="006D5E0C" w:rsidRPr="00AB4D9D" w:rsidRDefault="006D5E0C" w:rsidP="00AB4D9D">
            <w:pPr>
              <w:keepNext/>
              <w:suppressAutoHyphens w:val="0"/>
              <w:spacing w:before="40" w:after="40" w:line="220" w:lineRule="exact"/>
              <w:jc w:val="right"/>
              <w:rPr>
                <w:rFonts w:eastAsia="Calibri"/>
                <w:sz w:val="18"/>
                <w:lang w:eastAsia="zh-CN"/>
              </w:rPr>
            </w:pPr>
            <w:r w:rsidRPr="00AB4D9D">
              <w:rPr>
                <w:rFonts w:eastAsia="Calibri"/>
                <w:sz w:val="18"/>
                <w:lang w:eastAsia="zh-CN"/>
              </w:rPr>
              <w:t>610</w:t>
            </w:r>
          </w:p>
        </w:tc>
      </w:tr>
      <w:tr w:rsidR="00AB4D9D" w:rsidRPr="00AB4D9D" w:rsidTr="00AB4D9D">
        <w:tc>
          <w:tcPr>
            <w:tcW w:w="3765" w:type="dxa"/>
            <w:shd w:val="clear" w:color="auto" w:fill="auto"/>
            <w:noWrap/>
            <w:hideMark/>
          </w:tcPr>
          <w:p w:rsidR="006D5E0C" w:rsidRPr="00AB4D9D" w:rsidRDefault="006D5E0C" w:rsidP="00AB4D9D">
            <w:pPr>
              <w:keepNext/>
              <w:suppressAutoHyphens w:val="0"/>
              <w:spacing w:before="40" w:after="40" w:line="220" w:lineRule="exact"/>
              <w:rPr>
                <w:rFonts w:eastAsia="Calibri"/>
                <w:sz w:val="18"/>
                <w:lang w:eastAsia="zh-CN"/>
              </w:rPr>
            </w:pPr>
            <w:r w:rsidRPr="00AB4D9D">
              <w:rPr>
                <w:rFonts w:eastAsia="Calibri"/>
                <w:sz w:val="18"/>
                <w:lang w:eastAsia="zh-CN"/>
              </w:rPr>
              <w:t>25</w:t>
            </w:r>
          </w:p>
        </w:tc>
        <w:tc>
          <w:tcPr>
            <w:tcW w:w="3605" w:type="dxa"/>
            <w:shd w:val="clear" w:color="auto" w:fill="auto"/>
            <w:noWrap/>
            <w:vAlign w:val="bottom"/>
            <w:hideMark/>
          </w:tcPr>
          <w:p w:rsidR="006D5E0C" w:rsidRPr="00AB4D9D" w:rsidRDefault="006D5E0C" w:rsidP="00AB4D9D">
            <w:pPr>
              <w:keepNext/>
              <w:suppressAutoHyphens w:val="0"/>
              <w:spacing w:before="40" w:after="40" w:line="220" w:lineRule="exact"/>
              <w:jc w:val="right"/>
              <w:rPr>
                <w:rFonts w:eastAsia="Calibri"/>
                <w:sz w:val="18"/>
                <w:lang w:eastAsia="zh-CN"/>
              </w:rPr>
            </w:pPr>
            <w:r w:rsidRPr="00AB4D9D">
              <w:rPr>
                <w:rFonts w:eastAsia="Calibri"/>
                <w:sz w:val="18"/>
                <w:lang w:eastAsia="zh-CN"/>
              </w:rPr>
              <w:t>635</w:t>
            </w:r>
          </w:p>
        </w:tc>
      </w:tr>
      <w:tr w:rsidR="00AB4D9D" w:rsidRPr="00AB4D9D" w:rsidTr="00AB4D9D">
        <w:tc>
          <w:tcPr>
            <w:tcW w:w="3765" w:type="dxa"/>
            <w:shd w:val="clear" w:color="auto" w:fill="auto"/>
            <w:noWrap/>
            <w:hideMark/>
          </w:tcPr>
          <w:p w:rsidR="006D5E0C" w:rsidRPr="00AB4D9D" w:rsidRDefault="006D5E0C" w:rsidP="00AB4D9D">
            <w:pPr>
              <w:keepNext/>
              <w:suppressAutoHyphens w:val="0"/>
              <w:spacing w:before="40" w:after="40" w:line="220" w:lineRule="exact"/>
              <w:rPr>
                <w:rFonts w:eastAsia="Calibri"/>
                <w:sz w:val="18"/>
                <w:lang w:eastAsia="zh-CN"/>
              </w:rPr>
            </w:pPr>
            <w:r w:rsidRPr="00AB4D9D">
              <w:rPr>
                <w:rFonts w:eastAsia="Calibri"/>
                <w:sz w:val="18"/>
                <w:lang w:eastAsia="zh-CN"/>
              </w:rPr>
              <w:t>26</w:t>
            </w:r>
          </w:p>
        </w:tc>
        <w:tc>
          <w:tcPr>
            <w:tcW w:w="3605" w:type="dxa"/>
            <w:shd w:val="clear" w:color="auto" w:fill="auto"/>
            <w:noWrap/>
            <w:vAlign w:val="bottom"/>
            <w:hideMark/>
          </w:tcPr>
          <w:p w:rsidR="006D5E0C" w:rsidRPr="00AB4D9D" w:rsidRDefault="006D5E0C" w:rsidP="00AB4D9D">
            <w:pPr>
              <w:keepNext/>
              <w:suppressAutoHyphens w:val="0"/>
              <w:spacing w:before="40" w:after="40" w:line="220" w:lineRule="exact"/>
              <w:jc w:val="right"/>
              <w:rPr>
                <w:rFonts w:eastAsia="Calibri"/>
                <w:sz w:val="18"/>
                <w:lang w:eastAsia="zh-CN"/>
              </w:rPr>
            </w:pPr>
            <w:r w:rsidRPr="00AB4D9D">
              <w:rPr>
                <w:rFonts w:eastAsia="Calibri"/>
                <w:sz w:val="18"/>
                <w:lang w:eastAsia="zh-CN"/>
              </w:rPr>
              <w:t>660</w:t>
            </w:r>
          </w:p>
        </w:tc>
      </w:tr>
      <w:tr w:rsidR="00AB4D9D" w:rsidRPr="00AB4D9D" w:rsidTr="00AB4D9D">
        <w:tc>
          <w:tcPr>
            <w:tcW w:w="3765" w:type="dxa"/>
            <w:shd w:val="clear" w:color="auto" w:fill="auto"/>
            <w:noWrap/>
            <w:hideMark/>
          </w:tcPr>
          <w:p w:rsidR="006D5E0C" w:rsidRPr="00AB4D9D" w:rsidRDefault="006D5E0C" w:rsidP="00AB4D9D">
            <w:pPr>
              <w:keepNext/>
              <w:suppressAutoHyphens w:val="0"/>
              <w:spacing w:before="40" w:after="40" w:line="220" w:lineRule="exact"/>
              <w:rPr>
                <w:rFonts w:eastAsia="Calibri"/>
                <w:sz w:val="18"/>
                <w:lang w:eastAsia="zh-CN"/>
              </w:rPr>
            </w:pPr>
            <w:r w:rsidRPr="00AB4D9D">
              <w:rPr>
                <w:rFonts w:eastAsia="Calibri"/>
                <w:sz w:val="18"/>
                <w:lang w:eastAsia="zh-CN"/>
              </w:rPr>
              <w:t>27</w:t>
            </w:r>
          </w:p>
        </w:tc>
        <w:tc>
          <w:tcPr>
            <w:tcW w:w="3605" w:type="dxa"/>
            <w:shd w:val="clear" w:color="auto" w:fill="auto"/>
            <w:noWrap/>
            <w:vAlign w:val="bottom"/>
            <w:hideMark/>
          </w:tcPr>
          <w:p w:rsidR="006D5E0C" w:rsidRPr="00AB4D9D" w:rsidRDefault="006D5E0C" w:rsidP="00AB4D9D">
            <w:pPr>
              <w:keepNext/>
              <w:suppressAutoHyphens w:val="0"/>
              <w:spacing w:before="40" w:after="40" w:line="220" w:lineRule="exact"/>
              <w:jc w:val="right"/>
              <w:rPr>
                <w:rFonts w:eastAsia="Calibri"/>
                <w:sz w:val="18"/>
                <w:lang w:eastAsia="zh-CN"/>
              </w:rPr>
            </w:pPr>
            <w:r w:rsidRPr="00AB4D9D">
              <w:rPr>
                <w:rFonts w:eastAsia="Calibri"/>
                <w:sz w:val="18"/>
                <w:lang w:eastAsia="zh-CN"/>
              </w:rPr>
              <w:t>686</w:t>
            </w:r>
          </w:p>
        </w:tc>
      </w:tr>
      <w:tr w:rsidR="00AB4D9D" w:rsidRPr="00AB4D9D" w:rsidTr="00AB4D9D">
        <w:tc>
          <w:tcPr>
            <w:tcW w:w="3765" w:type="dxa"/>
            <w:shd w:val="clear" w:color="auto" w:fill="auto"/>
            <w:noWrap/>
            <w:hideMark/>
          </w:tcPr>
          <w:p w:rsidR="006D5E0C" w:rsidRPr="00AB4D9D" w:rsidRDefault="006D5E0C" w:rsidP="00AB4D9D">
            <w:pPr>
              <w:keepNext/>
              <w:suppressAutoHyphens w:val="0"/>
              <w:spacing w:before="40" w:after="40" w:line="220" w:lineRule="exact"/>
              <w:rPr>
                <w:rFonts w:eastAsia="Calibri"/>
                <w:sz w:val="18"/>
                <w:lang w:eastAsia="zh-CN"/>
              </w:rPr>
            </w:pPr>
            <w:r w:rsidRPr="00AB4D9D">
              <w:rPr>
                <w:rFonts w:eastAsia="Calibri"/>
                <w:sz w:val="18"/>
                <w:lang w:eastAsia="zh-CN"/>
              </w:rPr>
              <w:t>28</w:t>
            </w:r>
          </w:p>
        </w:tc>
        <w:tc>
          <w:tcPr>
            <w:tcW w:w="3605" w:type="dxa"/>
            <w:shd w:val="clear" w:color="auto" w:fill="auto"/>
            <w:noWrap/>
            <w:vAlign w:val="bottom"/>
            <w:hideMark/>
          </w:tcPr>
          <w:p w:rsidR="006D5E0C" w:rsidRPr="00AB4D9D" w:rsidRDefault="006D5E0C" w:rsidP="00AB4D9D">
            <w:pPr>
              <w:keepNext/>
              <w:suppressAutoHyphens w:val="0"/>
              <w:spacing w:before="40" w:after="40" w:line="220" w:lineRule="exact"/>
              <w:jc w:val="right"/>
              <w:rPr>
                <w:rFonts w:eastAsia="Calibri"/>
                <w:sz w:val="18"/>
                <w:lang w:eastAsia="zh-CN"/>
              </w:rPr>
            </w:pPr>
            <w:r w:rsidRPr="00AB4D9D">
              <w:rPr>
                <w:rFonts w:eastAsia="Calibri"/>
                <w:sz w:val="18"/>
                <w:lang w:eastAsia="zh-CN"/>
              </w:rPr>
              <w:t>711</w:t>
            </w:r>
          </w:p>
        </w:tc>
      </w:tr>
      <w:tr w:rsidR="00AB4D9D" w:rsidRPr="00AB4D9D" w:rsidTr="00AB4D9D">
        <w:tc>
          <w:tcPr>
            <w:tcW w:w="3765" w:type="dxa"/>
            <w:shd w:val="clear" w:color="auto" w:fill="auto"/>
            <w:noWrap/>
            <w:hideMark/>
          </w:tcPr>
          <w:p w:rsidR="006D5E0C" w:rsidRPr="00AB4D9D" w:rsidRDefault="006D5E0C" w:rsidP="00AB4D9D">
            <w:pPr>
              <w:keepNext/>
              <w:suppressAutoHyphens w:val="0"/>
              <w:spacing w:before="40" w:after="40" w:line="220" w:lineRule="exact"/>
              <w:rPr>
                <w:rFonts w:eastAsia="Calibri"/>
                <w:sz w:val="18"/>
                <w:lang w:eastAsia="zh-CN"/>
              </w:rPr>
            </w:pPr>
            <w:r w:rsidRPr="00AB4D9D">
              <w:rPr>
                <w:rFonts w:eastAsia="Calibri"/>
                <w:sz w:val="18"/>
                <w:lang w:eastAsia="zh-CN"/>
              </w:rPr>
              <w:t>29</w:t>
            </w:r>
          </w:p>
        </w:tc>
        <w:tc>
          <w:tcPr>
            <w:tcW w:w="3605" w:type="dxa"/>
            <w:shd w:val="clear" w:color="auto" w:fill="auto"/>
            <w:noWrap/>
            <w:vAlign w:val="bottom"/>
            <w:hideMark/>
          </w:tcPr>
          <w:p w:rsidR="006D5E0C" w:rsidRPr="00AB4D9D" w:rsidRDefault="006D5E0C" w:rsidP="00AB4D9D">
            <w:pPr>
              <w:keepNext/>
              <w:suppressAutoHyphens w:val="0"/>
              <w:spacing w:before="40" w:after="40" w:line="220" w:lineRule="exact"/>
              <w:jc w:val="right"/>
              <w:rPr>
                <w:rFonts w:eastAsia="Calibri"/>
                <w:sz w:val="18"/>
                <w:lang w:eastAsia="zh-CN"/>
              </w:rPr>
            </w:pPr>
            <w:r w:rsidRPr="00AB4D9D">
              <w:rPr>
                <w:rFonts w:eastAsia="Calibri"/>
                <w:sz w:val="18"/>
                <w:lang w:eastAsia="zh-CN"/>
              </w:rPr>
              <w:t>737</w:t>
            </w:r>
          </w:p>
        </w:tc>
      </w:tr>
      <w:tr w:rsidR="00AB4D9D" w:rsidRPr="00AB4D9D" w:rsidTr="00AB4D9D">
        <w:tc>
          <w:tcPr>
            <w:tcW w:w="3765" w:type="dxa"/>
            <w:tcBorders>
              <w:bottom w:val="single" w:sz="12" w:space="0" w:color="auto"/>
            </w:tcBorders>
            <w:shd w:val="clear" w:color="auto" w:fill="auto"/>
            <w:noWrap/>
            <w:hideMark/>
          </w:tcPr>
          <w:p w:rsidR="006D5E0C" w:rsidRPr="00AB4D9D" w:rsidRDefault="006D5E0C" w:rsidP="00AB4D9D">
            <w:pPr>
              <w:keepNext/>
              <w:suppressAutoHyphens w:val="0"/>
              <w:spacing w:before="40" w:after="40" w:line="220" w:lineRule="exact"/>
              <w:rPr>
                <w:rFonts w:eastAsia="Calibri"/>
                <w:sz w:val="18"/>
                <w:lang w:eastAsia="zh-CN"/>
              </w:rPr>
            </w:pPr>
            <w:r w:rsidRPr="00AB4D9D">
              <w:rPr>
                <w:rFonts w:eastAsia="Calibri"/>
                <w:sz w:val="18"/>
                <w:lang w:eastAsia="zh-CN"/>
              </w:rPr>
              <w:t>30</w:t>
            </w:r>
          </w:p>
        </w:tc>
        <w:tc>
          <w:tcPr>
            <w:tcW w:w="3605" w:type="dxa"/>
            <w:tcBorders>
              <w:bottom w:val="single" w:sz="12" w:space="0" w:color="auto"/>
            </w:tcBorders>
            <w:shd w:val="clear" w:color="auto" w:fill="auto"/>
            <w:noWrap/>
            <w:vAlign w:val="bottom"/>
            <w:hideMark/>
          </w:tcPr>
          <w:p w:rsidR="006D5E0C" w:rsidRPr="00AB4D9D" w:rsidRDefault="006D5E0C" w:rsidP="00AB4D9D">
            <w:pPr>
              <w:keepNext/>
              <w:suppressAutoHyphens w:val="0"/>
              <w:spacing w:before="40" w:after="40" w:line="220" w:lineRule="exact"/>
              <w:jc w:val="right"/>
              <w:rPr>
                <w:rFonts w:eastAsia="Calibri"/>
                <w:sz w:val="18"/>
                <w:lang w:eastAsia="zh-CN"/>
              </w:rPr>
            </w:pPr>
            <w:r w:rsidRPr="00AB4D9D">
              <w:rPr>
                <w:rFonts w:eastAsia="Calibri"/>
                <w:sz w:val="18"/>
                <w:lang w:eastAsia="zh-CN"/>
              </w:rPr>
              <w:t>762</w:t>
            </w:r>
          </w:p>
        </w:tc>
      </w:tr>
    </w:tbl>
    <w:p w:rsidR="006D5E0C" w:rsidRDefault="00491AF1" w:rsidP="00287D5A">
      <w:pPr>
        <w:pStyle w:val="SingleTxtG"/>
        <w:jc w:val="right"/>
        <w:rPr>
          <w:rFonts w:eastAsia="Calibri"/>
        </w:rPr>
      </w:pPr>
      <w:r>
        <w:rPr>
          <w:rFonts w:eastAsia="Calibri"/>
        </w:rPr>
        <w:t>.</w:t>
      </w:r>
      <w:r w:rsidR="00FE2544">
        <w:rPr>
          <w:rFonts w:eastAsia="Calibri"/>
        </w:rPr>
        <w:t> »</w:t>
      </w:r>
      <w:r w:rsidR="00BE6314">
        <w:rPr>
          <w:rFonts w:eastAsia="Calibri"/>
        </w:rPr>
        <w:t>.</w:t>
      </w:r>
    </w:p>
    <w:p w:rsidR="00995E6A" w:rsidRPr="00A47634" w:rsidRDefault="00995E6A" w:rsidP="00995E6A">
      <w:pPr>
        <w:pStyle w:val="SingleTxtG"/>
        <w:rPr>
          <w:rFonts w:eastAsia="HGMaruGothicMPRO"/>
          <w:i/>
        </w:rPr>
      </w:pPr>
      <w:r>
        <w:rPr>
          <w:rFonts w:eastAsia="Calibri"/>
          <w:i/>
        </w:rPr>
        <w:t>Les paragraphes </w:t>
      </w:r>
      <w:r w:rsidRPr="00A47634">
        <w:rPr>
          <w:rFonts w:eastAsia="Calibri"/>
          <w:i/>
        </w:rPr>
        <w:t xml:space="preserve">2.2 à </w:t>
      </w:r>
      <w:r>
        <w:rPr>
          <w:rFonts w:eastAsia="Calibri"/>
          <w:i/>
        </w:rPr>
        <w:t>2.38 deviennent les paragraphes </w:t>
      </w:r>
      <w:r w:rsidRPr="00A47634">
        <w:rPr>
          <w:rFonts w:eastAsia="Calibri"/>
          <w:i/>
        </w:rPr>
        <w:t>2.5 à 2.41.</w:t>
      </w:r>
    </w:p>
    <w:p w:rsidR="00995E6A" w:rsidRPr="00A47634" w:rsidRDefault="00995E6A" w:rsidP="00995E6A">
      <w:pPr>
        <w:pStyle w:val="SingleTxtG"/>
        <w:keepNext/>
        <w:rPr>
          <w:rFonts w:eastAsia="HGMaruGothicMPRO"/>
        </w:rPr>
      </w:pPr>
      <w:r>
        <w:rPr>
          <w:rFonts w:eastAsia="HGMaruGothicMPRO"/>
          <w:i/>
        </w:rPr>
        <w:t>Paragraphe </w:t>
      </w:r>
      <w:r w:rsidRPr="00A47634">
        <w:rPr>
          <w:rFonts w:eastAsia="HGMaruGothicMPRO"/>
          <w:i/>
        </w:rPr>
        <w:t>3.1</w:t>
      </w:r>
      <w:r w:rsidRPr="00A47634">
        <w:rPr>
          <w:rFonts w:eastAsia="HGMaruGothicMPRO"/>
        </w:rPr>
        <w:t>, lire</w:t>
      </w:r>
      <w:r>
        <w:rPr>
          <w:rFonts w:eastAsia="HGMaruGothicMPRO"/>
        </w:rPr>
        <w:t> </w:t>
      </w:r>
      <w:r w:rsidRPr="00A47634">
        <w:rPr>
          <w:rFonts w:eastAsia="HGMaruGothicMPRO"/>
        </w:rPr>
        <w:t>:</w:t>
      </w:r>
    </w:p>
    <w:p w:rsidR="00995E6A" w:rsidRPr="00B67112" w:rsidRDefault="00995E6A" w:rsidP="00995E6A">
      <w:pPr>
        <w:pStyle w:val="SingleTxtG"/>
        <w:ind w:left="2268" w:hanging="1134"/>
        <w:rPr>
          <w:rFonts w:eastAsia="Calibri"/>
        </w:rPr>
      </w:pPr>
      <w:r w:rsidRPr="00B67112">
        <w:rPr>
          <w:rFonts w:eastAsia="Calibri"/>
        </w:rPr>
        <w:t>« 3.1</w:t>
      </w:r>
      <w:r w:rsidRPr="00B67112">
        <w:rPr>
          <w:rFonts w:eastAsia="Calibri"/>
        </w:rPr>
        <w:tab/>
        <w:t>Les pneumatiques présentés à l’homologation portent sur les deux flancs dans le cas des pneumatiques symétriques et au moins sur le flanc extérieur dans le cas des pneumatiques asymétriques :</w:t>
      </w:r>
    </w:p>
    <w:p w:rsidR="00995E6A" w:rsidRPr="00B67112" w:rsidRDefault="00995E6A" w:rsidP="00995E6A">
      <w:pPr>
        <w:pStyle w:val="SingleTxtG"/>
        <w:ind w:left="2268" w:hanging="1134"/>
        <w:rPr>
          <w:rFonts w:eastAsia="Calibri"/>
        </w:rPr>
      </w:pPr>
      <w:r w:rsidRPr="00B67112">
        <w:rPr>
          <w:rFonts w:eastAsia="Calibri"/>
        </w:rPr>
        <w:t>3.1.1</w:t>
      </w:r>
      <w:r w:rsidRPr="00B67112">
        <w:rPr>
          <w:rFonts w:eastAsia="Calibri"/>
        </w:rPr>
        <w:tab/>
        <w:t>Le nom du fabricant ou l</w:t>
      </w:r>
      <w:r w:rsidRPr="00A47634">
        <w:rPr>
          <w:rFonts w:eastAsia="Calibri"/>
        </w:rPr>
        <w:t>e nom de marque</w:t>
      </w:r>
      <w:r w:rsidRPr="00B67112">
        <w:rPr>
          <w:rFonts w:eastAsia="Calibri"/>
        </w:rPr>
        <w:t xml:space="preserve">/marque de </w:t>
      </w:r>
      <w:r w:rsidRPr="00A47634">
        <w:rPr>
          <w:rFonts w:eastAsia="Calibri"/>
        </w:rPr>
        <w:t>fabrique ;</w:t>
      </w:r>
    </w:p>
    <w:p w:rsidR="00995E6A" w:rsidRPr="00B67112" w:rsidRDefault="00995E6A" w:rsidP="00995E6A">
      <w:pPr>
        <w:pStyle w:val="SingleTxtG"/>
        <w:ind w:left="2268" w:hanging="1134"/>
        <w:rPr>
          <w:rFonts w:eastAsia="Calibri"/>
        </w:rPr>
      </w:pPr>
      <w:r w:rsidRPr="00B67112">
        <w:rPr>
          <w:rFonts w:eastAsia="Calibri"/>
        </w:rPr>
        <w:t>3.1.2</w:t>
      </w:r>
      <w:r w:rsidRPr="00B67112">
        <w:rPr>
          <w:rFonts w:eastAsia="Calibri"/>
        </w:rPr>
        <w:tab/>
        <w:t>La désignation commerciale ou le nom</w:t>
      </w:r>
      <w:r>
        <w:rPr>
          <w:rFonts w:eastAsia="Calibri"/>
        </w:rPr>
        <w:t xml:space="preserve"> commercial (voir le paragraphe </w:t>
      </w:r>
      <w:r w:rsidRPr="00B67112">
        <w:rPr>
          <w:rFonts w:eastAsia="Calibri"/>
        </w:rPr>
        <w:t xml:space="preserve">2.4 du présent Règlement). Cependant, la désignation commerciale n’est pas requise quand elle </w:t>
      </w:r>
      <w:r w:rsidRPr="00A47634">
        <w:rPr>
          <w:rFonts w:eastAsia="Calibri"/>
        </w:rPr>
        <w:t>est identique au nom de marque et à la marque de fabrique</w:t>
      </w:r>
      <w:r w:rsidRPr="00B67112">
        <w:rPr>
          <w:rFonts w:eastAsia="Calibri"/>
        </w:rPr>
        <w:t>. ».</w:t>
      </w:r>
    </w:p>
    <w:p w:rsidR="00995E6A" w:rsidRPr="00B67112" w:rsidRDefault="00995E6A" w:rsidP="00995E6A">
      <w:pPr>
        <w:pStyle w:val="SingleTxtG"/>
        <w:rPr>
          <w:rFonts w:eastAsia="HGMaruGothicMPRO"/>
          <w:i/>
        </w:rPr>
      </w:pPr>
      <w:r>
        <w:rPr>
          <w:rFonts w:eastAsia="HGMaruGothicMPRO"/>
          <w:i/>
        </w:rPr>
        <w:t>Les paragraphes </w:t>
      </w:r>
      <w:r w:rsidRPr="00B67112">
        <w:rPr>
          <w:rFonts w:eastAsia="HGMaruGothicMPRO"/>
          <w:i/>
        </w:rPr>
        <w:t>3.1.2 à 3.</w:t>
      </w:r>
      <w:r>
        <w:rPr>
          <w:rFonts w:eastAsia="HGMaruGothicMPRO"/>
          <w:i/>
        </w:rPr>
        <w:t>1.13 deviennent les paragraphes </w:t>
      </w:r>
      <w:r w:rsidRPr="00B67112">
        <w:rPr>
          <w:rFonts w:eastAsia="HGMaruGothicMPRO"/>
          <w:i/>
        </w:rPr>
        <w:t>3.1.3 à 3.1.14.</w:t>
      </w:r>
    </w:p>
    <w:p w:rsidR="00995E6A" w:rsidRPr="00B67112" w:rsidRDefault="00995E6A" w:rsidP="00995E6A">
      <w:pPr>
        <w:pStyle w:val="SingleTxtG"/>
        <w:keepNext/>
        <w:rPr>
          <w:rFonts w:eastAsia="HGMaruGothicMPRO"/>
          <w:i/>
        </w:rPr>
      </w:pPr>
      <w:r>
        <w:rPr>
          <w:rFonts w:eastAsia="HGMaruGothicMPRO"/>
          <w:i/>
        </w:rPr>
        <w:t>Paragraphes </w:t>
      </w:r>
      <w:r w:rsidRPr="00B67112">
        <w:rPr>
          <w:rFonts w:eastAsia="HGMaruGothicMPRO"/>
          <w:i/>
        </w:rPr>
        <w:t>4.1 à 4.1.2.2</w:t>
      </w:r>
      <w:r w:rsidRPr="00B67112">
        <w:rPr>
          <w:rFonts w:eastAsia="HGMaruGothicMPRO"/>
        </w:rPr>
        <w:t>, modifier comme suit :</w:t>
      </w:r>
    </w:p>
    <w:p w:rsidR="00287D5A" w:rsidRPr="008005CB" w:rsidRDefault="00995E6A" w:rsidP="00B40836">
      <w:pPr>
        <w:pStyle w:val="SingleTxtG"/>
        <w:ind w:left="2268" w:hanging="1134"/>
        <w:rPr>
          <w:rFonts w:eastAsia="Calibri"/>
          <w:spacing w:val="-3"/>
        </w:rPr>
      </w:pPr>
      <w:r w:rsidRPr="008005CB">
        <w:rPr>
          <w:rFonts w:eastAsia="Calibri"/>
          <w:spacing w:val="-3"/>
        </w:rPr>
        <w:t>« 4.1</w:t>
      </w:r>
      <w:r w:rsidRPr="008005CB">
        <w:rPr>
          <w:rFonts w:eastAsia="Calibri"/>
          <w:spacing w:val="-3"/>
        </w:rPr>
        <w:tab/>
        <w:t>La demande d’homologation d’un type de pneumatique en application du présent Règlement est présentée soit par le fabricant de pneumatiques, soit par son représentant dûment accrédité. Elle précise :</w:t>
      </w:r>
    </w:p>
    <w:p w:rsidR="00995E6A" w:rsidRPr="008005CB" w:rsidRDefault="00995E6A" w:rsidP="00995E6A">
      <w:pPr>
        <w:suppressAutoHyphens w:val="0"/>
        <w:spacing w:after="120" w:line="240" w:lineRule="auto"/>
        <w:ind w:left="2268" w:right="1134" w:hanging="1134"/>
        <w:jc w:val="both"/>
        <w:rPr>
          <w:rFonts w:eastAsia="Calibri"/>
          <w:spacing w:val="-3"/>
        </w:rPr>
      </w:pPr>
      <w:r w:rsidRPr="008005CB">
        <w:rPr>
          <w:rFonts w:eastAsia="Calibri"/>
          <w:spacing w:val="-3"/>
        </w:rPr>
        <w:t>4.1.1</w:t>
      </w:r>
      <w:r w:rsidRPr="008005CB">
        <w:rPr>
          <w:rFonts w:eastAsia="Calibri"/>
          <w:spacing w:val="-3"/>
        </w:rPr>
        <w:tab/>
        <w:t>La désignation de la dimension du pneumatique ;</w:t>
      </w:r>
    </w:p>
    <w:p w:rsidR="00995E6A" w:rsidRPr="008005CB" w:rsidRDefault="00995E6A" w:rsidP="00995E6A">
      <w:pPr>
        <w:suppressAutoHyphens w:val="0"/>
        <w:spacing w:after="120" w:line="240" w:lineRule="auto"/>
        <w:ind w:left="2268" w:right="1134" w:hanging="1134"/>
        <w:jc w:val="both"/>
        <w:rPr>
          <w:rFonts w:eastAsia="HGMaruGothicMPRO"/>
          <w:spacing w:val="-3"/>
        </w:rPr>
      </w:pPr>
      <w:r w:rsidRPr="008005CB">
        <w:rPr>
          <w:rFonts w:eastAsia="Calibri"/>
          <w:spacing w:val="-3"/>
        </w:rPr>
        <w:t>4.1.2</w:t>
      </w:r>
      <w:r w:rsidRPr="008005CB">
        <w:rPr>
          <w:rFonts w:eastAsia="Calibri"/>
          <w:spacing w:val="-3"/>
        </w:rPr>
        <w:tab/>
        <w:t>Le nom du fabricant </w:t>
      </w:r>
      <w:r w:rsidRPr="008005CB">
        <w:rPr>
          <w:rFonts w:eastAsia="HGMaruGothicMPRO"/>
          <w:spacing w:val="-3"/>
        </w:rPr>
        <w:t>;</w:t>
      </w:r>
    </w:p>
    <w:p w:rsidR="00995E6A" w:rsidRPr="008005CB" w:rsidRDefault="00995E6A" w:rsidP="00995E6A">
      <w:pPr>
        <w:suppressAutoHyphens w:val="0"/>
        <w:spacing w:after="120" w:line="240" w:lineRule="auto"/>
        <w:ind w:left="2268" w:right="1134" w:hanging="1134"/>
        <w:jc w:val="both"/>
        <w:rPr>
          <w:rFonts w:eastAsia="HGMaruGothicMPRO"/>
          <w:spacing w:val="-3"/>
        </w:rPr>
      </w:pPr>
      <w:r w:rsidRPr="008005CB">
        <w:rPr>
          <w:rFonts w:eastAsia="HGMaruGothicMPRO"/>
          <w:spacing w:val="-3"/>
        </w:rPr>
        <w:t>4.1.2.1</w:t>
      </w:r>
      <w:r w:rsidRPr="008005CB">
        <w:rPr>
          <w:rFonts w:eastAsia="HGMaruGothicMPRO"/>
          <w:spacing w:val="-3"/>
        </w:rPr>
        <w:tab/>
      </w:r>
      <w:r w:rsidRPr="008005CB">
        <w:rPr>
          <w:rFonts w:eastAsia="Calibri"/>
          <w:spacing w:val="-3"/>
        </w:rPr>
        <w:t>La ou les noms de marque/marques de fabrique ;</w:t>
      </w:r>
    </w:p>
    <w:p w:rsidR="00995E6A" w:rsidRPr="008005CB" w:rsidRDefault="00995E6A" w:rsidP="00995E6A">
      <w:pPr>
        <w:suppressAutoHyphens w:val="0"/>
        <w:spacing w:after="120" w:line="240" w:lineRule="auto"/>
        <w:ind w:left="2268" w:right="1134" w:hanging="1134"/>
        <w:jc w:val="both"/>
        <w:rPr>
          <w:rFonts w:eastAsia="Calibri"/>
          <w:spacing w:val="-3"/>
        </w:rPr>
      </w:pPr>
      <w:r w:rsidRPr="008005CB">
        <w:rPr>
          <w:rFonts w:eastAsia="HGMaruGothicMPRO"/>
          <w:spacing w:val="-3"/>
        </w:rPr>
        <w:t>4.1.2.2</w:t>
      </w:r>
      <w:r w:rsidRPr="008005CB">
        <w:rPr>
          <w:rFonts w:eastAsia="HGMaruGothicMPRO"/>
          <w:spacing w:val="-3"/>
        </w:rPr>
        <w:tab/>
      </w:r>
      <w:r w:rsidRPr="008005CB">
        <w:rPr>
          <w:rFonts w:eastAsia="Calibri"/>
          <w:spacing w:val="-3"/>
        </w:rPr>
        <w:t>La ou les désignations commerciales/noms commerciaux. </w:t>
      </w:r>
      <w:r w:rsidRPr="008005CB">
        <w:rPr>
          <w:rFonts w:eastAsia="HGMaruGothicMPRO"/>
          <w:spacing w:val="-3"/>
        </w:rPr>
        <w:t>».</w:t>
      </w:r>
    </w:p>
    <w:p w:rsidR="00995E6A" w:rsidRPr="008005CB" w:rsidRDefault="00272213" w:rsidP="00995E6A">
      <w:pPr>
        <w:pStyle w:val="SingleTxtG"/>
        <w:rPr>
          <w:rFonts w:eastAsia="HGMaruGothicMPRO"/>
          <w:spacing w:val="-3"/>
        </w:rPr>
      </w:pPr>
      <w:r w:rsidRPr="008005CB">
        <w:rPr>
          <w:rFonts w:eastAsia="Calibri"/>
          <w:i/>
          <w:spacing w:val="-3"/>
        </w:rPr>
        <w:t>Paragraphes </w:t>
      </w:r>
      <w:r w:rsidR="00995E6A" w:rsidRPr="008005CB">
        <w:rPr>
          <w:rFonts w:eastAsia="Calibri"/>
          <w:i/>
          <w:spacing w:val="-3"/>
        </w:rPr>
        <w:t>5.1, 5.3, 5.4, 6.1.3, 6.2.1, 6.3.3.1 et titre des paragraphe</w:t>
      </w:r>
      <w:r w:rsidR="000776EB">
        <w:rPr>
          <w:rFonts w:eastAsia="Calibri"/>
          <w:i/>
          <w:spacing w:val="-3"/>
        </w:rPr>
        <w:t>s</w:t>
      </w:r>
      <w:r w:rsidRPr="008005CB">
        <w:rPr>
          <w:rFonts w:eastAsia="Calibri"/>
          <w:i/>
          <w:spacing w:val="-3"/>
        </w:rPr>
        <w:t> </w:t>
      </w:r>
      <w:r w:rsidR="00995E6A" w:rsidRPr="008005CB">
        <w:rPr>
          <w:rFonts w:eastAsia="Calibri"/>
          <w:i/>
          <w:spacing w:val="-3"/>
        </w:rPr>
        <w:t>7, 7.1, 7.1.1, 9 et 10</w:t>
      </w:r>
      <w:r w:rsidR="00995E6A" w:rsidRPr="008005CB">
        <w:rPr>
          <w:rFonts w:eastAsia="Calibri"/>
          <w:spacing w:val="-3"/>
        </w:rPr>
        <w:t>, modification sans objet en français</w:t>
      </w:r>
      <w:r w:rsidR="00995E6A" w:rsidRPr="008005CB">
        <w:rPr>
          <w:rFonts w:eastAsia="HGMaruGothicMPRO"/>
          <w:spacing w:val="-3"/>
        </w:rPr>
        <w:t>.</w:t>
      </w:r>
    </w:p>
    <w:p w:rsidR="00995E6A" w:rsidRPr="00A47634" w:rsidRDefault="00272213" w:rsidP="00816BB7">
      <w:pPr>
        <w:pStyle w:val="SingleTxtG"/>
        <w:keepNext/>
        <w:rPr>
          <w:rFonts w:eastAsia="Calibri"/>
        </w:rPr>
      </w:pPr>
      <w:r>
        <w:rPr>
          <w:rFonts w:eastAsia="Calibri"/>
          <w:i/>
        </w:rPr>
        <w:lastRenderedPageBreak/>
        <w:t>Paragraphe </w:t>
      </w:r>
      <w:r w:rsidR="00995E6A" w:rsidRPr="00A47634">
        <w:rPr>
          <w:rFonts w:eastAsia="Calibri"/>
          <w:i/>
        </w:rPr>
        <w:t>6.1.1.1</w:t>
      </w:r>
      <w:r w:rsidR="00995E6A" w:rsidRPr="00A47634">
        <w:rPr>
          <w:rFonts w:eastAsia="Calibri"/>
        </w:rPr>
        <w:t>, lire</w:t>
      </w:r>
      <w:r>
        <w:rPr>
          <w:rFonts w:eastAsia="Calibri"/>
        </w:rPr>
        <w:t> </w:t>
      </w:r>
      <w:r w:rsidR="00995E6A" w:rsidRPr="00A47634">
        <w:rPr>
          <w:rFonts w:eastAsia="Calibri"/>
        </w:rPr>
        <w:t>:</w:t>
      </w:r>
    </w:p>
    <w:p w:rsidR="00995E6A" w:rsidRPr="00A47634" w:rsidRDefault="00995E6A" w:rsidP="00816BB7">
      <w:pPr>
        <w:keepNext/>
        <w:kinsoku/>
        <w:overflowPunct/>
        <w:autoSpaceDE/>
        <w:autoSpaceDN/>
        <w:adjustRightInd/>
        <w:snapToGrid/>
        <w:spacing w:after="120"/>
        <w:ind w:left="2268" w:right="1134" w:hanging="1134"/>
        <w:jc w:val="both"/>
      </w:pPr>
      <w:r w:rsidRPr="00A47634">
        <w:t>« 6.1.1.1</w:t>
      </w:r>
      <w:r w:rsidRPr="00A47634">
        <w:tab/>
        <w:t>La grosseur du boudin est calculée à l’aide de la formule suivante :</w:t>
      </w:r>
    </w:p>
    <w:p w:rsidR="00995E6A" w:rsidRPr="00A47634" w:rsidRDefault="00995E6A" w:rsidP="00995E6A">
      <w:pPr>
        <w:pStyle w:val="SingleTxtG"/>
        <w:ind w:left="2268"/>
      </w:pPr>
      <w:r w:rsidRPr="00A47634">
        <w:tab/>
      </w:r>
      <w:r w:rsidR="00D24A9E">
        <w:t>S = </w:t>
      </w:r>
      <w:r w:rsidRPr="00A47634">
        <w:t>S</w:t>
      </w:r>
      <w:r w:rsidRPr="00A47634">
        <w:rPr>
          <w:vertAlign w:val="subscript"/>
        </w:rPr>
        <w:t>1</w:t>
      </w:r>
      <w:r w:rsidR="00D24A9E">
        <w:t> + K </w:t>
      </w:r>
      <w:r w:rsidRPr="00A47634">
        <w:t>(A-A</w:t>
      </w:r>
      <w:r w:rsidRPr="00A47634">
        <w:rPr>
          <w:vertAlign w:val="subscript"/>
        </w:rPr>
        <w:t>1</w:t>
      </w:r>
      <w:r>
        <w:t>)</w:t>
      </w:r>
    </w:p>
    <w:p w:rsidR="00995E6A" w:rsidRPr="00A47634" w:rsidRDefault="00995E6A" w:rsidP="00995E6A">
      <w:pPr>
        <w:pStyle w:val="SingleTxtG"/>
        <w:ind w:left="2268"/>
      </w:pPr>
      <w:r w:rsidRPr="00A47634">
        <w:tab/>
        <w:t>où :</w:t>
      </w:r>
    </w:p>
    <w:p w:rsidR="00995E6A" w:rsidRPr="00A47634" w:rsidRDefault="00995E6A" w:rsidP="00B7346A">
      <w:pPr>
        <w:pStyle w:val="SingleTxtG"/>
        <w:tabs>
          <w:tab w:val="left" w:pos="1134"/>
        </w:tabs>
        <w:ind w:left="2835" w:hanging="567"/>
      </w:pPr>
      <w:r w:rsidRPr="00A47634">
        <w:t>S</w:t>
      </w:r>
      <w:r w:rsidRPr="00A47634">
        <w:tab/>
        <w:t>est la “grosseur du boudin” arrondie au millimètre le plus proche, mesurée sur la jante de mesure ;</w:t>
      </w:r>
    </w:p>
    <w:p w:rsidR="00995E6A" w:rsidRPr="00A47634" w:rsidRDefault="00995E6A" w:rsidP="00995E6A">
      <w:pPr>
        <w:pStyle w:val="SingleTxtG"/>
        <w:ind w:left="2835" w:hanging="567"/>
      </w:pPr>
      <w:r w:rsidRPr="00A47634">
        <w:t>S</w:t>
      </w:r>
      <w:r w:rsidRPr="00A47634">
        <w:rPr>
          <w:vertAlign w:val="subscript"/>
        </w:rPr>
        <w:t>1</w:t>
      </w:r>
      <w:r w:rsidRPr="00A47634">
        <w:tab/>
        <w:t>est la “grosseur nominale du boudin” (en mm) telle que figurant sur le flanc du pneumatique dans la désignation de celui</w:t>
      </w:r>
      <w:r w:rsidR="00203291">
        <w:noBreakHyphen/>
      </w:r>
      <w:r w:rsidRPr="00A47634">
        <w:t>ci conformément aux prescriptions ;</w:t>
      </w:r>
    </w:p>
    <w:p w:rsidR="00995E6A" w:rsidRPr="00A47634" w:rsidRDefault="00203291" w:rsidP="00995E6A">
      <w:pPr>
        <w:pStyle w:val="SingleTxtG"/>
        <w:ind w:left="2835" w:hanging="567"/>
      </w:pPr>
      <w:r>
        <w:t>A</w:t>
      </w:r>
      <w:r>
        <w:tab/>
        <w:t>est la largeur (</w:t>
      </w:r>
      <w:r w:rsidR="00995E6A" w:rsidRPr="00A47634">
        <w:t>en mm) de la jante de mesure indiquée par le fabriquant dans la notice descriptive</w:t>
      </w:r>
      <w:r w:rsidR="00995E6A" w:rsidRPr="00A47634">
        <w:rPr>
          <w:sz w:val="18"/>
          <w:szCs w:val="18"/>
          <w:vertAlign w:val="superscript"/>
        </w:rPr>
        <w:t>5</w:t>
      </w:r>
      <w:r w:rsidR="00995E6A" w:rsidRPr="00A47634">
        <w:t> ;</w:t>
      </w:r>
    </w:p>
    <w:p w:rsidR="00995E6A" w:rsidRPr="00A47634" w:rsidRDefault="00995E6A" w:rsidP="00995E6A">
      <w:pPr>
        <w:pStyle w:val="SingleTxtG"/>
        <w:ind w:left="2835" w:hanging="567"/>
      </w:pPr>
      <w:r w:rsidRPr="00A47634">
        <w:t>A</w:t>
      </w:r>
      <w:r w:rsidRPr="00A47634">
        <w:rPr>
          <w:vertAlign w:val="subscript"/>
        </w:rPr>
        <w:t>1</w:t>
      </w:r>
      <w:r w:rsidRPr="00A47634">
        <w:tab/>
        <w:t>est la largeur (en mm) de la jante théorique.</w:t>
      </w:r>
    </w:p>
    <w:p w:rsidR="00995E6A" w:rsidRPr="00A47634" w:rsidRDefault="00995E6A" w:rsidP="00995E6A">
      <w:pPr>
        <w:pStyle w:val="SingleTxtG"/>
        <w:ind w:left="2835"/>
      </w:pPr>
      <w:r w:rsidRPr="00A47634">
        <w:tab/>
      </w:r>
      <w:r w:rsidR="00203291">
        <w:t>On retient pour </w:t>
      </w:r>
      <w:r w:rsidRPr="00A47634">
        <w:t>A</w:t>
      </w:r>
      <w:r w:rsidRPr="00A47634">
        <w:rPr>
          <w:vertAlign w:val="subscript"/>
        </w:rPr>
        <w:t>1</w:t>
      </w:r>
      <w:r w:rsidR="00203291">
        <w:t xml:space="preserve"> la valeur </w:t>
      </w:r>
      <w:r w:rsidRPr="00A47634">
        <w:t>S</w:t>
      </w:r>
      <w:r w:rsidRPr="00A47634">
        <w:rPr>
          <w:vertAlign w:val="subscript"/>
        </w:rPr>
        <w:t>1</w:t>
      </w:r>
      <w:r w:rsidR="00203291">
        <w:t>, multipliée par </w:t>
      </w:r>
      <w:r w:rsidRPr="00A47634">
        <w:t>x, indiquée</w:t>
      </w:r>
      <w:r w:rsidR="00203291">
        <w:t xml:space="preserve"> par le fabricant et pour K la valeur </w:t>
      </w:r>
      <w:r w:rsidRPr="00A47634">
        <w:t>0,4. ».</w:t>
      </w:r>
    </w:p>
    <w:p w:rsidR="00995E6A" w:rsidRPr="00B67112" w:rsidRDefault="00995E6A" w:rsidP="00B7346A">
      <w:pPr>
        <w:spacing w:after="120"/>
        <w:ind w:left="1134"/>
        <w:rPr>
          <w:rFonts w:eastAsia="Calibri"/>
        </w:rPr>
      </w:pPr>
      <w:r w:rsidRPr="00B67112">
        <w:rPr>
          <w:rFonts w:eastAsia="Calibri"/>
        </w:rPr>
        <w:t>______________</w:t>
      </w:r>
    </w:p>
    <w:p w:rsidR="00995E6A" w:rsidRPr="00B67112" w:rsidRDefault="00B7346A" w:rsidP="009572FB">
      <w:pPr>
        <w:pStyle w:val="SingleTxtG"/>
        <w:spacing w:after="240"/>
        <w:ind w:left="1304" w:hanging="170"/>
        <w:rPr>
          <w:rFonts w:eastAsia="Calibri"/>
        </w:rPr>
      </w:pPr>
      <w:r w:rsidRPr="00B7346A">
        <w:rPr>
          <w:rFonts w:eastAsia="Calibri"/>
          <w:sz w:val="18"/>
          <w:szCs w:val="18"/>
          <w:vertAlign w:val="superscript"/>
        </w:rPr>
        <w:t>5</w:t>
      </w:r>
      <w:r>
        <w:rPr>
          <w:rFonts w:eastAsia="Calibri"/>
        </w:rPr>
        <w:t xml:space="preserve">  </w:t>
      </w:r>
      <w:r w:rsidR="00995E6A" w:rsidRPr="00B7346A">
        <w:rPr>
          <w:rFonts w:eastAsia="Calibri"/>
          <w:sz w:val="18"/>
          <w:szCs w:val="18"/>
        </w:rPr>
        <w:t>Lorsque le nombre conventionnel est indiqué par des codes, la valeur exprimée en mm est obten</w:t>
      </w:r>
      <w:r>
        <w:rPr>
          <w:rFonts w:eastAsia="Calibri"/>
          <w:sz w:val="18"/>
          <w:szCs w:val="18"/>
        </w:rPr>
        <w:t>ue en multipliant ce nombre par </w:t>
      </w:r>
      <w:r w:rsidR="00995E6A" w:rsidRPr="00B7346A">
        <w:rPr>
          <w:rFonts w:eastAsia="Calibri"/>
          <w:sz w:val="18"/>
          <w:szCs w:val="18"/>
        </w:rPr>
        <w:t>25,4</w:t>
      </w:r>
      <w:r w:rsidR="00995E6A" w:rsidRPr="00B67112">
        <w:rPr>
          <w:rFonts w:eastAsia="Calibri"/>
        </w:rPr>
        <w:t>.</w:t>
      </w:r>
    </w:p>
    <w:p w:rsidR="00995E6A" w:rsidRPr="00A47634" w:rsidRDefault="000706C0" w:rsidP="00995E6A">
      <w:pPr>
        <w:pStyle w:val="SingleTxtG"/>
        <w:keepNext/>
        <w:rPr>
          <w:rFonts w:eastAsia="Calibri"/>
        </w:rPr>
      </w:pPr>
      <w:r>
        <w:rPr>
          <w:rFonts w:eastAsia="Calibri"/>
          <w:i/>
        </w:rPr>
        <w:t>Paragraphe </w:t>
      </w:r>
      <w:r w:rsidR="00995E6A" w:rsidRPr="00A47634">
        <w:rPr>
          <w:rFonts w:eastAsia="Calibri"/>
          <w:i/>
        </w:rPr>
        <w:t>6.1.2.1</w:t>
      </w:r>
      <w:r w:rsidR="00995E6A" w:rsidRPr="00A47634">
        <w:rPr>
          <w:rFonts w:eastAsia="Calibri"/>
        </w:rPr>
        <w:t>, lire :</w:t>
      </w:r>
    </w:p>
    <w:p w:rsidR="00995E6A" w:rsidRPr="00B67112" w:rsidRDefault="00995E6A" w:rsidP="00995E6A">
      <w:pPr>
        <w:kinsoku/>
        <w:overflowPunct/>
        <w:autoSpaceDE/>
        <w:autoSpaceDN/>
        <w:adjustRightInd/>
        <w:snapToGrid/>
        <w:spacing w:after="120"/>
        <w:ind w:left="2268" w:right="1134" w:hanging="1134"/>
        <w:jc w:val="both"/>
      </w:pPr>
      <w:r w:rsidRPr="00B67112">
        <w:t>« 6.1.2.1</w:t>
      </w:r>
      <w:r w:rsidRPr="00B67112">
        <w:tab/>
        <w:t>Le diamètre extérieur d’un pneumatique doit être calculé à l’aide de la formule suivante :</w:t>
      </w:r>
    </w:p>
    <w:p w:rsidR="00995E6A" w:rsidRPr="00B67112" w:rsidRDefault="00294845" w:rsidP="00995E6A">
      <w:pPr>
        <w:pStyle w:val="SingleTxtG"/>
        <w:ind w:left="2268"/>
      </w:pPr>
      <w:r>
        <w:tab/>
        <w:t>D = d + </w:t>
      </w:r>
      <w:r w:rsidR="00995E6A" w:rsidRPr="00B67112">
        <w:t>2H</w:t>
      </w:r>
    </w:p>
    <w:p w:rsidR="00995E6A" w:rsidRPr="00B67112" w:rsidRDefault="00995E6A" w:rsidP="00995E6A">
      <w:pPr>
        <w:pStyle w:val="SingleTxtG"/>
        <w:ind w:left="2268"/>
      </w:pPr>
      <w:r w:rsidRPr="00B67112">
        <w:t>où :</w:t>
      </w:r>
    </w:p>
    <w:p w:rsidR="00995E6A" w:rsidRPr="00B67112" w:rsidRDefault="00995E6A" w:rsidP="00995E6A">
      <w:pPr>
        <w:pStyle w:val="SingleTxtG"/>
        <w:ind w:left="2835" w:hanging="567"/>
      </w:pPr>
      <w:r w:rsidRPr="00B67112">
        <w:t>D</w:t>
      </w:r>
      <w:r w:rsidRPr="00B67112">
        <w:tab/>
        <w:t xml:space="preserve">est le diamètre extérieur </w:t>
      </w:r>
      <w:r w:rsidR="00294845">
        <w:t>(</w:t>
      </w:r>
      <w:r w:rsidRPr="00B67112">
        <w:t>en mm</w:t>
      </w:r>
      <w:r w:rsidR="00294845">
        <w:t>)</w:t>
      </w:r>
      <w:r w:rsidRPr="00A47634">
        <w:t> ;</w:t>
      </w:r>
    </w:p>
    <w:p w:rsidR="00995E6A" w:rsidRPr="00B67112" w:rsidRDefault="00995E6A" w:rsidP="00995E6A">
      <w:pPr>
        <w:pStyle w:val="SingleTxtG"/>
        <w:ind w:left="2835" w:hanging="567"/>
      </w:pPr>
      <w:r w:rsidRPr="00B67112">
        <w:t>d</w:t>
      </w:r>
      <w:r w:rsidRPr="00B67112">
        <w:tab/>
        <w:t xml:space="preserve">est le diamètre nominal de la jante </w:t>
      </w:r>
      <w:r>
        <w:t>mentionné au paragraphe </w:t>
      </w:r>
      <w:r w:rsidRPr="00B67112">
        <w:t>2.20</w:t>
      </w:r>
      <w:r w:rsidRPr="00A47634">
        <w:t xml:space="preserve"> ci</w:t>
      </w:r>
      <w:r w:rsidRPr="00A47634">
        <w:noBreakHyphen/>
      </w:r>
      <w:r w:rsidRPr="00B67112">
        <w:t xml:space="preserve">dessus, </w:t>
      </w:r>
      <w:r w:rsidR="00294845">
        <w:t>(</w:t>
      </w:r>
      <w:r w:rsidRPr="00B67112">
        <w:t>en mm</w:t>
      </w:r>
      <w:r w:rsidR="00294845">
        <w:t>)</w:t>
      </w:r>
      <w:r w:rsidRPr="00A47634">
        <w:t> ;</w:t>
      </w:r>
    </w:p>
    <w:p w:rsidR="00995E6A" w:rsidRPr="00B67112" w:rsidRDefault="00995E6A" w:rsidP="00995E6A">
      <w:pPr>
        <w:pStyle w:val="SingleTxtG"/>
        <w:ind w:left="2835" w:hanging="567"/>
      </w:pPr>
      <w:r w:rsidRPr="00B67112">
        <w:t>H</w:t>
      </w:r>
      <w:r w:rsidRPr="00B67112">
        <w:tab/>
        <w:t xml:space="preserve">est la hauteur nominale du boudin arrondie au millimètre le plus proche, égale à : </w:t>
      </w:r>
    </w:p>
    <w:p w:rsidR="00995E6A" w:rsidRPr="00B67112" w:rsidRDefault="00294845" w:rsidP="00995E6A">
      <w:pPr>
        <w:pStyle w:val="SingleTxtG"/>
        <w:ind w:left="3402" w:hanging="567"/>
      </w:pPr>
      <w:r>
        <w:t>H = S1 </w:t>
      </w:r>
      <w:r w:rsidR="00995E6A" w:rsidRPr="00465347">
        <w:rPr>
          <w:sz w:val="16"/>
          <w:szCs w:val="16"/>
        </w:rPr>
        <w:t>•</w:t>
      </w:r>
      <w:r>
        <w:t> 0,01</w:t>
      </w:r>
      <w:r w:rsidR="00995E6A" w:rsidRPr="00B67112">
        <w:t>Ra, où</w:t>
      </w:r>
    </w:p>
    <w:p w:rsidR="00995E6A" w:rsidRPr="00B67112" w:rsidRDefault="00995E6A" w:rsidP="00995E6A">
      <w:pPr>
        <w:pStyle w:val="SingleTxtG"/>
        <w:ind w:left="3402" w:hanging="567"/>
      </w:pPr>
      <w:r w:rsidRPr="00B67112">
        <w:t>S</w:t>
      </w:r>
      <w:r w:rsidRPr="00B67112">
        <w:rPr>
          <w:vertAlign w:val="subscript"/>
        </w:rPr>
        <w:t>1</w:t>
      </w:r>
      <w:r w:rsidRPr="00B67112">
        <w:tab/>
        <w:t xml:space="preserve">est la grosseur nominale du boudin </w:t>
      </w:r>
      <w:r w:rsidR="00294845">
        <w:t>(</w:t>
      </w:r>
      <w:r w:rsidRPr="00B67112">
        <w:t>en mm</w:t>
      </w:r>
      <w:r w:rsidR="00294845">
        <w:t>)</w:t>
      </w:r>
      <w:r w:rsidRPr="00A47634">
        <w:t> ;</w:t>
      </w:r>
    </w:p>
    <w:p w:rsidR="00995E6A" w:rsidRPr="00B67112" w:rsidRDefault="00995E6A" w:rsidP="00995E6A">
      <w:pPr>
        <w:pStyle w:val="SingleTxtG"/>
        <w:ind w:left="3402" w:hanging="567"/>
      </w:pPr>
      <w:r w:rsidRPr="00B67112">
        <w:t>Ra</w:t>
      </w:r>
      <w:r w:rsidRPr="00B67112">
        <w:tab/>
        <w:t>est le rapport nominal d’aspect</w:t>
      </w:r>
      <w:r w:rsidRPr="00A47634">
        <w:t> ;</w:t>
      </w:r>
    </w:p>
    <w:p w:rsidR="00995E6A" w:rsidRPr="00B67112" w:rsidRDefault="00995E6A" w:rsidP="00995E6A">
      <w:pPr>
        <w:pStyle w:val="SingleTxtG"/>
        <w:ind w:left="2268"/>
      </w:pPr>
      <w:r w:rsidRPr="00A47634">
        <w:tab/>
      </w:r>
      <w:r w:rsidRPr="00465347">
        <w:rPr>
          <w:spacing w:val="-2"/>
        </w:rPr>
        <w:t>tels que figurant sur le flanc du pneumatique dans la désignation de dimension du pneumatique conformément aux prescriptions du paragraphe 3.4</w:t>
      </w:r>
      <w:r>
        <w:t xml:space="preserve"> ci</w:t>
      </w:r>
      <w:r>
        <w:noBreakHyphen/>
      </w:r>
      <w:r w:rsidRPr="00B67112">
        <w:t>dessus. ».</w:t>
      </w:r>
    </w:p>
    <w:p w:rsidR="00995E6A" w:rsidRPr="00A47634" w:rsidRDefault="000706C0" w:rsidP="00995E6A">
      <w:pPr>
        <w:pStyle w:val="SingleTxtG"/>
        <w:rPr>
          <w:rFonts w:eastAsia="Calibri"/>
        </w:rPr>
      </w:pPr>
      <w:r>
        <w:rPr>
          <w:rFonts w:eastAsia="Calibri"/>
          <w:i/>
        </w:rPr>
        <w:t>Paragraphe </w:t>
      </w:r>
      <w:r w:rsidR="00995E6A" w:rsidRPr="00A47634">
        <w:rPr>
          <w:rFonts w:eastAsia="Calibri"/>
          <w:i/>
        </w:rPr>
        <w:t>6.1.4</w:t>
      </w:r>
      <w:r w:rsidR="00995E6A" w:rsidRPr="00A47634">
        <w:rPr>
          <w:rFonts w:eastAsia="Calibri"/>
        </w:rPr>
        <w:t>,</w:t>
      </w:r>
      <w:r w:rsidR="00995E6A" w:rsidRPr="00A47634">
        <w:rPr>
          <w:rFonts w:eastAsia="Calibri"/>
          <w:i/>
        </w:rPr>
        <w:t xml:space="preserve"> </w:t>
      </w:r>
      <w:r w:rsidR="00995E6A" w:rsidRPr="00A47634">
        <w:rPr>
          <w:rFonts w:eastAsia="Calibri"/>
        </w:rPr>
        <w:t>modification sans objet en français.</w:t>
      </w:r>
    </w:p>
    <w:p w:rsidR="00995E6A" w:rsidRPr="00A47634" w:rsidRDefault="000706C0" w:rsidP="00995E6A">
      <w:pPr>
        <w:pStyle w:val="SingleTxtG"/>
        <w:rPr>
          <w:rFonts w:eastAsia="Calibri"/>
          <w:szCs w:val="24"/>
        </w:rPr>
      </w:pPr>
      <w:r>
        <w:rPr>
          <w:rFonts w:eastAsia="Calibri"/>
          <w:i/>
          <w:szCs w:val="24"/>
        </w:rPr>
        <w:t>Paragraphe </w:t>
      </w:r>
      <w:r w:rsidR="00995E6A" w:rsidRPr="00A47634">
        <w:rPr>
          <w:rFonts w:eastAsia="Calibri"/>
          <w:i/>
          <w:szCs w:val="24"/>
        </w:rPr>
        <w:t>6.1.4.2</w:t>
      </w:r>
      <w:r w:rsidR="00995E6A" w:rsidRPr="00A47634">
        <w:rPr>
          <w:rFonts w:eastAsia="Calibri"/>
          <w:szCs w:val="24"/>
        </w:rPr>
        <w:t>,</w:t>
      </w:r>
      <w:r w:rsidR="00995E6A" w:rsidRPr="00A47634">
        <w:rPr>
          <w:rFonts w:eastAsia="Calibri"/>
          <w:i/>
          <w:szCs w:val="24"/>
        </w:rPr>
        <w:t xml:space="preserve"> </w:t>
      </w:r>
      <w:r w:rsidR="00995E6A" w:rsidRPr="00A47634">
        <w:rPr>
          <w:rFonts w:eastAsia="Calibri"/>
          <w:szCs w:val="24"/>
        </w:rPr>
        <w:t>lire :</w:t>
      </w:r>
    </w:p>
    <w:p w:rsidR="00995E6A" w:rsidRPr="00B67112" w:rsidRDefault="00995E6A" w:rsidP="00995E6A">
      <w:pPr>
        <w:pStyle w:val="SingleTxtG"/>
        <w:ind w:left="2268" w:hanging="1134"/>
      </w:pPr>
      <w:r w:rsidRPr="00B67112">
        <w:t>« 6.1.4.2</w:t>
      </w:r>
      <w:r w:rsidRPr="00B67112">
        <w:tab/>
        <w:t>Elle peut dépasser cette valeur des pourcentages suivants, les valeurs limites devant être arrondies au millimètre le plus proche : ».</w:t>
      </w:r>
    </w:p>
    <w:p w:rsidR="00995E6A" w:rsidRPr="00A47634" w:rsidRDefault="000706C0" w:rsidP="00995E6A">
      <w:pPr>
        <w:pStyle w:val="SingleTxtG"/>
        <w:keepNext/>
        <w:rPr>
          <w:rFonts w:eastAsia="Calibri"/>
        </w:rPr>
      </w:pPr>
      <w:r>
        <w:rPr>
          <w:rFonts w:eastAsia="Calibri"/>
          <w:i/>
        </w:rPr>
        <w:t>Paragraphe </w:t>
      </w:r>
      <w:r w:rsidR="00995E6A" w:rsidRPr="00A47634">
        <w:rPr>
          <w:rFonts w:eastAsia="Calibri"/>
          <w:i/>
        </w:rPr>
        <w:t>6.1.5</w:t>
      </w:r>
      <w:r w:rsidR="00995E6A" w:rsidRPr="00A47634">
        <w:rPr>
          <w:rFonts w:eastAsia="Calibri"/>
        </w:rPr>
        <w:t>, lire :</w:t>
      </w:r>
    </w:p>
    <w:p w:rsidR="00995E6A" w:rsidRPr="00B67112" w:rsidRDefault="00995E6A" w:rsidP="00995E6A">
      <w:pPr>
        <w:pStyle w:val="SingleTxtG"/>
        <w:ind w:left="2268" w:hanging="1134"/>
      </w:pPr>
      <w:r w:rsidRPr="00B67112">
        <w:t>« 6.1.5</w:t>
      </w:r>
      <w:r w:rsidRPr="00B67112">
        <w:tab/>
      </w:r>
      <w:r w:rsidRPr="00B67112">
        <w:tab/>
        <w:t>Spécifications relatives au diamètre extérieur des pneumatiques</w:t>
      </w:r>
    </w:p>
    <w:p w:rsidR="00995E6A" w:rsidRPr="00A47634" w:rsidRDefault="00995E6A" w:rsidP="00995E6A">
      <w:pPr>
        <w:pStyle w:val="SingleTxtG"/>
        <w:keepNext/>
        <w:ind w:left="2268"/>
      </w:pPr>
      <w:r w:rsidRPr="00A47634">
        <w:tab/>
        <w:t>Le diamètre extérieur du pneumatique ne doit pas excéder</w:t>
      </w:r>
      <w:r w:rsidR="004D576E">
        <w:t xml:space="preserve"> les valeurs </w:t>
      </w:r>
      <w:r w:rsidRPr="00A47634">
        <w:t>D</w:t>
      </w:r>
      <w:r w:rsidRPr="00A47634">
        <w:rPr>
          <w:vertAlign w:val="subscript"/>
        </w:rPr>
        <w:t>min</w:t>
      </w:r>
      <w:r w:rsidRPr="00A47634">
        <w:t xml:space="preserve"> et D</w:t>
      </w:r>
      <w:r w:rsidRPr="00A47634">
        <w:rPr>
          <w:vertAlign w:val="subscript"/>
        </w:rPr>
        <w:t>max</w:t>
      </w:r>
      <w:r w:rsidRPr="00A47634">
        <w:t xml:space="preserve"> obtenues avec les formules suivantes :</w:t>
      </w:r>
    </w:p>
    <w:p w:rsidR="00995E6A" w:rsidRPr="00A47634" w:rsidRDefault="00995E6A" w:rsidP="00995E6A">
      <w:pPr>
        <w:pStyle w:val="SingleTxtG"/>
        <w:ind w:left="2268"/>
      </w:pPr>
      <w:r w:rsidRPr="00A47634">
        <w:tab/>
        <w:t>D</w:t>
      </w:r>
      <w:r w:rsidRPr="00A47634">
        <w:rPr>
          <w:vertAlign w:val="subscript"/>
        </w:rPr>
        <w:t>min</w:t>
      </w:r>
      <w:r w:rsidR="0085109E" w:rsidRPr="0085109E">
        <w:t> </w:t>
      </w:r>
      <w:r w:rsidR="0085109E">
        <w:t>= d + 2 </w:t>
      </w:r>
      <w:r w:rsidRPr="00465347">
        <w:rPr>
          <w:sz w:val="16"/>
          <w:szCs w:val="16"/>
        </w:rPr>
        <w:t>•</w:t>
      </w:r>
      <w:r w:rsidR="0085109E">
        <w:t> </w:t>
      </w:r>
      <w:r w:rsidRPr="00A47634">
        <w:t>H</w:t>
      </w:r>
      <w:r w:rsidRPr="00A47634">
        <w:rPr>
          <w:vertAlign w:val="subscript"/>
        </w:rPr>
        <w:t>min</w:t>
      </w:r>
    </w:p>
    <w:p w:rsidR="00995E6A" w:rsidRPr="00A47634" w:rsidRDefault="00995E6A" w:rsidP="00995E6A">
      <w:pPr>
        <w:pStyle w:val="SingleTxtG"/>
        <w:ind w:left="2268"/>
      </w:pPr>
      <w:r w:rsidRPr="00A47634">
        <w:tab/>
        <w:t>D</w:t>
      </w:r>
      <w:r w:rsidRPr="00A47634">
        <w:rPr>
          <w:vertAlign w:val="subscript"/>
        </w:rPr>
        <w:t>max</w:t>
      </w:r>
      <w:r w:rsidR="0085109E">
        <w:t> = d + 2 </w:t>
      </w:r>
      <w:r w:rsidRPr="00465347">
        <w:rPr>
          <w:sz w:val="16"/>
          <w:szCs w:val="16"/>
        </w:rPr>
        <w:t>•</w:t>
      </w:r>
      <w:r w:rsidR="0085109E">
        <w:t> </w:t>
      </w:r>
      <w:r w:rsidRPr="00A47634">
        <w:t>H</w:t>
      </w:r>
      <w:r w:rsidRPr="00A47634">
        <w:rPr>
          <w:vertAlign w:val="subscript"/>
        </w:rPr>
        <w:t>max</w:t>
      </w:r>
    </w:p>
    <w:p w:rsidR="00995E6A" w:rsidRPr="00A47634" w:rsidRDefault="00995E6A" w:rsidP="0085109E">
      <w:pPr>
        <w:pStyle w:val="SingleTxtG"/>
        <w:keepNext/>
        <w:ind w:left="2268"/>
      </w:pPr>
      <w:r w:rsidRPr="00A47634">
        <w:lastRenderedPageBreak/>
        <w:tab/>
      </w:r>
      <w:r>
        <w:t>où :</w:t>
      </w:r>
    </w:p>
    <w:p w:rsidR="00995E6A" w:rsidRPr="00A47634" w:rsidRDefault="00995E6A" w:rsidP="00995E6A">
      <w:pPr>
        <w:pStyle w:val="SingleTxtG"/>
        <w:ind w:left="2268"/>
      </w:pPr>
      <w:r w:rsidRPr="00A47634">
        <w:t>H</w:t>
      </w:r>
      <w:r w:rsidRPr="00A47634">
        <w:rPr>
          <w:vertAlign w:val="subscript"/>
        </w:rPr>
        <w:t>min</w:t>
      </w:r>
      <w:r w:rsidR="0085109E">
        <w:t> = H </w:t>
      </w:r>
      <w:r w:rsidRPr="00465347">
        <w:rPr>
          <w:sz w:val="16"/>
          <w:szCs w:val="16"/>
        </w:rPr>
        <w:t>•</w:t>
      </w:r>
      <w:r w:rsidR="0085109E">
        <w:t> </w:t>
      </w:r>
      <w:r w:rsidRPr="00A47634">
        <w:t>a</w:t>
      </w:r>
      <w:r w:rsidRPr="00A47634">
        <w:tab/>
      </w:r>
      <w:r w:rsidRPr="00A47634">
        <w:tab/>
        <w:t>arrondie au millimètre le plus proche ;</w:t>
      </w:r>
    </w:p>
    <w:p w:rsidR="00995E6A" w:rsidRPr="00A47634" w:rsidRDefault="00995E6A" w:rsidP="00995E6A">
      <w:pPr>
        <w:pStyle w:val="SingleTxtG"/>
        <w:ind w:left="2268"/>
      </w:pPr>
      <w:r w:rsidRPr="00A47634">
        <w:t>H</w:t>
      </w:r>
      <w:r w:rsidRPr="00A47634">
        <w:rPr>
          <w:vertAlign w:val="subscript"/>
        </w:rPr>
        <w:t>max</w:t>
      </w:r>
      <w:r w:rsidR="0085109E">
        <w:t> = H </w:t>
      </w:r>
      <w:r w:rsidRPr="00465347">
        <w:rPr>
          <w:sz w:val="16"/>
          <w:szCs w:val="16"/>
        </w:rPr>
        <w:t>•</w:t>
      </w:r>
      <w:r w:rsidR="0085109E">
        <w:t> </w:t>
      </w:r>
      <w:r w:rsidRPr="00A47634">
        <w:t>b</w:t>
      </w:r>
      <w:r w:rsidRPr="00A47634">
        <w:tab/>
      </w:r>
      <w:r w:rsidRPr="00A47634">
        <w:tab/>
        <w:t>arrondie au millimètre le plus proche ;</w:t>
      </w:r>
    </w:p>
    <w:p w:rsidR="00995E6A" w:rsidRPr="00A47634" w:rsidRDefault="00995E6A" w:rsidP="00995E6A">
      <w:pPr>
        <w:pStyle w:val="SingleTxtG"/>
        <w:ind w:left="2268"/>
      </w:pPr>
      <w:r w:rsidRPr="00A47634">
        <w:tab/>
        <w:t>et ».</w:t>
      </w:r>
    </w:p>
    <w:p w:rsidR="00995E6A" w:rsidRPr="00B67112" w:rsidRDefault="001F603A" w:rsidP="00995E6A">
      <w:pPr>
        <w:pStyle w:val="SingleTxtG"/>
        <w:keepNext/>
        <w:rPr>
          <w:rFonts w:eastAsia="Calibri"/>
        </w:rPr>
      </w:pPr>
      <w:r>
        <w:rPr>
          <w:rFonts w:eastAsia="Calibri"/>
          <w:i/>
        </w:rPr>
        <w:t>Paragraphe </w:t>
      </w:r>
      <w:r w:rsidR="00995E6A" w:rsidRPr="00DB5E05">
        <w:rPr>
          <w:rFonts w:eastAsia="Calibri"/>
          <w:i/>
        </w:rPr>
        <w:t>6.1.5.1</w:t>
      </w:r>
      <w:r w:rsidR="00995E6A" w:rsidRPr="00B67112">
        <w:rPr>
          <w:rFonts w:eastAsia="Calibri"/>
        </w:rPr>
        <w:t>, lire</w:t>
      </w:r>
      <w:r w:rsidR="00995E6A">
        <w:rPr>
          <w:rFonts w:eastAsia="Calibri"/>
        </w:rPr>
        <w:t> :</w:t>
      </w:r>
    </w:p>
    <w:p w:rsidR="00995E6A" w:rsidRPr="00B67112" w:rsidRDefault="00995E6A" w:rsidP="00995E6A">
      <w:pPr>
        <w:pStyle w:val="SingleTxtG"/>
        <w:ind w:left="2268" w:hanging="1134"/>
      </w:pPr>
      <w:r w:rsidRPr="00B67112">
        <w:t>« 6.1.5.1</w:t>
      </w:r>
      <w:r w:rsidRPr="00B67112">
        <w:tab/>
        <w:t xml:space="preserve">Pour les pneumatiques énumérés à l’annexe 5 et les pneumatiques identifiés par le “montage pneumatique/jante” (voir le paragraphe 3.1.11) symbole </w:t>
      </w:r>
      <w:r w:rsidR="001F603A">
        <w:t>“A” ou “U”, la hauteur nominale H </w:t>
      </w:r>
      <w:r w:rsidRPr="00B67112">
        <w:t>du boudin est égale à :</w:t>
      </w:r>
    </w:p>
    <w:p w:rsidR="00995E6A" w:rsidRPr="00B67112" w:rsidRDefault="00995E6A" w:rsidP="00995E6A">
      <w:pPr>
        <w:pStyle w:val="SingleTxtG"/>
        <w:ind w:left="2268"/>
      </w:pPr>
      <w:r w:rsidRPr="00B67112">
        <w:t>H = 0,5 (D </w:t>
      </w:r>
      <w:r w:rsidR="00697EEE">
        <w:t>-</w:t>
      </w:r>
      <w:r w:rsidRPr="00B67112">
        <w:t> d), arrondie au millimètre le plus proche (pour les</w:t>
      </w:r>
      <w:r w:rsidR="00844A00">
        <w:t xml:space="preserve"> références, voir le paragraphe </w:t>
      </w:r>
      <w:r w:rsidRPr="00B67112">
        <w:t>6.1.2.1). ».</w:t>
      </w:r>
    </w:p>
    <w:p w:rsidR="00995E6A" w:rsidRPr="00B67112" w:rsidRDefault="001F603A" w:rsidP="00995E6A">
      <w:pPr>
        <w:pStyle w:val="SingleTxtG"/>
        <w:keepNext/>
        <w:rPr>
          <w:rFonts w:eastAsia="Calibri"/>
        </w:rPr>
      </w:pPr>
      <w:r>
        <w:rPr>
          <w:rFonts w:eastAsia="Calibri"/>
          <w:i/>
        </w:rPr>
        <w:t>Paragraphe </w:t>
      </w:r>
      <w:r w:rsidR="00995E6A" w:rsidRPr="00DB5E05">
        <w:rPr>
          <w:rFonts w:eastAsia="Calibri"/>
          <w:i/>
        </w:rPr>
        <w:t>6.1.5.3</w:t>
      </w:r>
      <w:r w:rsidR="00995E6A" w:rsidRPr="00B67112">
        <w:rPr>
          <w:rFonts w:eastAsia="Calibri"/>
        </w:rPr>
        <w:t xml:space="preserve">, </w:t>
      </w:r>
      <w:r w:rsidR="00995E6A">
        <w:rPr>
          <w:rFonts w:eastAsia="Calibri"/>
        </w:rPr>
        <w:t>lire :</w:t>
      </w:r>
    </w:p>
    <w:p w:rsidR="00995E6A" w:rsidRPr="00B67112" w:rsidRDefault="00995E6A" w:rsidP="00995E6A">
      <w:pPr>
        <w:pStyle w:val="SingleTxtG"/>
        <w:ind w:left="2268" w:hanging="1134"/>
      </w:pPr>
      <w:r w:rsidRPr="00B67112">
        <w:t>« 6.1.5.3</w:t>
      </w:r>
      <w:r w:rsidRPr="00B67112">
        <w:tab/>
        <w:t>Les coefficients “a” et “b” sont respectivement :</w:t>
      </w:r>
    </w:p>
    <w:p w:rsidR="00995E6A" w:rsidRDefault="002F4E3B" w:rsidP="00995E6A">
      <w:pPr>
        <w:pStyle w:val="SingleTxtG"/>
        <w:ind w:left="2268" w:hanging="1134"/>
      </w:pPr>
      <w:r>
        <w:t>6.1.5.3.1</w:t>
      </w:r>
      <w:r>
        <w:tab/>
        <w:t>Coefficient “a” = </w:t>
      </w:r>
      <w:r w:rsidR="00995E6A" w:rsidRPr="00DB5E05">
        <w:t>0,97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134"/>
        <w:gridCol w:w="1764"/>
        <w:gridCol w:w="2205"/>
        <w:gridCol w:w="2267"/>
      </w:tblGrid>
      <w:tr w:rsidR="00995E6A" w:rsidRPr="00DB5E05" w:rsidTr="00AF3434">
        <w:trPr>
          <w:tblHeader/>
        </w:trPr>
        <w:tc>
          <w:tcPr>
            <w:tcW w:w="1134" w:type="dxa"/>
            <w:shd w:val="clear" w:color="auto" w:fill="auto"/>
            <w:vAlign w:val="bottom"/>
          </w:tcPr>
          <w:p w:rsidR="00995E6A" w:rsidRPr="00DB5E05" w:rsidRDefault="00995E6A" w:rsidP="00AF3434">
            <w:pPr>
              <w:spacing w:before="40" w:after="40" w:line="220" w:lineRule="exact"/>
              <w:rPr>
                <w:sz w:val="18"/>
              </w:rPr>
            </w:pPr>
            <w:r w:rsidRPr="00B67112">
              <w:t>6.1.5.3.2</w:t>
            </w:r>
          </w:p>
        </w:tc>
        <w:tc>
          <w:tcPr>
            <w:tcW w:w="1764" w:type="dxa"/>
            <w:shd w:val="clear" w:color="auto" w:fill="auto"/>
            <w:vAlign w:val="bottom"/>
          </w:tcPr>
          <w:p w:rsidR="00995E6A" w:rsidRPr="00DB5E05" w:rsidRDefault="00995E6A" w:rsidP="00AF3434">
            <w:pPr>
              <w:spacing w:before="40" w:after="40" w:line="220" w:lineRule="exact"/>
              <w:rPr>
                <w:sz w:val="18"/>
              </w:rPr>
            </w:pPr>
            <w:r w:rsidRPr="00B67112">
              <w:t>Coefficient “b”</w:t>
            </w:r>
          </w:p>
        </w:tc>
        <w:tc>
          <w:tcPr>
            <w:tcW w:w="2205" w:type="dxa"/>
            <w:shd w:val="clear" w:color="auto" w:fill="auto"/>
            <w:vAlign w:val="bottom"/>
          </w:tcPr>
          <w:p w:rsidR="00995E6A" w:rsidRPr="00697EEE" w:rsidRDefault="00995E6A" w:rsidP="00AF3434">
            <w:pPr>
              <w:spacing w:before="40" w:after="40" w:line="220" w:lineRule="exact"/>
              <w:jc w:val="center"/>
              <w:rPr>
                <w:sz w:val="18"/>
                <w:u w:val="single"/>
              </w:rPr>
            </w:pPr>
            <w:r w:rsidRPr="00697EEE">
              <w:rPr>
                <w:u w:val="single"/>
              </w:rPr>
              <w:t>Radial, pour roulage à plat</w:t>
            </w:r>
          </w:p>
        </w:tc>
        <w:tc>
          <w:tcPr>
            <w:tcW w:w="2267" w:type="dxa"/>
            <w:shd w:val="clear" w:color="auto" w:fill="auto"/>
            <w:vAlign w:val="bottom"/>
          </w:tcPr>
          <w:p w:rsidR="00995E6A" w:rsidRPr="00697EEE" w:rsidRDefault="00995E6A" w:rsidP="00AF3434">
            <w:pPr>
              <w:spacing w:before="40" w:after="40" w:line="220" w:lineRule="exact"/>
              <w:jc w:val="center"/>
              <w:rPr>
                <w:sz w:val="18"/>
                <w:u w:val="single"/>
              </w:rPr>
            </w:pPr>
            <w:r w:rsidRPr="00697EEE">
              <w:rPr>
                <w:u w:val="single"/>
              </w:rPr>
              <w:t>Diagonal et ceinturé croisé</w:t>
            </w:r>
          </w:p>
        </w:tc>
      </w:tr>
      <w:tr w:rsidR="00995E6A" w:rsidRPr="00DB5E05" w:rsidTr="00AF3434">
        <w:tc>
          <w:tcPr>
            <w:tcW w:w="1134" w:type="dxa"/>
            <w:shd w:val="clear" w:color="auto" w:fill="auto"/>
          </w:tcPr>
          <w:p w:rsidR="00995E6A" w:rsidRPr="00DB5E05" w:rsidRDefault="00995E6A" w:rsidP="00AF3434">
            <w:pPr>
              <w:spacing w:before="40" w:after="40" w:line="220" w:lineRule="exact"/>
              <w:rPr>
                <w:sz w:val="18"/>
              </w:rPr>
            </w:pPr>
          </w:p>
        </w:tc>
        <w:tc>
          <w:tcPr>
            <w:tcW w:w="1764" w:type="dxa"/>
            <w:shd w:val="clear" w:color="auto" w:fill="auto"/>
          </w:tcPr>
          <w:p w:rsidR="00995E6A" w:rsidRPr="00DB5E05" w:rsidRDefault="00995E6A" w:rsidP="00AF3434">
            <w:pPr>
              <w:spacing w:before="40" w:after="40" w:line="220" w:lineRule="exact"/>
              <w:rPr>
                <w:spacing w:val="-2"/>
                <w:sz w:val="18"/>
              </w:rPr>
            </w:pPr>
            <w:r w:rsidRPr="00B67112">
              <w:rPr>
                <w:spacing w:val="-2"/>
              </w:rPr>
              <w:t>pour les pneumatiques</w:t>
            </w:r>
            <w:r w:rsidRPr="00B67112">
              <w:rPr>
                <w:spacing w:val="-2"/>
              </w:rPr>
              <w:br/>
              <w:t>normaux</w:t>
            </w:r>
          </w:p>
        </w:tc>
        <w:tc>
          <w:tcPr>
            <w:tcW w:w="2205" w:type="dxa"/>
            <w:shd w:val="clear" w:color="auto" w:fill="auto"/>
          </w:tcPr>
          <w:p w:rsidR="00995E6A" w:rsidRPr="00DB5E05" w:rsidRDefault="00995E6A" w:rsidP="00AF3434">
            <w:pPr>
              <w:spacing w:before="40" w:after="40" w:line="220" w:lineRule="exact"/>
              <w:jc w:val="center"/>
              <w:rPr>
                <w:sz w:val="18"/>
              </w:rPr>
            </w:pPr>
            <w:r>
              <w:rPr>
                <w:sz w:val="18"/>
              </w:rPr>
              <w:t>1,04</w:t>
            </w:r>
          </w:p>
        </w:tc>
        <w:tc>
          <w:tcPr>
            <w:tcW w:w="2267" w:type="dxa"/>
            <w:shd w:val="clear" w:color="auto" w:fill="auto"/>
          </w:tcPr>
          <w:p w:rsidR="00995E6A" w:rsidRPr="00DB5E05" w:rsidRDefault="00995E6A" w:rsidP="00AF3434">
            <w:pPr>
              <w:spacing w:before="40" w:after="40" w:line="220" w:lineRule="exact"/>
              <w:jc w:val="center"/>
              <w:rPr>
                <w:sz w:val="18"/>
              </w:rPr>
            </w:pPr>
            <w:r>
              <w:rPr>
                <w:sz w:val="18"/>
              </w:rPr>
              <w:t>1,08</w:t>
            </w:r>
          </w:p>
        </w:tc>
      </w:tr>
      <w:tr w:rsidR="00995E6A" w:rsidRPr="00DB5E05" w:rsidTr="00AF3434">
        <w:tc>
          <w:tcPr>
            <w:tcW w:w="1134" w:type="dxa"/>
            <w:shd w:val="clear" w:color="auto" w:fill="auto"/>
          </w:tcPr>
          <w:p w:rsidR="00995E6A" w:rsidRPr="00DB5E05" w:rsidRDefault="00995E6A" w:rsidP="00AF3434">
            <w:pPr>
              <w:spacing w:before="40" w:after="120" w:line="220" w:lineRule="exact"/>
              <w:rPr>
                <w:sz w:val="18"/>
              </w:rPr>
            </w:pPr>
          </w:p>
        </w:tc>
        <w:tc>
          <w:tcPr>
            <w:tcW w:w="1764" w:type="dxa"/>
            <w:shd w:val="clear" w:color="auto" w:fill="auto"/>
          </w:tcPr>
          <w:p w:rsidR="00995E6A" w:rsidRPr="00DB5E05" w:rsidRDefault="00995E6A" w:rsidP="00AF3434">
            <w:pPr>
              <w:spacing w:before="40" w:after="120" w:line="220" w:lineRule="exact"/>
              <w:rPr>
                <w:sz w:val="18"/>
              </w:rPr>
            </w:pPr>
            <w:r>
              <w:rPr>
                <w:spacing w:val="-2"/>
              </w:rPr>
              <w:t>pour les pneumatiques</w:t>
            </w:r>
            <w:r>
              <w:rPr>
                <w:spacing w:val="-2"/>
              </w:rPr>
              <w:br/>
            </w:r>
            <w:r w:rsidRPr="00B67112">
              <w:rPr>
                <w:spacing w:val="-2"/>
              </w:rPr>
              <w:t>à usage spécial</w:t>
            </w:r>
          </w:p>
        </w:tc>
        <w:tc>
          <w:tcPr>
            <w:tcW w:w="2205" w:type="dxa"/>
            <w:shd w:val="clear" w:color="auto" w:fill="auto"/>
          </w:tcPr>
          <w:p w:rsidR="00995E6A" w:rsidRPr="00DB5E05" w:rsidRDefault="00995E6A" w:rsidP="00AF3434">
            <w:pPr>
              <w:spacing w:before="40" w:after="120" w:line="220" w:lineRule="exact"/>
              <w:jc w:val="center"/>
              <w:rPr>
                <w:sz w:val="18"/>
              </w:rPr>
            </w:pPr>
            <w:r>
              <w:rPr>
                <w:sz w:val="18"/>
              </w:rPr>
              <w:t>1,06</w:t>
            </w:r>
          </w:p>
        </w:tc>
        <w:tc>
          <w:tcPr>
            <w:tcW w:w="2267" w:type="dxa"/>
            <w:shd w:val="clear" w:color="auto" w:fill="auto"/>
          </w:tcPr>
          <w:p w:rsidR="00995E6A" w:rsidRPr="00DB5E05" w:rsidRDefault="00995E6A" w:rsidP="00AF3434">
            <w:pPr>
              <w:spacing w:before="40" w:after="120" w:line="220" w:lineRule="exact"/>
              <w:jc w:val="center"/>
              <w:rPr>
                <w:sz w:val="18"/>
              </w:rPr>
            </w:pPr>
            <w:r>
              <w:rPr>
                <w:sz w:val="18"/>
              </w:rPr>
              <w:t>1,09. ».</w:t>
            </w:r>
          </w:p>
        </w:tc>
      </w:tr>
    </w:tbl>
    <w:p w:rsidR="00995E6A" w:rsidRPr="00B67112" w:rsidRDefault="001F603A" w:rsidP="00995E6A">
      <w:pPr>
        <w:pStyle w:val="SingleTxtG"/>
        <w:ind w:left="2268" w:hanging="1134"/>
        <w:rPr>
          <w:rFonts w:eastAsia="Calibri"/>
        </w:rPr>
      </w:pPr>
      <w:r>
        <w:rPr>
          <w:rFonts w:eastAsia="Calibri"/>
          <w:i/>
        </w:rPr>
        <w:t>Paragraphe </w:t>
      </w:r>
      <w:r w:rsidR="00995E6A" w:rsidRPr="00B67112">
        <w:rPr>
          <w:rFonts w:eastAsia="Calibri"/>
          <w:i/>
        </w:rPr>
        <w:t>6.1.5.4</w:t>
      </w:r>
      <w:r w:rsidR="00995E6A" w:rsidRPr="00B67112">
        <w:rPr>
          <w:rFonts w:eastAsia="Calibri"/>
        </w:rPr>
        <w:t>,</w:t>
      </w:r>
      <w:r w:rsidR="00995E6A" w:rsidRPr="00B67112">
        <w:rPr>
          <w:rFonts w:eastAsia="Calibri"/>
          <w:i/>
        </w:rPr>
        <w:t xml:space="preserve"> </w:t>
      </w:r>
      <w:r w:rsidR="00995E6A" w:rsidRPr="00B67112">
        <w:rPr>
          <w:rFonts w:eastAsia="Calibri"/>
        </w:rPr>
        <w:t>lire</w:t>
      </w:r>
      <w:r w:rsidR="00995E6A">
        <w:rPr>
          <w:rFonts w:eastAsia="Calibri"/>
        </w:rPr>
        <w:t> :</w:t>
      </w:r>
    </w:p>
    <w:p w:rsidR="00995E6A" w:rsidRPr="00B67112" w:rsidRDefault="00995E6A" w:rsidP="00995E6A">
      <w:pPr>
        <w:pStyle w:val="SingleTxtG"/>
        <w:ind w:left="2268" w:hanging="1134"/>
      </w:pPr>
      <w:r w:rsidRPr="00B67112">
        <w:t>« 6.1.5.4</w:t>
      </w:r>
      <w:r w:rsidRPr="00B67112">
        <w:tab/>
        <w:t>Pour les pneumatiques neige, le diamètre extérieur ne doit pas dépasser la valeur suivante</w:t>
      </w:r>
      <w:r w:rsidR="00697EEE">
        <w:t> :</w:t>
      </w:r>
    </w:p>
    <w:p w:rsidR="00995E6A" w:rsidRPr="00B67112" w:rsidRDefault="00995E6A" w:rsidP="00995E6A">
      <w:pPr>
        <w:pStyle w:val="SingleTxtG"/>
        <w:ind w:left="2268"/>
        <w:rPr>
          <w:rFonts w:eastAsia="Calibri"/>
          <w:w w:val="103"/>
        </w:rPr>
      </w:pPr>
      <w:r w:rsidRPr="00B67112">
        <w:rPr>
          <w:rFonts w:eastAsia="Calibri"/>
          <w:w w:val="103"/>
        </w:rPr>
        <w:tab/>
        <w:t>D</w:t>
      </w:r>
      <w:r w:rsidRPr="00B67112">
        <w:rPr>
          <w:rFonts w:eastAsia="Calibri"/>
          <w:w w:val="103"/>
          <w:vertAlign w:val="subscript"/>
        </w:rPr>
        <w:t>max,snow</w:t>
      </w:r>
      <w:r w:rsidR="00C409EA">
        <w:rPr>
          <w:rFonts w:eastAsia="Calibri"/>
          <w:w w:val="103"/>
        </w:rPr>
        <w:t> = </w:t>
      </w:r>
      <w:r w:rsidRPr="00B67112">
        <w:rPr>
          <w:rFonts w:eastAsia="Calibri"/>
          <w:w w:val="103"/>
        </w:rPr>
        <w:t>1,01</w:t>
      </w:r>
      <w:r w:rsidR="00C409EA">
        <w:rPr>
          <w:rFonts w:eastAsia="Calibri"/>
          <w:w w:val="103"/>
        </w:rPr>
        <w:t> </w:t>
      </w:r>
      <w:r w:rsidRPr="00465347">
        <w:rPr>
          <w:sz w:val="16"/>
          <w:szCs w:val="16"/>
        </w:rPr>
        <w:t>•</w:t>
      </w:r>
      <w:r w:rsidR="00C409EA">
        <w:rPr>
          <w:rFonts w:eastAsia="Calibri"/>
          <w:w w:val="103"/>
        </w:rPr>
        <w:t> </w:t>
      </w:r>
      <w:r w:rsidRPr="00B67112">
        <w:rPr>
          <w:rFonts w:eastAsia="Calibri"/>
          <w:w w:val="103"/>
        </w:rPr>
        <w:t>D</w:t>
      </w:r>
      <w:r w:rsidRPr="00B67112">
        <w:rPr>
          <w:rFonts w:eastAsia="Calibri"/>
          <w:w w:val="103"/>
          <w:vertAlign w:val="subscript"/>
        </w:rPr>
        <w:t>max</w:t>
      </w:r>
      <w:r w:rsidRPr="00B67112">
        <w:rPr>
          <w:rFonts w:eastAsia="Calibri"/>
          <w:w w:val="103"/>
        </w:rPr>
        <w:tab/>
      </w:r>
      <w:r w:rsidRPr="00B67112">
        <w:rPr>
          <w:rFonts w:eastAsia="Calibri"/>
          <w:w w:val="103"/>
        </w:rPr>
        <w:tab/>
        <w:t>arrondie au millimètre le plus proche</w:t>
      </w:r>
    </w:p>
    <w:p w:rsidR="00995E6A" w:rsidRPr="00B67112" w:rsidRDefault="00995E6A" w:rsidP="00995E6A">
      <w:pPr>
        <w:pStyle w:val="SingleTxtG"/>
        <w:ind w:left="2268"/>
      </w:pPr>
      <w:r w:rsidRPr="00B67112">
        <w:tab/>
        <w:t>où D</w:t>
      </w:r>
      <w:r w:rsidRPr="00B67112">
        <w:rPr>
          <w:vertAlign w:val="subscript"/>
        </w:rPr>
        <w:t>max</w:t>
      </w:r>
      <w:r w:rsidRPr="00B67112">
        <w:t xml:space="preserve"> est le diamètre extérieur maximal déterminé conformément aux dispositions ci</w:t>
      </w:r>
      <w:r w:rsidR="00C409EA">
        <w:noBreakHyphen/>
      </w:r>
      <w:r w:rsidRPr="00B67112">
        <w:t>dessus. ».</w:t>
      </w:r>
    </w:p>
    <w:p w:rsidR="00995E6A" w:rsidRPr="00B67112" w:rsidRDefault="00B21F2D" w:rsidP="00995E6A">
      <w:pPr>
        <w:keepNext/>
        <w:spacing w:after="120" w:line="240" w:lineRule="auto"/>
        <w:ind w:left="1134" w:right="993"/>
        <w:jc w:val="both"/>
        <w:rPr>
          <w:rFonts w:eastAsia="Calibri"/>
          <w:szCs w:val="24"/>
        </w:rPr>
      </w:pPr>
      <w:r>
        <w:rPr>
          <w:rFonts w:eastAsia="Calibri"/>
          <w:i/>
          <w:szCs w:val="24"/>
        </w:rPr>
        <w:t>Paragraphe </w:t>
      </w:r>
      <w:r w:rsidR="00995E6A" w:rsidRPr="00B67112">
        <w:rPr>
          <w:rFonts w:eastAsia="Calibri"/>
          <w:i/>
          <w:szCs w:val="24"/>
        </w:rPr>
        <w:t>6.2.1.1</w:t>
      </w:r>
      <w:r w:rsidR="00995E6A" w:rsidRPr="00B67112">
        <w:rPr>
          <w:rFonts w:eastAsia="Calibri"/>
          <w:szCs w:val="24"/>
        </w:rPr>
        <w:t>,</w:t>
      </w:r>
      <w:r w:rsidR="00995E6A" w:rsidRPr="00B67112">
        <w:rPr>
          <w:rFonts w:eastAsia="Calibri"/>
          <w:i/>
          <w:szCs w:val="24"/>
        </w:rPr>
        <w:t xml:space="preserve"> </w:t>
      </w:r>
      <w:r w:rsidR="00995E6A" w:rsidRPr="00B67112">
        <w:rPr>
          <w:rFonts w:eastAsia="Calibri"/>
          <w:szCs w:val="24"/>
        </w:rPr>
        <w:t>lire</w:t>
      </w:r>
      <w:r w:rsidR="00995E6A">
        <w:rPr>
          <w:rFonts w:eastAsia="Calibri"/>
          <w:szCs w:val="24"/>
        </w:rPr>
        <w:t> :</w:t>
      </w:r>
    </w:p>
    <w:p w:rsidR="00995E6A" w:rsidRPr="00B67112" w:rsidRDefault="00995E6A" w:rsidP="00995E6A">
      <w:pPr>
        <w:pStyle w:val="SingleTxtG"/>
        <w:keepLines/>
        <w:spacing w:after="100"/>
        <w:ind w:left="2268" w:hanging="1134"/>
      </w:pPr>
      <w:r w:rsidRPr="00B67112">
        <w:t>« 6.2.1.1</w:t>
      </w:r>
      <w:r w:rsidRPr="00B67112">
        <w:tab/>
        <w:t>Lorsque la demande d’homologation concerne des pneumatiques comportant les lettres “ZR” dans la désignation des dimensions et conçus pour des vitesses supérieures à 300 km/h (voir par. 4.1</w:t>
      </w:r>
      <w:r>
        <w:t>.15), l’essai charge/vitesse ci</w:t>
      </w:r>
      <w:r>
        <w:noBreakHyphen/>
      </w:r>
      <w:r w:rsidRPr="00B67112">
        <w:t>dessus est effectué sur un seul pneumatique aux conditions correspondant à l’indice de capacité de charge indiquées dessus et au symbole de catégorie de vitesse “Y”. Un autre essai charge/vitesse doit être effectué sur un second échantillon du même type de pneumatique selon la procédure décrite au paragraphe 2.6 de l’annexe 7 correspondant aux conditions de charge et de vitesse définies par le fabricant de pneumatique comme maximales (voir par. 4.1.15 du présent Règlement).</w:t>
      </w:r>
    </w:p>
    <w:p w:rsidR="00995E6A" w:rsidRPr="00B67112" w:rsidRDefault="00995E6A" w:rsidP="00995E6A">
      <w:pPr>
        <w:suppressAutoHyphens w:val="0"/>
        <w:spacing w:after="100" w:line="240" w:lineRule="auto"/>
        <w:ind w:left="2268" w:right="1134"/>
        <w:jc w:val="both"/>
        <w:rPr>
          <w:rFonts w:eastAsia="HGMaruGothicMPRO"/>
          <w:i/>
          <w:szCs w:val="24"/>
        </w:rPr>
      </w:pPr>
      <w:r w:rsidRPr="00B67112">
        <w:rPr>
          <w:rFonts w:eastAsia="Calibri"/>
          <w:szCs w:val="24"/>
        </w:rPr>
        <w:t>Avec l’accord du fabricant, le second essai peut être effectué sur le même échantillon de pneumatique. ».</w:t>
      </w:r>
    </w:p>
    <w:p w:rsidR="00995E6A" w:rsidRPr="00B67112" w:rsidRDefault="00CA49F1" w:rsidP="00995E6A">
      <w:pPr>
        <w:keepNext/>
        <w:suppressAutoHyphens w:val="0"/>
        <w:spacing w:after="100" w:line="240" w:lineRule="auto"/>
        <w:ind w:left="1134" w:right="1134"/>
        <w:jc w:val="both"/>
        <w:rPr>
          <w:rFonts w:eastAsia="HGMaruGothicMPRO"/>
        </w:rPr>
      </w:pPr>
      <w:r>
        <w:rPr>
          <w:rFonts w:eastAsia="HGMaruGothicMPRO"/>
          <w:i/>
        </w:rPr>
        <w:t>Paragraphe </w:t>
      </w:r>
      <w:r w:rsidR="00995E6A" w:rsidRPr="00B67112">
        <w:rPr>
          <w:rFonts w:eastAsia="HGMaruGothicMPRO"/>
          <w:i/>
        </w:rPr>
        <w:t>12</w:t>
      </w:r>
      <w:r w:rsidR="00995E6A" w:rsidRPr="00B67112">
        <w:rPr>
          <w:rFonts w:eastAsia="HGMaruGothicMPRO"/>
        </w:rPr>
        <w:t>, lire</w:t>
      </w:r>
      <w:r w:rsidR="00995E6A">
        <w:rPr>
          <w:rFonts w:eastAsia="HGMaruGothicMPRO"/>
        </w:rPr>
        <w:t> :</w:t>
      </w:r>
    </w:p>
    <w:p w:rsidR="00995E6A" w:rsidRPr="00B67112" w:rsidRDefault="00995E6A" w:rsidP="00995E6A">
      <w:pPr>
        <w:keepNext/>
        <w:keepLines/>
        <w:tabs>
          <w:tab w:val="right" w:pos="851"/>
        </w:tabs>
        <w:spacing w:before="240" w:after="240" w:line="300" w:lineRule="exact"/>
        <w:ind w:left="2268" w:right="1134" w:hanging="1134"/>
        <w:rPr>
          <w:rFonts w:eastAsia="MS Mincho"/>
          <w:b/>
          <w:sz w:val="28"/>
          <w:lang w:eastAsia="fr-FR"/>
        </w:rPr>
      </w:pPr>
      <w:r w:rsidRPr="00B67112">
        <w:rPr>
          <w:rFonts w:eastAsia="MS Mincho"/>
          <w:lang w:eastAsia="fr-FR"/>
        </w:rPr>
        <w:t>« </w:t>
      </w:r>
      <w:r w:rsidRPr="00B67112">
        <w:rPr>
          <w:rFonts w:eastAsia="MS Mincho"/>
          <w:b/>
          <w:sz w:val="28"/>
          <w:lang w:eastAsia="fr-FR"/>
        </w:rPr>
        <w:t>12.</w:t>
      </w:r>
      <w:r w:rsidRPr="00B67112">
        <w:rPr>
          <w:rFonts w:eastAsia="MS Mincho"/>
          <w:b/>
          <w:sz w:val="28"/>
          <w:lang w:eastAsia="fr-FR"/>
        </w:rPr>
        <w:tab/>
      </w:r>
      <w:r w:rsidRPr="00B67112">
        <w:rPr>
          <w:rFonts w:eastAsia="Calibri"/>
          <w:b/>
          <w:sz w:val="28"/>
        </w:rPr>
        <w:t>Noms et adresses des services techniques chargés des essais d’homologation et des autorités d’homologation de type</w:t>
      </w:r>
    </w:p>
    <w:p w:rsidR="00995E6A" w:rsidRPr="00B67112" w:rsidRDefault="00995E6A" w:rsidP="00995E6A">
      <w:pPr>
        <w:pStyle w:val="SingleTxtG"/>
        <w:spacing w:after="100"/>
        <w:ind w:left="2268" w:hanging="1134"/>
      </w:pPr>
      <w:r w:rsidRPr="00B67112">
        <w:t>12.1</w:t>
      </w:r>
      <w:r w:rsidRPr="00B67112">
        <w:tab/>
      </w:r>
      <w:r w:rsidRPr="008005CB">
        <w:rPr>
          <w:spacing w:val="-3"/>
        </w:rPr>
        <w:t>Les Parties à l’Accord de 1958 appliquant le présent Règlement doivent communiquer au Secrétaria</w:t>
      </w:r>
      <w:r w:rsidR="00CA49F1" w:rsidRPr="008005CB">
        <w:rPr>
          <w:spacing w:val="-3"/>
        </w:rPr>
        <w:t>t de l’Organisation des Nations </w:t>
      </w:r>
      <w:r w:rsidRPr="008005CB">
        <w:rPr>
          <w:spacing w:val="-3"/>
        </w:rPr>
        <w:t xml:space="preserve">Unies les noms et adresses des services techniques chargés des essais d’homologation et, le cas échéant, des laboratoires d’essai agréés et des autorités d’homologation de type qui délivrent l’homologation et auxquels doivent être envoyées les fiches </w:t>
      </w:r>
      <w:r w:rsidRPr="008005CB">
        <w:rPr>
          <w:spacing w:val="-3"/>
        </w:rPr>
        <w:lastRenderedPageBreak/>
        <w:t>d’homologation ou d’extension ou de refus ou de retrait d’homologation ou l’arrêt définitif de la production, émises dans d’autres pays.</w:t>
      </w:r>
    </w:p>
    <w:p w:rsidR="00995E6A" w:rsidRPr="00B67112" w:rsidRDefault="00995E6A" w:rsidP="00995E6A">
      <w:pPr>
        <w:pStyle w:val="SingleTxtG"/>
        <w:spacing w:after="100"/>
        <w:ind w:left="2268" w:hanging="1134"/>
      </w:pPr>
      <w:r w:rsidRPr="00B67112">
        <w:t>12.2</w:t>
      </w:r>
      <w:r w:rsidRPr="00B67112">
        <w:tab/>
        <w:t xml:space="preserve">Les Parties à l’Accord de 1958 appliquant le présent Règlement peuvent désigner les laboratoires des fabricants de pneumatiques </w:t>
      </w:r>
      <w:r>
        <w:t>pour jouer le rôle de</w:t>
      </w:r>
      <w:r w:rsidRPr="00B67112">
        <w:t xml:space="preserve"> laboratoires d’essai agréés.</w:t>
      </w:r>
    </w:p>
    <w:p w:rsidR="00995E6A" w:rsidRPr="00B67112" w:rsidRDefault="00995E6A" w:rsidP="00995E6A">
      <w:pPr>
        <w:pStyle w:val="SingleTxtG"/>
        <w:spacing w:after="100"/>
        <w:ind w:left="2268" w:hanging="1134"/>
      </w:pPr>
      <w:r w:rsidRPr="00B67112">
        <w:t>12.3</w:t>
      </w:r>
      <w:r w:rsidRPr="00B67112">
        <w:tab/>
        <w:t>Dans le cas où une Partie à l’Accord de 1958</w:t>
      </w:r>
      <w:r>
        <w:t xml:space="preserve"> applique le paragraphe 12.2 ci</w:t>
      </w:r>
      <w:r>
        <w:noBreakHyphen/>
      </w:r>
      <w:r w:rsidRPr="00B67112">
        <w:t>dessus, elle peut, à son gré, se faire représenter aux essais par une ou plusieurs personnes de son choix. ».</w:t>
      </w:r>
    </w:p>
    <w:p w:rsidR="00995E6A" w:rsidRPr="00B67112" w:rsidRDefault="00CA49F1" w:rsidP="00995E6A">
      <w:pPr>
        <w:keepNext/>
        <w:suppressAutoHyphens w:val="0"/>
        <w:spacing w:after="120" w:line="240" w:lineRule="auto"/>
        <w:ind w:left="1134" w:right="1134"/>
        <w:jc w:val="both"/>
        <w:rPr>
          <w:rFonts w:eastAsia="HGMaruGothicMPRO"/>
        </w:rPr>
      </w:pPr>
      <w:r>
        <w:rPr>
          <w:rFonts w:eastAsia="HGMaruGothicMPRO"/>
          <w:i/>
        </w:rPr>
        <w:t>Annexe </w:t>
      </w:r>
      <w:r w:rsidR="00995E6A" w:rsidRPr="00B67112">
        <w:rPr>
          <w:rFonts w:eastAsia="HGMaruGothicMPRO"/>
          <w:i/>
        </w:rPr>
        <w:t>1</w:t>
      </w:r>
      <w:r w:rsidR="00995E6A" w:rsidRPr="00B67112">
        <w:rPr>
          <w:rFonts w:eastAsia="HGMaruGothicMPRO"/>
        </w:rPr>
        <w:t>, lire :</w:t>
      </w:r>
    </w:p>
    <w:p w:rsidR="00995E6A" w:rsidRDefault="00995E6A" w:rsidP="00995E6A">
      <w:pPr>
        <w:suppressAutoHyphens w:val="0"/>
        <w:spacing w:after="120" w:line="240" w:lineRule="auto"/>
        <w:ind w:left="1134" w:right="1134"/>
        <w:jc w:val="both"/>
        <w:rPr>
          <w:rFonts w:eastAsia="HGMaruGothicMPRO"/>
          <w:b/>
          <w:sz w:val="28"/>
        </w:rPr>
      </w:pPr>
      <w:r w:rsidRPr="00B67112">
        <w:rPr>
          <w:rFonts w:eastAsia="HGMaruGothicMPRO"/>
        </w:rPr>
        <w:t>« </w:t>
      </w:r>
      <w:r w:rsidRPr="00A47634">
        <w:rPr>
          <w:rFonts w:eastAsia="HGMaruGothicMPRO"/>
          <w:b/>
          <w:sz w:val="28"/>
        </w:rPr>
        <w:t>Communication</w:t>
      </w:r>
    </w:p>
    <w:p w:rsidR="00995E6A" w:rsidRPr="000867CA" w:rsidRDefault="00995E6A" w:rsidP="00995E6A">
      <w:pPr>
        <w:pStyle w:val="SingleTxtG"/>
        <w:ind w:left="2268"/>
        <w:rPr>
          <w:rFonts w:eastAsia="HGMaruGothicMPRO"/>
        </w:rPr>
      </w:pPr>
      <w:r>
        <w:rPr>
          <w:rFonts w:eastAsia="HGMaruGothicMPRO"/>
        </w:rPr>
        <w:t>…</w:t>
      </w:r>
    </w:p>
    <w:p w:rsidR="00995E6A" w:rsidRPr="00B67112" w:rsidRDefault="00995E6A" w:rsidP="00995E6A">
      <w:pPr>
        <w:pStyle w:val="SingleTxtG"/>
        <w:ind w:left="2268"/>
        <w:rPr>
          <w:rFonts w:eastAsia="Calibri"/>
          <w:lang w:eastAsia="fr-FR"/>
        </w:rPr>
      </w:pPr>
      <w:r w:rsidRPr="00B67112">
        <w:rPr>
          <w:rFonts w:eastAsia="Calibri"/>
        </w:rPr>
        <w:t>D’un type de pneumatique pour automobiles conformément au Règlement n</w:t>
      </w:r>
      <w:r w:rsidRPr="00B67112">
        <w:rPr>
          <w:rFonts w:eastAsia="Calibri"/>
          <w:vertAlign w:val="superscript"/>
        </w:rPr>
        <w:t>o</w:t>
      </w:r>
      <w:r w:rsidRPr="00B67112">
        <w:rPr>
          <w:rFonts w:eastAsia="Calibri"/>
        </w:rPr>
        <w:t> 30</w:t>
      </w:r>
      <w:r>
        <w:rPr>
          <w:rFonts w:eastAsia="Calibri"/>
        </w:rPr>
        <w:t>.</w:t>
      </w:r>
      <w:r w:rsidRPr="00B67112">
        <w:rPr>
          <w:rFonts w:eastAsia="Calibri"/>
        </w:rPr>
        <w:t> ».</w:t>
      </w:r>
    </w:p>
    <w:p w:rsidR="00995E6A" w:rsidRPr="00B67112" w:rsidRDefault="00CA49F1" w:rsidP="00995E6A">
      <w:pPr>
        <w:keepNext/>
        <w:spacing w:after="100"/>
        <w:ind w:left="1134" w:right="1134"/>
        <w:jc w:val="both"/>
        <w:rPr>
          <w:rFonts w:eastAsia="HGMaruGothicMPRO"/>
        </w:rPr>
      </w:pPr>
      <w:r>
        <w:rPr>
          <w:rFonts w:eastAsia="HGMaruGothicMPRO"/>
          <w:i/>
        </w:rPr>
        <w:t>Point </w:t>
      </w:r>
      <w:r w:rsidR="00995E6A" w:rsidRPr="00B67112">
        <w:rPr>
          <w:rFonts w:eastAsia="HGMaruGothicMPRO"/>
          <w:i/>
        </w:rPr>
        <w:t>1</w:t>
      </w:r>
      <w:r w:rsidR="00995E6A" w:rsidRPr="00B67112">
        <w:rPr>
          <w:rFonts w:eastAsia="HGMaruGothicMPRO"/>
        </w:rPr>
        <w:t>,</w:t>
      </w:r>
      <w:r w:rsidR="00995E6A" w:rsidRPr="00B67112">
        <w:rPr>
          <w:rFonts w:eastAsia="HGMaruGothicMPRO"/>
          <w:i/>
        </w:rPr>
        <w:t xml:space="preserve"> </w:t>
      </w:r>
      <w:r w:rsidR="00995E6A" w:rsidRPr="00B67112">
        <w:rPr>
          <w:rFonts w:eastAsia="HGMaruGothicMPRO"/>
        </w:rPr>
        <w:t>lire</w:t>
      </w:r>
      <w:r w:rsidR="00995E6A">
        <w:rPr>
          <w:rFonts w:eastAsia="HGMaruGothicMPRO"/>
        </w:rPr>
        <w:t> :</w:t>
      </w:r>
    </w:p>
    <w:p w:rsidR="00995E6A" w:rsidRPr="00B67112" w:rsidRDefault="00995E6A" w:rsidP="00995E6A">
      <w:pPr>
        <w:pStyle w:val="SingleTxtG"/>
        <w:tabs>
          <w:tab w:val="left" w:pos="1701"/>
          <w:tab w:val="left" w:leader="dot" w:pos="8222"/>
        </w:tabs>
        <w:spacing w:after="100"/>
        <w:rPr>
          <w:rFonts w:eastAsia="Calibri"/>
          <w:color w:val="000000"/>
          <w:lang w:eastAsia="fr-FR"/>
        </w:rPr>
      </w:pPr>
      <w:r w:rsidRPr="00B67112">
        <w:rPr>
          <w:rFonts w:eastAsia="Calibri"/>
          <w:color w:val="000000"/>
          <w:lang w:eastAsia="fr-FR"/>
        </w:rPr>
        <w:t>« 1.</w:t>
      </w:r>
      <w:r w:rsidRPr="00B67112">
        <w:rPr>
          <w:rFonts w:eastAsia="Calibri"/>
          <w:color w:val="000000"/>
          <w:lang w:eastAsia="fr-FR"/>
        </w:rPr>
        <w:tab/>
        <w:t>Nom et adresse du fabricant</w:t>
      </w:r>
      <w:r>
        <w:rPr>
          <w:rFonts w:eastAsia="Calibri"/>
          <w:color w:val="000000"/>
          <w:lang w:eastAsia="fr-FR"/>
        </w:rPr>
        <w:t xml:space="preserve"> : </w:t>
      </w:r>
      <w:r w:rsidRPr="00B67112">
        <w:rPr>
          <w:rFonts w:eastAsia="Calibri"/>
          <w:color w:val="000000"/>
          <w:lang w:eastAsia="fr-FR"/>
        </w:rPr>
        <w:t>.</w:t>
      </w:r>
      <w:r w:rsidRPr="00B67112">
        <w:rPr>
          <w:rFonts w:eastAsia="Calibri"/>
          <w:color w:val="000000"/>
          <w:lang w:eastAsia="fr-FR"/>
        </w:rPr>
        <w:tab/>
        <w:t> ».</w:t>
      </w:r>
    </w:p>
    <w:p w:rsidR="00995E6A" w:rsidRPr="00B67112" w:rsidRDefault="00CA49F1" w:rsidP="00995E6A">
      <w:pPr>
        <w:spacing w:after="100"/>
        <w:ind w:left="1134" w:right="1134"/>
        <w:jc w:val="both"/>
        <w:rPr>
          <w:rFonts w:eastAsia="HGMaruGothicMPRO"/>
        </w:rPr>
      </w:pPr>
      <w:r>
        <w:rPr>
          <w:rFonts w:eastAsia="HGMaruGothicMPRO"/>
          <w:i/>
        </w:rPr>
        <w:t>Point </w:t>
      </w:r>
      <w:r w:rsidR="00995E6A" w:rsidRPr="00B67112">
        <w:rPr>
          <w:rFonts w:eastAsia="HGMaruGothicMPRO"/>
          <w:i/>
        </w:rPr>
        <w:t>2</w:t>
      </w:r>
      <w:r w:rsidR="00995E6A" w:rsidRPr="00B67112">
        <w:rPr>
          <w:rFonts w:eastAsia="HGMaruGothicMPRO"/>
        </w:rPr>
        <w:t>,</w:t>
      </w:r>
      <w:r w:rsidR="00995E6A" w:rsidRPr="00B67112">
        <w:rPr>
          <w:rFonts w:eastAsia="HGMaruGothicMPRO"/>
          <w:i/>
        </w:rPr>
        <w:t xml:space="preserve"> </w:t>
      </w:r>
      <w:r w:rsidR="00995E6A" w:rsidRPr="00B67112">
        <w:rPr>
          <w:rFonts w:eastAsia="HGMaruGothicMPRO"/>
        </w:rPr>
        <w:t>lire:</w:t>
      </w:r>
    </w:p>
    <w:p w:rsidR="00995E6A" w:rsidRPr="00B67112" w:rsidRDefault="00995E6A" w:rsidP="00995E6A">
      <w:pPr>
        <w:pStyle w:val="SingleTxtG"/>
        <w:tabs>
          <w:tab w:val="left" w:pos="1701"/>
          <w:tab w:val="left" w:leader="dot" w:pos="8505"/>
        </w:tabs>
        <w:spacing w:after="100"/>
        <w:rPr>
          <w:rFonts w:eastAsia="Calibri"/>
          <w:color w:val="000000"/>
          <w:lang w:eastAsia="fr-FR"/>
        </w:rPr>
      </w:pPr>
      <w:r w:rsidRPr="00B67112">
        <w:rPr>
          <w:rFonts w:eastAsia="Calibri"/>
          <w:color w:val="000000"/>
          <w:lang w:eastAsia="fr-FR"/>
        </w:rPr>
        <w:t>« 2.</w:t>
      </w:r>
      <w:r w:rsidRPr="00B67112">
        <w:rPr>
          <w:rFonts w:eastAsia="Calibri"/>
          <w:color w:val="000000"/>
          <w:lang w:eastAsia="fr-FR"/>
        </w:rPr>
        <w:tab/>
      </w:r>
      <w:r w:rsidRPr="00B67112">
        <w:rPr>
          <w:rFonts w:eastAsia="Calibri"/>
        </w:rPr>
        <w:t>Désignation du type de pneumatique</w:t>
      </w:r>
      <w:r w:rsidRPr="006277D9">
        <w:rPr>
          <w:rFonts w:eastAsia="Calibri"/>
          <w:color w:val="000000"/>
          <w:sz w:val="18"/>
          <w:szCs w:val="18"/>
          <w:vertAlign w:val="superscript"/>
          <w:lang w:eastAsia="fr-FR"/>
        </w:rPr>
        <w:t>3</w:t>
      </w:r>
      <w:r w:rsidRPr="00B67112">
        <w:rPr>
          <w:rFonts w:eastAsia="Calibri"/>
          <w:color w:val="000000"/>
          <w:lang w:eastAsia="fr-FR"/>
        </w:rPr>
        <w:t>.</w:t>
      </w:r>
      <w:r w:rsidRPr="00B67112">
        <w:rPr>
          <w:rFonts w:eastAsia="Calibri"/>
          <w:color w:val="000000"/>
          <w:lang w:eastAsia="fr-FR"/>
        </w:rPr>
        <w:tab/>
      </w:r>
    </w:p>
    <w:p w:rsidR="00995E6A" w:rsidRPr="00B67112" w:rsidRDefault="00995E6A" w:rsidP="00995E6A">
      <w:pPr>
        <w:pStyle w:val="SingleTxtG"/>
        <w:tabs>
          <w:tab w:val="left" w:pos="1701"/>
          <w:tab w:val="left" w:leader="dot" w:pos="8505"/>
        </w:tabs>
        <w:spacing w:after="100"/>
        <w:rPr>
          <w:rFonts w:eastAsia="Calibri"/>
          <w:lang w:eastAsia="fr-FR"/>
        </w:rPr>
      </w:pPr>
      <w:r w:rsidRPr="00B67112">
        <w:rPr>
          <w:rFonts w:eastAsia="Calibri"/>
          <w:color w:val="000000"/>
          <w:lang w:eastAsia="fr-FR"/>
        </w:rPr>
        <w:t>2.1</w:t>
      </w:r>
      <w:r w:rsidRPr="00B67112">
        <w:rPr>
          <w:rFonts w:eastAsia="Calibri"/>
          <w:color w:val="000000"/>
          <w:lang w:eastAsia="fr-FR"/>
        </w:rPr>
        <w:tab/>
      </w:r>
      <w:r>
        <w:rPr>
          <w:rFonts w:eastAsia="Calibri"/>
        </w:rPr>
        <w:t>Nom(s) de m</w:t>
      </w:r>
      <w:r w:rsidRPr="00B67112">
        <w:rPr>
          <w:rFonts w:eastAsia="Calibri"/>
        </w:rPr>
        <w:t>arque</w:t>
      </w:r>
      <w:r>
        <w:rPr>
          <w:rFonts w:eastAsia="Calibri"/>
        </w:rPr>
        <w:t xml:space="preserve">/marque(s) </w:t>
      </w:r>
      <w:r w:rsidRPr="00B67112">
        <w:rPr>
          <w:rFonts w:eastAsia="Calibri"/>
        </w:rPr>
        <w:t>de fabrique </w:t>
      </w:r>
      <w:r w:rsidRPr="00B67112">
        <w:rPr>
          <w:rFonts w:eastAsia="Calibri"/>
          <w:lang w:eastAsia="fr-FR"/>
        </w:rPr>
        <w:t xml:space="preserve">: </w:t>
      </w:r>
      <w:r w:rsidRPr="00B67112">
        <w:rPr>
          <w:rFonts w:eastAsia="Calibri"/>
          <w:lang w:eastAsia="fr-FR"/>
        </w:rPr>
        <w:tab/>
      </w:r>
    </w:p>
    <w:p w:rsidR="00995E6A" w:rsidRPr="00B67112" w:rsidRDefault="00995E6A" w:rsidP="00995E6A">
      <w:pPr>
        <w:pStyle w:val="SingleTxtG"/>
        <w:tabs>
          <w:tab w:val="left" w:pos="1701"/>
          <w:tab w:val="left" w:leader="dot" w:pos="8222"/>
        </w:tabs>
        <w:spacing w:after="100"/>
        <w:rPr>
          <w:rFonts w:eastAsia="Calibri"/>
          <w:color w:val="000000"/>
          <w:lang w:eastAsia="fr-FR"/>
        </w:rPr>
      </w:pPr>
      <w:r w:rsidRPr="00B67112">
        <w:rPr>
          <w:rFonts w:eastAsia="Calibri"/>
          <w:color w:val="000000"/>
          <w:lang w:eastAsia="fr-FR"/>
        </w:rPr>
        <w:t>2.2</w:t>
      </w:r>
      <w:r w:rsidRPr="00B67112">
        <w:rPr>
          <w:rFonts w:eastAsia="Calibri"/>
          <w:color w:val="000000"/>
          <w:lang w:eastAsia="fr-FR"/>
        </w:rPr>
        <w:tab/>
      </w:r>
      <w:r w:rsidRPr="00B67112">
        <w:rPr>
          <w:rFonts w:eastAsia="Calibri"/>
        </w:rPr>
        <w:t>Désignation(s) commerciale(s)/Nom(s) commercial/commerciaux </w:t>
      </w:r>
      <w:r w:rsidRPr="00B67112">
        <w:rPr>
          <w:rFonts w:eastAsia="Calibri"/>
          <w:lang w:eastAsia="fr-FR"/>
        </w:rPr>
        <w:t>:</w:t>
      </w:r>
      <w:r w:rsidRPr="00B67112">
        <w:rPr>
          <w:rFonts w:eastAsia="Calibri"/>
          <w:lang w:eastAsia="fr-FR"/>
        </w:rPr>
        <w:tab/>
        <w:t> ».</w:t>
      </w:r>
    </w:p>
    <w:p w:rsidR="00995E6A" w:rsidRPr="00B67112" w:rsidRDefault="00995E6A" w:rsidP="00995E6A">
      <w:pPr>
        <w:pStyle w:val="SingleTxtG"/>
        <w:rPr>
          <w:rFonts w:eastAsia="HGMaruGothicMPRO"/>
        </w:rPr>
      </w:pPr>
      <w:r w:rsidRPr="00B67112">
        <w:rPr>
          <w:rFonts w:eastAsia="Calibri"/>
          <w:i/>
          <w:color w:val="000000"/>
          <w:lang w:eastAsia="fr-FR"/>
        </w:rPr>
        <w:t>Point</w:t>
      </w:r>
      <w:r w:rsidR="00CA49F1">
        <w:rPr>
          <w:rFonts w:eastAsia="HGMaruGothicMPRO"/>
          <w:i/>
        </w:rPr>
        <w:t> </w:t>
      </w:r>
      <w:r w:rsidRPr="00B67112">
        <w:rPr>
          <w:rFonts w:eastAsia="HGMaruGothicMPRO"/>
          <w:i/>
        </w:rPr>
        <w:t>3</w:t>
      </w:r>
      <w:r w:rsidRPr="00B67112">
        <w:rPr>
          <w:rFonts w:eastAsia="HGMaruGothicMPRO"/>
        </w:rPr>
        <w:t>, supprimer.</w:t>
      </w:r>
    </w:p>
    <w:p w:rsidR="00995E6A" w:rsidRPr="00B67112" w:rsidRDefault="00995E6A" w:rsidP="00995E6A">
      <w:pPr>
        <w:pStyle w:val="SingleTxtG"/>
        <w:spacing w:after="110"/>
        <w:rPr>
          <w:rFonts w:eastAsia="HGMaruGothicMPRO"/>
        </w:rPr>
      </w:pPr>
      <w:r w:rsidRPr="00B67112">
        <w:rPr>
          <w:rFonts w:eastAsia="Calibri"/>
          <w:i/>
          <w:color w:val="000000"/>
          <w:lang w:eastAsia="fr-FR"/>
        </w:rPr>
        <w:t>Point</w:t>
      </w:r>
      <w:r w:rsidR="00CA49F1">
        <w:rPr>
          <w:rFonts w:eastAsia="HGMaruGothicMPRO"/>
          <w:i/>
        </w:rPr>
        <w:t> </w:t>
      </w:r>
      <w:r w:rsidRPr="00B67112">
        <w:rPr>
          <w:rFonts w:eastAsia="HGMaruGothicMPRO"/>
          <w:i/>
        </w:rPr>
        <w:t>11</w:t>
      </w:r>
      <w:r w:rsidRPr="00B67112">
        <w:rPr>
          <w:rFonts w:eastAsia="HGMaruGothicMPRO"/>
        </w:rPr>
        <w:t>, supprimer</w:t>
      </w:r>
      <w:r w:rsidRPr="00B67112">
        <w:rPr>
          <w:rFonts w:eastAsia="HGMaruGothicMPRO"/>
          <w:i/>
        </w:rPr>
        <w:t xml:space="preserve">. </w:t>
      </w:r>
    </w:p>
    <w:p w:rsidR="00995E6A" w:rsidRPr="00B67112" w:rsidRDefault="00CA49F1" w:rsidP="00995E6A">
      <w:pPr>
        <w:pStyle w:val="SingleTxtG"/>
        <w:spacing w:after="110"/>
        <w:rPr>
          <w:rFonts w:eastAsia="Calibri"/>
          <w:color w:val="000000"/>
          <w:lang w:eastAsia="fr-FR"/>
        </w:rPr>
      </w:pPr>
      <w:r>
        <w:rPr>
          <w:rFonts w:eastAsia="HGMaruGothicMPRO"/>
          <w:i/>
        </w:rPr>
        <w:t>Les points 4 à 15 deviennent les points </w:t>
      </w:r>
      <w:r w:rsidR="00995E6A" w:rsidRPr="00B67112">
        <w:rPr>
          <w:rFonts w:eastAsia="HGMaruGothicMPRO"/>
          <w:i/>
        </w:rPr>
        <w:t>3 à 13.</w:t>
      </w:r>
    </w:p>
    <w:p w:rsidR="00995E6A" w:rsidRPr="00B67112" w:rsidRDefault="00995E6A" w:rsidP="00CA49F1">
      <w:pPr>
        <w:spacing w:after="110"/>
        <w:ind w:left="1134"/>
        <w:rPr>
          <w:rFonts w:eastAsia="Calibri"/>
        </w:rPr>
      </w:pPr>
      <w:r w:rsidRPr="00B67112">
        <w:rPr>
          <w:rFonts w:eastAsia="Calibri"/>
        </w:rPr>
        <w:t>______________</w:t>
      </w:r>
    </w:p>
    <w:p w:rsidR="00995E6A" w:rsidRPr="00B67112" w:rsidRDefault="00995E6A" w:rsidP="00944CC0">
      <w:pPr>
        <w:pStyle w:val="SingleTxtG"/>
        <w:ind w:left="1304" w:hanging="170"/>
        <w:rPr>
          <w:rFonts w:eastAsia="Calibri"/>
          <w:lang w:eastAsia="fr-FR"/>
        </w:rPr>
      </w:pPr>
      <w:r w:rsidRPr="00CA49F1">
        <w:rPr>
          <w:rFonts w:eastAsia="Calibri"/>
          <w:sz w:val="18"/>
          <w:szCs w:val="18"/>
          <w:vertAlign w:val="superscript"/>
          <w:lang w:eastAsia="fr-FR"/>
        </w:rPr>
        <w:t>3</w:t>
      </w:r>
      <w:r w:rsidR="00CA49F1">
        <w:rPr>
          <w:rFonts w:eastAsia="Calibri"/>
          <w:sz w:val="18"/>
          <w:szCs w:val="18"/>
          <w:vertAlign w:val="superscript"/>
          <w:lang w:eastAsia="fr-FR"/>
        </w:rPr>
        <w:t xml:space="preserve">  </w:t>
      </w:r>
      <w:r w:rsidRPr="00CA49F1">
        <w:rPr>
          <w:rFonts w:eastAsia="Calibri"/>
          <w:sz w:val="18"/>
          <w:szCs w:val="18"/>
          <w:lang w:eastAsia="fr-FR"/>
        </w:rPr>
        <w:t>Une liste des noms de marques/marques de fabrique ou de désignations commerciales/noms commerciaux peut être jointe en annexe à la présente communication</w:t>
      </w:r>
      <w:r w:rsidRPr="00B67112">
        <w:rPr>
          <w:rFonts w:eastAsia="Calibri"/>
          <w:lang w:eastAsia="fr-FR"/>
        </w:rPr>
        <w:t>.</w:t>
      </w:r>
    </w:p>
    <w:p w:rsidR="00995E6A" w:rsidRPr="00B67112" w:rsidRDefault="00CA49F1" w:rsidP="00995E6A">
      <w:pPr>
        <w:pStyle w:val="SingleTxtG"/>
        <w:spacing w:after="110"/>
        <w:rPr>
          <w:rFonts w:eastAsia="Calibri"/>
        </w:rPr>
      </w:pPr>
      <w:r>
        <w:rPr>
          <w:rFonts w:eastAsia="HGMaruGothicMPRO"/>
          <w:i/>
        </w:rPr>
        <w:t>Annexes </w:t>
      </w:r>
      <w:r w:rsidR="00995E6A" w:rsidRPr="00B67112">
        <w:rPr>
          <w:rFonts w:eastAsia="HGMaruGothicMPRO"/>
          <w:i/>
        </w:rPr>
        <w:t>2 et 3</w:t>
      </w:r>
      <w:r w:rsidR="00995E6A" w:rsidRPr="00B67112">
        <w:rPr>
          <w:rFonts w:eastAsia="HGMaruGothicMPRO"/>
        </w:rPr>
        <w:t>, modification sans objet en français.</w:t>
      </w:r>
    </w:p>
    <w:p w:rsidR="00995E6A" w:rsidRPr="00B67112" w:rsidRDefault="00CA49F1" w:rsidP="00995E6A">
      <w:pPr>
        <w:pStyle w:val="SingleTxtG"/>
        <w:spacing w:after="110"/>
      </w:pPr>
      <w:r>
        <w:rPr>
          <w:i/>
        </w:rPr>
        <w:t>Annexe </w:t>
      </w:r>
      <w:r w:rsidR="00995E6A" w:rsidRPr="00653FC6">
        <w:rPr>
          <w:i/>
        </w:rPr>
        <w:t>6</w:t>
      </w:r>
      <w:r w:rsidR="00995E6A" w:rsidRPr="00B67112">
        <w:t>,</w:t>
      </w:r>
    </w:p>
    <w:p w:rsidR="00995E6A" w:rsidRPr="00B67112" w:rsidRDefault="00995E6A" w:rsidP="00995E6A">
      <w:pPr>
        <w:pStyle w:val="SingleTxtG"/>
        <w:spacing w:after="110"/>
      </w:pPr>
      <w:r w:rsidRPr="00653FC6">
        <w:rPr>
          <w:i/>
        </w:rPr>
        <w:t>Titre</w:t>
      </w:r>
      <w:r w:rsidRPr="00B67112">
        <w:t>, modification sans objet en français.</w:t>
      </w:r>
    </w:p>
    <w:p w:rsidR="00995E6A" w:rsidRPr="00B67112" w:rsidRDefault="00BD4AF5" w:rsidP="00995E6A">
      <w:pPr>
        <w:pStyle w:val="SingleTxtG"/>
        <w:spacing w:after="110"/>
      </w:pPr>
      <w:r>
        <w:rPr>
          <w:i/>
        </w:rPr>
        <w:t>Paragraphe </w:t>
      </w:r>
      <w:r w:rsidR="00995E6A" w:rsidRPr="00653FC6">
        <w:rPr>
          <w:i/>
        </w:rPr>
        <w:t>1.2.4</w:t>
      </w:r>
      <w:r w:rsidR="00995E6A">
        <w:t>, lire :</w:t>
      </w:r>
    </w:p>
    <w:p w:rsidR="00995E6A" w:rsidRPr="00B67112" w:rsidRDefault="00995E6A" w:rsidP="00995E6A">
      <w:pPr>
        <w:pStyle w:val="SingleTxtG"/>
        <w:spacing w:after="110"/>
        <w:ind w:left="2268" w:hanging="1134"/>
      </w:pPr>
      <w:r>
        <w:t>« 1.2.4</w:t>
      </w:r>
      <w:r w:rsidRPr="00B67112">
        <w:tab/>
        <w:t>pour les pneumatiques renforcés</w:t>
      </w:r>
      <w:r w:rsidR="00BD4AF5">
        <w:t> : 2,2 </w:t>
      </w:r>
      <w:r>
        <w:t>bar ;</w:t>
      </w:r>
      <w:r w:rsidRPr="00B67112">
        <w:t> ».</w:t>
      </w:r>
    </w:p>
    <w:p w:rsidR="00995E6A" w:rsidRPr="00B67112" w:rsidRDefault="00BD4AF5" w:rsidP="00995E6A">
      <w:pPr>
        <w:spacing w:after="110" w:line="240" w:lineRule="auto"/>
        <w:ind w:left="1134" w:right="993"/>
        <w:jc w:val="both"/>
        <w:rPr>
          <w:rFonts w:eastAsia="Calibri"/>
          <w:i/>
          <w:szCs w:val="24"/>
        </w:rPr>
      </w:pPr>
      <w:r>
        <w:rPr>
          <w:rFonts w:eastAsia="Calibri"/>
          <w:i/>
          <w:szCs w:val="24"/>
        </w:rPr>
        <w:t>Annexe </w:t>
      </w:r>
      <w:r w:rsidR="00995E6A" w:rsidRPr="00B67112">
        <w:rPr>
          <w:rFonts w:eastAsia="Calibri"/>
          <w:i/>
          <w:szCs w:val="24"/>
        </w:rPr>
        <w:t>7</w:t>
      </w:r>
      <w:r w:rsidR="00995E6A" w:rsidRPr="00B67112">
        <w:rPr>
          <w:rFonts w:eastAsia="Calibri"/>
          <w:szCs w:val="24"/>
        </w:rPr>
        <w:t>,</w:t>
      </w:r>
    </w:p>
    <w:p w:rsidR="00995E6A" w:rsidRPr="00B67112" w:rsidRDefault="00BD4AF5" w:rsidP="00995E6A">
      <w:pPr>
        <w:pStyle w:val="SingleTxtG"/>
        <w:spacing w:after="110"/>
        <w:rPr>
          <w:rFonts w:eastAsia="Calibri"/>
        </w:rPr>
      </w:pPr>
      <w:r>
        <w:rPr>
          <w:rFonts w:eastAsia="Calibri"/>
          <w:i/>
        </w:rPr>
        <w:t>Paragraphe </w:t>
      </w:r>
      <w:r w:rsidR="00995E6A" w:rsidRPr="00653FC6">
        <w:rPr>
          <w:rFonts w:eastAsia="Calibri"/>
          <w:i/>
        </w:rPr>
        <w:t>2.2</w:t>
      </w:r>
      <w:r w:rsidR="00995E6A" w:rsidRPr="00B67112">
        <w:rPr>
          <w:rFonts w:eastAsia="Calibri"/>
        </w:rPr>
        <w:t xml:space="preserve">, </w:t>
      </w:r>
      <w:r w:rsidR="00995E6A">
        <w:rPr>
          <w:rFonts w:eastAsia="Calibri"/>
        </w:rPr>
        <w:t>lire :</w:t>
      </w:r>
    </w:p>
    <w:p w:rsidR="00995E6A" w:rsidRPr="00B67112" w:rsidRDefault="00995E6A" w:rsidP="00995E6A">
      <w:pPr>
        <w:pStyle w:val="SingleTxtG"/>
        <w:spacing w:after="110"/>
        <w:ind w:left="2268" w:hanging="1134"/>
      </w:pPr>
      <w:r w:rsidRPr="00B67112">
        <w:t>« 2.2</w:t>
      </w:r>
      <w:r w:rsidRPr="00B67112">
        <w:tab/>
      </w:r>
      <w:r w:rsidRPr="00B67112">
        <w:tab/>
        <w:t>Appliquer à l’essieu d’essai une charge égale à 80 % de :</w:t>
      </w:r>
    </w:p>
    <w:p w:rsidR="00995E6A" w:rsidRPr="00B67112" w:rsidRDefault="00995E6A" w:rsidP="00995E6A">
      <w:pPr>
        <w:pStyle w:val="SingleTxtG"/>
        <w:spacing w:after="110"/>
        <w:ind w:left="2268" w:hanging="1134"/>
      </w:pPr>
      <w:r w:rsidRPr="00B67112">
        <w:t>2.2.1</w:t>
      </w:r>
      <w:r w:rsidRPr="00B67112">
        <w:tab/>
      </w:r>
      <w:r w:rsidRPr="00B67112">
        <w:tab/>
        <w:t>La limite de charge maximale correspondant à l’indice de capacité de charge pour les pneumatiques portant les symboles de vitesse L à H (inclus)</w:t>
      </w:r>
      <w:r>
        <w:t> ;</w:t>
      </w:r>
    </w:p>
    <w:p w:rsidR="00995E6A" w:rsidRPr="00B67112" w:rsidRDefault="00995E6A" w:rsidP="00995E6A">
      <w:pPr>
        <w:pStyle w:val="SingleTxtG"/>
        <w:spacing w:after="110"/>
        <w:ind w:left="2268" w:hanging="1134"/>
      </w:pPr>
      <w:r w:rsidRPr="00B67112">
        <w:t>2.2.2</w:t>
      </w:r>
      <w:r w:rsidRPr="00B67112">
        <w:tab/>
        <w:t>La limite de charge maximale correspondant à une vitesse maximale de 240 km/h pour les pneumatiques portant le symbole de vitesse “V” (voir par.  2.34.2 du présent Règlement)</w:t>
      </w:r>
      <w:r>
        <w:t> ;</w:t>
      </w:r>
    </w:p>
    <w:p w:rsidR="00995E6A" w:rsidRPr="00B67112" w:rsidRDefault="00995E6A" w:rsidP="00995E6A">
      <w:pPr>
        <w:pStyle w:val="SingleTxtG"/>
        <w:spacing w:after="110"/>
        <w:ind w:left="2268" w:hanging="1134"/>
      </w:pPr>
      <w:r w:rsidRPr="00B67112">
        <w:t>2.2.3</w:t>
      </w:r>
      <w:r w:rsidRPr="00B67112">
        <w:tab/>
        <w:t>La limite de charge maximale correspondant à une vitesse maximale de 270 km/h pour les pneumatiques portant le symbole de vitesse “W” (voir par. 2.34.3 du présent Règlement)</w:t>
      </w:r>
      <w:r>
        <w:t> ;</w:t>
      </w:r>
    </w:p>
    <w:p w:rsidR="00995E6A" w:rsidRPr="00B67112" w:rsidRDefault="00995E6A" w:rsidP="00995E6A">
      <w:pPr>
        <w:pStyle w:val="SingleTxtG"/>
        <w:spacing w:after="110"/>
        <w:ind w:left="2268" w:hanging="1134"/>
      </w:pPr>
      <w:r w:rsidRPr="00B67112">
        <w:t>2.2.4</w:t>
      </w:r>
      <w:r w:rsidRPr="00B67112">
        <w:tab/>
        <w:t>La limite de charge maximale correspondant à une vitesse maximale de 300 km/h pour les pneumatiques portant le symbole de vitesse “Y” (voir par. 2.34.4 du présent Règlement). ».</w:t>
      </w:r>
    </w:p>
    <w:p w:rsidR="00995E6A" w:rsidRPr="00B67112" w:rsidRDefault="00A35E34" w:rsidP="00995E6A">
      <w:pPr>
        <w:pStyle w:val="SingleTxtG"/>
        <w:keepNext/>
        <w:spacing w:after="110"/>
        <w:ind w:left="2268" w:hanging="1134"/>
      </w:pPr>
      <w:r>
        <w:rPr>
          <w:i/>
        </w:rPr>
        <w:lastRenderedPageBreak/>
        <w:t>Paragraphe </w:t>
      </w:r>
      <w:r w:rsidR="00995E6A" w:rsidRPr="00B67112">
        <w:rPr>
          <w:i/>
        </w:rPr>
        <w:t>2.5.2</w:t>
      </w:r>
      <w:r w:rsidR="00995E6A" w:rsidRPr="00B67112">
        <w:t xml:space="preserve">, </w:t>
      </w:r>
      <w:r w:rsidR="00995E6A">
        <w:t>lire :</w:t>
      </w:r>
    </w:p>
    <w:p w:rsidR="00995E6A" w:rsidRPr="00B67112" w:rsidRDefault="00995E6A" w:rsidP="00995E6A">
      <w:pPr>
        <w:pStyle w:val="SingleTxtG"/>
        <w:spacing w:after="110"/>
        <w:ind w:left="2268" w:hanging="1134"/>
      </w:pPr>
      <w:r w:rsidRPr="00AB3FA8">
        <w:t>« 2.5.2</w:t>
      </w:r>
      <w:r w:rsidRPr="00AB3FA8">
        <w:tab/>
      </w:r>
      <w:r w:rsidRPr="0014000C">
        <w:rPr>
          <w:spacing w:val="-1"/>
        </w:rPr>
        <w:t>Vitesse de départ de l’essai : vitesse maximale prévue pour le type de pneumatique (voir par. 2.31.1 du présent Règlement) diminuée de 40 km/h, dans le cas d’un essai sur volant</w:t>
      </w:r>
      <w:r w:rsidR="00BD4AF5">
        <w:rPr>
          <w:spacing w:val="-1"/>
        </w:rPr>
        <w:t xml:space="preserve"> lisse d’un diamètre de 1,70 m </w:t>
      </w:r>
      <w:r w:rsidRPr="0014000C">
        <w:rPr>
          <w:spacing w:val="-1"/>
        </w:rPr>
        <w:sym w:font="Symbol" w:char="F0B1"/>
      </w:r>
      <w:r w:rsidRPr="0014000C">
        <w:rPr>
          <w:spacing w:val="-1"/>
        </w:rPr>
        <w:t> 1 %, ou de 30 km/h dans le cas d’un essai sur volant</w:t>
      </w:r>
      <w:r w:rsidR="00BD4AF5">
        <w:rPr>
          <w:spacing w:val="-1"/>
        </w:rPr>
        <w:t xml:space="preserve"> lisse d’un diamètre de 2 m </w:t>
      </w:r>
      <w:r w:rsidRPr="0014000C">
        <w:rPr>
          <w:spacing w:val="-1"/>
        </w:rPr>
        <w:sym w:font="Symbol" w:char="F0B1"/>
      </w:r>
      <w:r w:rsidR="00BD4AF5">
        <w:rPr>
          <w:spacing w:val="-1"/>
        </w:rPr>
        <w:t> </w:t>
      </w:r>
      <w:r w:rsidRPr="0014000C">
        <w:rPr>
          <w:spacing w:val="-1"/>
        </w:rPr>
        <w:t>1 % ; ».</w:t>
      </w:r>
    </w:p>
    <w:p w:rsidR="00995E6A" w:rsidRPr="00B67112" w:rsidRDefault="00A35E34" w:rsidP="00995E6A">
      <w:pPr>
        <w:pStyle w:val="SingleTxtG"/>
        <w:keepNext/>
        <w:spacing w:after="110"/>
        <w:rPr>
          <w:rFonts w:eastAsia="Calibri"/>
        </w:rPr>
      </w:pPr>
      <w:r>
        <w:rPr>
          <w:rFonts w:eastAsia="Calibri"/>
          <w:i/>
        </w:rPr>
        <w:t>Paragraphe </w:t>
      </w:r>
      <w:r w:rsidR="00995E6A" w:rsidRPr="00AB3FA8">
        <w:rPr>
          <w:rFonts w:eastAsia="Calibri"/>
          <w:i/>
        </w:rPr>
        <w:t>2.6.2</w:t>
      </w:r>
      <w:r w:rsidR="00995E6A" w:rsidRPr="00B67112">
        <w:rPr>
          <w:rFonts w:eastAsia="Calibri"/>
        </w:rPr>
        <w:t xml:space="preserve">, </w:t>
      </w:r>
      <w:r w:rsidR="00995E6A">
        <w:rPr>
          <w:rFonts w:eastAsia="Calibri"/>
        </w:rPr>
        <w:t>lire :</w:t>
      </w:r>
    </w:p>
    <w:p w:rsidR="00995E6A" w:rsidRPr="00A47634" w:rsidRDefault="00995E6A" w:rsidP="00995E6A">
      <w:pPr>
        <w:pStyle w:val="SingleTxtG"/>
        <w:spacing w:after="110"/>
        <w:ind w:left="2268" w:hanging="1134"/>
      </w:pPr>
      <w:r w:rsidRPr="00A47634">
        <w:t>« 2.6.2</w:t>
      </w:r>
      <w:r w:rsidRPr="00A47634">
        <w:tab/>
      </w:r>
      <w:r w:rsidRPr="00A47634">
        <w:tab/>
        <w:t>L’essai doit être effectué en continu dans les conditions suivantes :</w:t>
      </w:r>
    </w:p>
    <w:p w:rsidR="00995E6A" w:rsidRPr="00A47634" w:rsidRDefault="00995E6A" w:rsidP="00995E6A">
      <w:pPr>
        <w:pStyle w:val="SingleTxtG"/>
        <w:spacing w:after="110"/>
        <w:ind w:left="2268" w:hanging="1134"/>
      </w:pPr>
      <w:r w:rsidRPr="00A47634">
        <w:t>2.6.2.1</w:t>
      </w:r>
      <w:r w:rsidRPr="00A47634">
        <w:tab/>
        <w:t>Pour le sec</w:t>
      </w:r>
      <w:r w:rsidR="00B8246C">
        <w:t>ond essai, avec un délai de dix </w:t>
      </w:r>
      <w:r w:rsidRPr="00A47634">
        <w:t>minutes pour passer de la vitesse zéro à la vitesse maximale de l’essai</w:t>
      </w:r>
      <w:r w:rsidR="008518B2">
        <w:t> ;</w:t>
      </w:r>
    </w:p>
    <w:p w:rsidR="00995E6A" w:rsidRPr="00A47634" w:rsidRDefault="00995E6A" w:rsidP="00995E6A">
      <w:pPr>
        <w:pStyle w:val="SingleTxtG"/>
        <w:spacing w:after="110"/>
        <w:ind w:left="2268" w:hanging="1134"/>
      </w:pPr>
      <w:r w:rsidRPr="00A47634">
        <w:t>2.6.2.2</w:t>
      </w:r>
      <w:r w:rsidRPr="00A47634">
        <w:tab/>
        <w:t>Pour le secon</w:t>
      </w:r>
      <w:r w:rsidR="00B8246C">
        <w:t>d essai, avec une durée de cinq </w:t>
      </w:r>
      <w:r w:rsidRPr="00A47634">
        <w:t>minutes à la vitesse d’essai maximale</w:t>
      </w:r>
      <w:r w:rsidR="008518B2">
        <w:t> ;</w:t>
      </w:r>
    </w:p>
    <w:p w:rsidR="00995E6A" w:rsidRPr="00A47634" w:rsidRDefault="00995E6A" w:rsidP="00995E6A">
      <w:pPr>
        <w:pStyle w:val="SingleTxtG"/>
        <w:spacing w:after="110"/>
        <w:ind w:left="2268" w:hanging="1134"/>
      </w:pPr>
      <w:r w:rsidRPr="00A47634">
        <w:t>2.6.2.3</w:t>
      </w:r>
      <w:r w:rsidRPr="00A47634">
        <w:tab/>
        <w:t xml:space="preserve">Vitesse maximale pour le second essai : égale à la vitesse maximale </w:t>
      </w:r>
      <w:r>
        <w:t>fixée</w:t>
      </w:r>
      <w:r w:rsidRPr="00A47634">
        <w:t xml:space="preserve"> par le fabricant du pneumatique (voir par. 4.1.15 du présent Règlement), diminuée de 10 km/h dans le cas d’un essai sur </w:t>
      </w:r>
      <w:r>
        <w:t>volant</w:t>
      </w:r>
      <w:r w:rsidR="006708D8">
        <w:t xml:space="preserve"> lisse d’un diamètre de 1,7 m </w:t>
      </w:r>
      <w:r w:rsidRPr="00A47634">
        <w:sym w:font="Symbol" w:char="F0B1"/>
      </w:r>
      <w:r w:rsidR="006708D8">
        <w:t> </w:t>
      </w:r>
      <w:r w:rsidRPr="00A47634">
        <w:t xml:space="preserve">1 %, ou égale à la vitesse maximale </w:t>
      </w:r>
      <w:r>
        <w:t>fixée</w:t>
      </w:r>
      <w:r w:rsidRPr="00A47634">
        <w:t xml:space="preserve"> par le fabricant du pneumatique dans le cas d’un vo</w:t>
      </w:r>
      <w:r w:rsidR="006708D8">
        <w:t>lant lisse d’un diamètre de 2 m </w:t>
      </w:r>
      <w:r w:rsidRPr="00A47634">
        <w:sym w:font="Symbol" w:char="F0B1"/>
      </w:r>
      <w:r w:rsidRPr="00A47634">
        <w:t> 1 %. ».</w:t>
      </w:r>
    </w:p>
    <w:p w:rsidR="00995E6A" w:rsidRPr="00A47634" w:rsidRDefault="00A35E34" w:rsidP="00995E6A">
      <w:pPr>
        <w:pStyle w:val="SingleTxtG"/>
        <w:spacing w:after="110"/>
        <w:rPr>
          <w:rFonts w:eastAsia="Calibri"/>
        </w:rPr>
      </w:pPr>
      <w:r>
        <w:rPr>
          <w:rFonts w:eastAsia="Calibri"/>
          <w:i/>
        </w:rPr>
        <w:t>Paragraphe </w:t>
      </w:r>
      <w:r w:rsidR="00995E6A" w:rsidRPr="00A47634">
        <w:rPr>
          <w:rFonts w:eastAsia="Calibri"/>
          <w:i/>
        </w:rPr>
        <w:t>3</w:t>
      </w:r>
      <w:r w:rsidR="00995E6A" w:rsidRPr="00A47634">
        <w:rPr>
          <w:rFonts w:eastAsia="Calibri"/>
        </w:rPr>
        <w:t>,</w:t>
      </w:r>
      <w:r w:rsidR="00995E6A" w:rsidRPr="00A47634">
        <w:rPr>
          <w:rFonts w:eastAsia="Calibri"/>
          <w:i/>
        </w:rPr>
        <w:t xml:space="preserve"> </w:t>
      </w:r>
      <w:r w:rsidR="00995E6A" w:rsidRPr="00A47634">
        <w:rPr>
          <w:rFonts w:eastAsia="Calibri"/>
        </w:rPr>
        <w:t>modification sans objet en français.</w:t>
      </w:r>
    </w:p>
    <w:p w:rsidR="00995E6A" w:rsidRPr="00995E6A" w:rsidRDefault="00995E6A" w:rsidP="00995E6A">
      <w:pPr>
        <w:pStyle w:val="SingleTxtG"/>
        <w:spacing w:before="240" w:after="0"/>
        <w:jc w:val="center"/>
        <w:rPr>
          <w:rFonts w:eastAsia="Calibri"/>
          <w:u w:val="single"/>
        </w:rPr>
      </w:pPr>
      <w:r>
        <w:rPr>
          <w:rFonts w:eastAsia="Calibri"/>
          <w:u w:val="single"/>
        </w:rPr>
        <w:tab/>
      </w:r>
      <w:r>
        <w:rPr>
          <w:rFonts w:eastAsia="Calibri"/>
          <w:u w:val="single"/>
        </w:rPr>
        <w:tab/>
      </w:r>
      <w:r>
        <w:rPr>
          <w:rFonts w:eastAsia="Calibri"/>
          <w:u w:val="single"/>
        </w:rPr>
        <w:tab/>
      </w:r>
    </w:p>
    <w:sectPr w:rsidR="00995E6A" w:rsidRPr="00995E6A" w:rsidSect="00596E85">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981" w:rsidRDefault="00B27981" w:rsidP="00F95C08">
      <w:pPr>
        <w:spacing w:line="240" w:lineRule="auto"/>
      </w:pPr>
    </w:p>
  </w:endnote>
  <w:endnote w:type="continuationSeparator" w:id="0">
    <w:p w:rsidR="00B27981" w:rsidRPr="00AC3823" w:rsidRDefault="00B27981" w:rsidP="00AC3823">
      <w:pPr>
        <w:pStyle w:val="Footer"/>
      </w:pPr>
    </w:p>
  </w:endnote>
  <w:endnote w:type="continuationNotice" w:id="1">
    <w:p w:rsidR="00B27981" w:rsidRDefault="00B279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MaruGothicMPRO">
    <w:altName w:val="MS Gothic"/>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E85" w:rsidRPr="00596E85" w:rsidRDefault="00596E85" w:rsidP="00596E85">
    <w:pPr>
      <w:pStyle w:val="Footer"/>
      <w:tabs>
        <w:tab w:val="right" w:pos="9638"/>
      </w:tabs>
    </w:pPr>
    <w:r w:rsidRPr="00596E85">
      <w:rPr>
        <w:b/>
        <w:sz w:val="18"/>
      </w:rPr>
      <w:fldChar w:fldCharType="begin"/>
    </w:r>
    <w:r w:rsidRPr="00596E85">
      <w:rPr>
        <w:b/>
        <w:sz w:val="18"/>
      </w:rPr>
      <w:instrText xml:space="preserve"> PAGE  \* MERGEFORMAT </w:instrText>
    </w:r>
    <w:r w:rsidRPr="00596E85">
      <w:rPr>
        <w:b/>
        <w:sz w:val="18"/>
      </w:rPr>
      <w:fldChar w:fldCharType="separate"/>
    </w:r>
    <w:r w:rsidR="002C0ADD">
      <w:rPr>
        <w:b/>
        <w:noProof/>
        <w:sz w:val="18"/>
      </w:rPr>
      <w:t>2</w:t>
    </w:r>
    <w:r w:rsidRPr="00596E85">
      <w:rPr>
        <w:b/>
        <w:sz w:val="18"/>
      </w:rPr>
      <w:fldChar w:fldCharType="end"/>
    </w:r>
    <w:r>
      <w:rPr>
        <w:b/>
        <w:sz w:val="18"/>
      </w:rPr>
      <w:tab/>
    </w:r>
    <w:r>
      <w:t>GE.17-01778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E85" w:rsidRPr="00596E85" w:rsidRDefault="00596E85" w:rsidP="00596E85">
    <w:pPr>
      <w:pStyle w:val="Footer"/>
      <w:tabs>
        <w:tab w:val="right" w:pos="9638"/>
      </w:tabs>
      <w:rPr>
        <w:b/>
        <w:sz w:val="18"/>
      </w:rPr>
    </w:pPr>
    <w:r>
      <w:t>GE.17-01778</w:t>
    </w:r>
    <w:r>
      <w:tab/>
    </w:r>
    <w:r w:rsidRPr="00596E85">
      <w:rPr>
        <w:b/>
        <w:sz w:val="18"/>
      </w:rPr>
      <w:fldChar w:fldCharType="begin"/>
    </w:r>
    <w:r w:rsidRPr="00596E85">
      <w:rPr>
        <w:b/>
        <w:sz w:val="18"/>
      </w:rPr>
      <w:instrText xml:space="preserve"> PAGE  \* MERGEFORMAT </w:instrText>
    </w:r>
    <w:r w:rsidRPr="00596E85">
      <w:rPr>
        <w:b/>
        <w:sz w:val="18"/>
      </w:rPr>
      <w:fldChar w:fldCharType="separate"/>
    </w:r>
    <w:r w:rsidR="002C0ADD">
      <w:rPr>
        <w:b/>
        <w:noProof/>
        <w:sz w:val="18"/>
      </w:rPr>
      <w:t>7</w:t>
    </w:r>
    <w:r w:rsidRPr="00596E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07D" w:rsidRPr="00E9507D" w:rsidRDefault="002E469C">
    <w:pPr>
      <w:pStyle w:val="Footer"/>
      <w:rPr>
        <w:rFonts w:ascii="C39T30Lfz" w:hAnsi="C39T30Lfz"/>
        <w:sz w:val="56"/>
      </w:rPr>
    </w:pPr>
    <w:r>
      <w:rPr>
        <w:rFonts w:ascii="C39T30Lfz" w:hAnsi="C39T30Lfz"/>
        <w:noProof/>
        <w:sz w:val="56"/>
        <w:lang w:eastAsia="fr-CH"/>
      </w:rPr>
      <w:drawing>
        <wp:anchor distT="0" distB="0" distL="114300" distR="114300" simplePos="0" relativeHeight="251657216" behindDoc="0" locked="0" layoutInCell="1" allowOverlap="1">
          <wp:simplePos x="0" y="0"/>
          <wp:positionH relativeFrom="column">
            <wp:posOffset>5454081</wp:posOffset>
          </wp:positionH>
          <wp:positionV relativeFrom="paragraph">
            <wp:posOffset>-152210</wp:posOffset>
          </wp:positionV>
          <wp:extent cx="638175" cy="638175"/>
          <wp:effectExtent l="0" t="0" r="9525" b="9525"/>
          <wp:wrapNone/>
          <wp:docPr id="1" name="Image 1" descr="https://undocs.org/m2/QRCode.ashx?DS=E/ECE/324/Rev.1/Add.29/Rev.3/Amend.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29/Rev.3/Amend.4&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67456" behindDoc="0" locked="0" layoutInCell="1" allowOverlap="0" wp14:anchorId="1FB94F0B" wp14:editId="231A0EDF">
          <wp:simplePos x="0" y="0"/>
          <wp:positionH relativeFrom="margin">
            <wp:posOffset>4076922</wp:posOffset>
          </wp:positionH>
          <wp:positionV relativeFrom="margin">
            <wp:posOffset>9166885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07D">
      <w:rPr>
        <w:sz w:val="20"/>
      </w:rPr>
      <w:t>GE.17-01778  (F)    110517    120517</w:t>
    </w:r>
    <w:r w:rsidR="00E9507D">
      <w:br/>
    </w:r>
    <w:r w:rsidR="00E9507D" w:rsidRPr="00E9507D">
      <w:rPr>
        <w:rFonts w:ascii="C39T30Lfz" w:hAnsi="C39T30Lfz"/>
        <w:sz w:val="56"/>
      </w:rPr>
      <w:t></w:t>
    </w:r>
    <w:r w:rsidR="00E9507D" w:rsidRPr="00E9507D">
      <w:rPr>
        <w:rFonts w:ascii="C39T30Lfz" w:hAnsi="C39T30Lfz"/>
        <w:sz w:val="56"/>
      </w:rPr>
      <w:t></w:t>
    </w:r>
    <w:r w:rsidR="00E9507D" w:rsidRPr="00E9507D">
      <w:rPr>
        <w:rFonts w:ascii="C39T30Lfz" w:hAnsi="C39T30Lfz"/>
        <w:sz w:val="56"/>
      </w:rPr>
      <w:t></w:t>
    </w:r>
    <w:r w:rsidR="00E9507D" w:rsidRPr="00E9507D">
      <w:rPr>
        <w:rFonts w:ascii="C39T30Lfz" w:hAnsi="C39T30Lfz"/>
        <w:sz w:val="56"/>
      </w:rPr>
      <w:t></w:t>
    </w:r>
    <w:r w:rsidR="00E9507D" w:rsidRPr="00E9507D">
      <w:rPr>
        <w:rFonts w:ascii="C39T30Lfz" w:hAnsi="C39T30Lfz"/>
        <w:sz w:val="56"/>
      </w:rPr>
      <w:t></w:t>
    </w:r>
    <w:r w:rsidR="00E9507D" w:rsidRPr="00E9507D">
      <w:rPr>
        <w:rFonts w:ascii="C39T30Lfz" w:hAnsi="C39T30Lfz"/>
        <w:sz w:val="56"/>
      </w:rPr>
      <w:t></w:t>
    </w:r>
    <w:r w:rsidR="00E9507D" w:rsidRPr="00E9507D">
      <w:rPr>
        <w:rFonts w:ascii="C39T30Lfz" w:hAnsi="C39T30Lfz"/>
        <w:sz w:val="56"/>
      </w:rPr>
      <w:t></w:t>
    </w:r>
    <w:r w:rsidR="00E9507D" w:rsidRPr="00E9507D">
      <w:rPr>
        <w:rFonts w:ascii="C39T30Lfz" w:hAnsi="C39T30Lfz"/>
        <w:sz w:val="56"/>
      </w:rPr>
      <w:t></w:t>
    </w:r>
    <w:r w:rsidR="00E9507D" w:rsidRPr="00E9507D">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981" w:rsidRPr="00AC3823" w:rsidRDefault="00B27981" w:rsidP="00AC3823">
      <w:pPr>
        <w:pStyle w:val="Footer"/>
        <w:tabs>
          <w:tab w:val="right" w:pos="2155"/>
        </w:tabs>
        <w:spacing w:after="80" w:line="240" w:lineRule="atLeast"/>
        <w:ind w:left="680"/>
        <w:rPr>
          <w:u w:val="single"/>
        </w:rPr>
      </w:pPr>
      <w:r>
        <w:rPr>
          <w:u w:val="single"/>
        </w:rPr>
        <w:tab/>
      </w:r>
    </w:p>
  </w:footnote>
  <w:footnote w:type="continuationSeparator" w:id="0">
    <w:p w:rsidR="00B27981" w:rsidRPr="00AC3823" w:rsidRDefault="00B27981" w:rsidP="00AC3823">
      <w:pPr>
        <w:pStyle w:val="Footer"/>
        <w:tabs>
          <w:tab w:val="right" w:pos="2155"/>
        </w:tabs>
        <w:spacing w:after="80" w:line="240" w:lineRule="atLeast"/>
        <w:ind w:left="680"/>
        <w:rPr>
          <w:u w:val="single"/>
        </w:rPr>
      </w:pPr>
      <w:r>
        <w:rPr>
          <w:u w:val="single"/>
        </w:rPr>
        <w:tab/>
      </w:r>
    </w:p>
  </w:footnote>
  <w:footnote w:type="continuationNotice" w:id="1">
    <w:p w:rsidR="00B27981" w:rsidRPr="00AC3823" w:rsidRDefault="00B27981">
      <w:pPr>
        <w:spacing w:line="240" w:lineRule="auto"/>
        <w:rPr>
          <w:sz w:val="2"/>
          <w:szCs w:val="2"/>
        </w:rPr>
      </w:pPr>
    </w:p>
  </w:footnote>
  <w:footnote w:id="2">
    <w:p w:rsidR="00FE676A" w:rsidRPr="00FE676A" w:rsidRDefault="00FE676A">
      <w:pPr>
        <w:pStyle w:val="FootnoteText"/>
      </w:pPr>
      <w:r>
        <w:rPr>
          <w:rStyle w:val="FootnoteReference"/>
        </w:rPr>
        <w:tab/>
      </w:r>
      <w:r w:rsidRPr="00FE676A">
        <w:rPr>
          <w:rStyle w:val="FootnoteReference"/>
          <w:sz w:val="20"/>
          <w:vertAlign w:val="baseline"/>
        </w:rPr>
        <w:t>*</w:t>
      </w:r>
      <w:r>
        <w:rPr>
          <w:rStyle w:val="FootnoteReference"/>
          <w:sz w:val="20"/>
          <w:vertAlign w:val="baseline"/>
        </w:rPr>
        <w:tab/>
      </w:r>
      <w:r>
        <w:t>Nouveau tirage pour raisons techniques (21 novembre 2017).</w:t>
      </w:r>
    </w:p>
  </w:footnote>
  <w:footnote w:id="3">
    <w:p w:rsidR="005A7429" w:rsidRPr="005A7429" w:rsidRDefault="005A7429">
      <w:pPr>
        <w:pStyle w:val="FootnoteText"/>
      </w:pPr>
      <w:r>
        <w:rPr>
          <w:rStyle w:val="FootnoteReference"/>
        </w:rPr>
        <w:tab/>
      </w:r>
      <w:r w:rsidRPr="005A7429">
        <w:rPr>
          <w:rStyle w:val="FootnoteReference"/>
          <w:sz w:val="20"/>
          <w:vertAlign w:val="baseline"/>
        </w:rPr>
        <w:t>**</w:t>
      </w:r>
      <w:r>
        <w:rPr>
          <w:rStyle w:val="FootnoteReference"/>
          <w:sz w:val="20"/>
          <w:vertAlign w:val="baseline"/>
        </w:rPr>
        <w:tab/>
      </w:r>
      <w:r w:rsidRPr="00EF6062">
        <w:t>Ancien titre de l’Accord : Accord concernant l’adoption de conditions uniformes d’homologation et la reconnaissance réciproque de l’homologation des équipements et pièces de véhicules à moteur, en date, à Genève, du 20 mars 1958.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E85" w:rsidRPr="00FE676A" w:rsidRDefault="00103505">
    <w:pPr>
      <w:pStyle w:val="Header"/>
      <w:rPr>
        <w:lang w:val="en-GB"/>
      </w:rPr>
    </w:pPr>
    <w:r>
      <w:fldChar w:fldCharType="begin"/>
    </w:r>
    <w:r w:rsidRPr="00FE676A">
      <w:rPr>
        <w:lang w:val="en-GB"/>
      </w:rPr>
      <w:instrText xml:space="preserve"> TITLE  \* MERGEFORMAT </w:instrText>
    </w:r>
    <w:r>
      <w:fldChar w:fldCharType="separate"/>
    </w:r>
    <w:r w:rsidR="002A3B5F">
      <w:rPr>
        <w:lang w:val="en-GB"/>
      </w:rPr>
      <w:t>E/ECE/324/Rev.1/Add.29/Rev.3/Amend.4</w:t>
    </w:r>
    <w:r>
      <w:fldChar w:fldCharType="end"/>
    </w:r>
    <w:r w:rsidR="00596E85" w:rsidRPr="00FE676A">
      <w:rPr>
        <w:lang w:val="en-GB"/>
      </w:rPr>
      <w:br/>
    </w:r>
    <w:r>
      <w:fldChar w:fldCharType="begin"/>
    </w:r>
    <w:r w:rsidRPr="00FE676A">
      <w:rPr>
        <w:lang w:val="en-GB"/>
      </w:rPr>
      <w:instrText xml:space="preserve"> KEYWORDS  \* MERGEFORMAT </w:instrText>
    </w:r>
    <w:r>
      <w:fldChar w:fldCharType="separate"/>
    </w:r>
    <w:r w:rsidR="002A3B5F">
      <w:rPr>
        <w:lang w:val="en-GB"/>
      </w:rPr>
      <w:t>E/ECE/TRANS/505/Rev.1/Add.29/Rev.3/Amend.4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E85" w:rsidRPr="00FE676A" w:rsidRDefault="00103505" w:rsidP="00596E85">
    <w:pPr>
      <w:pStyle w:val="Header"/>
      <w:jc w:val="right"/>
      <w:rPr>
        <w:lang w:val="en-GB"/>
      </w:rPr>
    </w:pPr>
    <w:r>
      <w:fldChar w:fldCharType="begin"/>
    </w:r>
    <w:r w:rsidRPr="00FE676A">
      <w:rPr>
        <w:lang w:val="en-GB"/>
      </w:rPr>
      <w:instrText xml:space="preserve"> TITLE  \* MERGEFORMAT </w:instrText>
    </w:r>
    <w:r>
      <w:fldChar w:fldCharType="separate"/>
    </w:r>
    <w:r w:rsidR="002A3B5F">
      <w:rPr>
        <w:lang w:val="en-GB"/>
      </w:rPr>
      <w:t>E/ECE/324/Rev.1/Add.29/Rev.3/Amend.4</w:t>
    </w:r>
    <w:r>
      <w:fldChar w:fldCharType="end"/>
    </w:r>
    <w:r w:rsidR="00596E85" w:rsidRPr="00FE676A">
      <w:rPr>
        <w:lang w:val="en-GB"/>
      </w:rPr>
      <w:br/>
    </w:r>
    <w:r>
      <w:fldChar w:fldCharType="begin"/>
    </w:r>
    <w:r w:rsidRPr="00FE676A">
      <w:rPr>
        <w:lang w:val="en-GB"/>
      </w:rPr>
      <w:instrText xml:space="preserve"> KEYWORDS  \* MERGEFORMAT </w:instrText>
    </w:r>
    <w:r>
      <w:fldChar w:fldCharType="separate"/>
    </w:r>
    <w:r w:rsidR="002A3B5F">
      <w:rPr>
        <w:lang w:val="en-GB"/>
      </w:rPr>
      <w:t>E/ECE/TRANS/505/Rev.1/Add.29/Rev.3/Amend.4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69C" w:rsidRDefault="002E469C" w:rsidP="002E469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20"/>
    <w:rsid w:val="00017F94"/>
    <w:rsid w:val="00023842"/>
    <w:rsid w:val="0002432E"/>
    <w:rsid w:val="000334F9"/>
    <w:rsid w:val="000706C0"/>
    <w:rsid w:val="000776EB"/>
    <w:rsid w:val="000778B1"/>
    <w:rsid w:val="0007796D"/>
    <w:rsid w:val="000B7790"/>
    <w:rsid w:val="00103505"/>
    <w:rsid w:val="00111F2F"/>
    <w:rsid w:val="00114714"/>
    <w:rsid w:val="001162D5"/>
    <w:rsid w:val="0013480A"/>
    <w:rsid w:val="0014365E"/>
    <w:rsid w:val="00176178"/>
    <w:rsid w:val="001D4010"/>
    <w:rsid w:val="001F525A"/>
    <w:rsid w:val="001F603A"/>
    <w:rsid w:val="00203291"/>
    <w:rsid w:val="002039BC"/>
    <w:rsid w:val="00223272"/>
    <w:rsid w:val="002335AC"/>
    <w:rsid w:val="0024779E"/>
    <w:rsid w:val="00262E31"/>
    <w:rsid w:val="00266ACE"/>
    <w:rsid w:val="00272213"/>
    <w:rsid w:val="002832AC"/>
    <w:rsid w:val="00287D5A"/>
    <w:rsid w:val="00294845"/>
    <w:rsid w:val="002A3B5F"/>
    <w:rsid w:val="002C0ADD"/>
    <w:rsid w:val="002C5B13"/>
    <w:rsid w:val="002D7C93"/>
    <w:rsid w:val="002E469C"/>
    <w:rsid w:val="002F4E3B"/>
    <w:rsid w:val="00305261"/>
    <w:rsid w:val="003F3730"/>
    <w:rsid w:val="004419F9"/>
    <w:rsid w:val="00441C3B"/>
    <w:rsid w:val="00446FE5"/>
    <w:rsid w:val="00451398"/>
    <w:rsid w:val="00452396"/>
    <w:rsid w:val="00491AF1"/>
    <w:rsid w:val="004D576E"/>
    <w:rsid w:val="004E468C"/>
    <w:rsid w:val="0054720E"/>
    <w:rsid w:val="005505B7"/>
    <w:rsid w:val="00573BE5"/>
    <w:rsid w:val="00580FFC"/>
    <w:rsid w:val="00586ED3"/>
    <w:rsid w:val="00596AA9"/>
    <w:rsid w:val="00596E85"/>
    <w:rsid w:val="005A7429"/>
    <w:rsid w:val="006277D9"/>
    <w:rsid w:val="00631298"/>
    <w:rsid w:val="006708D8"/>
    <w:rsid w:val="00680FA3"/>
    <w:rsid w:val="006937EC"/>
    <w:rsid w:val="00697EEE"/>
    <w:rsid w:val="006D5E0C"/>
    <w:rsid w:val="00706390"/>
    <w:rsid w:val="0071601D"/>
    <w:rsid w:val="0076507F"/>
    <w:rsid w:val="007952BE"/>
    <w:rsid w:val="007A62E6"/>
    <w:rsid w:val="007C6446"/>
    <w:rsid w:val="007F046C"/>
    <w:rsid w:val="008005CB"/>
    <w:rsid w:val="0080236C"/>
    <w:rsid w:val="0080684C"/>
    <w:rsid w:val="00816BB7"/>
    <w:rsid w:val="00844A00"/>
    <w:rsid w:val="0085109E"/>
    <w:rsid w:val="008518B2"/>
    <w:rsid w:val="00871C75"/>
    <w:rsid w:val="008776DC"/>
    <w:rsid w:val="008779A4"/>
    <w:rsid w:val="00915A64"/>
    <w:rsid w:val="009446C3"/>
    <w:rsid w:val="00944CC0"/>
    <w:rsid w:val="009572FB"/>
    <w:rsid w:val="00967489"/>
    <w:rsid w:val="009705C8"/>
    <w:rsid w:val="00995E6A"/>
    <w:rsid w:val="009C1CF4"/>
    <w:rsid w:val="009D248D"/>
    <w:rsid w:val="00A25D40"/>
    <w:rsid w:val="00A30353"/>
    <w:rsid w:val="00A35E34"/>
    <w:rsid w:val="00A41A0C"/>
    <w:rsid w:val="00A86B9E"/>
    <w:rsid w:val="00AA42FA"/>
    <w:rsid w:val="00AB4D9D"/>
    <w:rsid w:val="00AC3823"/>
    <w:rsid w:val="00AE323C"/>
    <w:rsid w:val="00AE5185"/>
    <w:rsid w:val="00AE7547"/>
    <w:rsid w:val="00AF290F"/>
    <w:rsid w:val="00B00181"/>
    <w:rsid w:val="00B00B0D"/>
    <w:rsid w:val="00B21F2D"/>
    <w:rsid w:val="00B27981"/>
    <w:rsid w:val="00B30032"/>
    <w:rsid w:val="00B40836"/>
    <w:rsid w:val="00B65020"/>
    <w:rsid w:val="00B7346A"/>
    <w:rsid w:val="00B765F7"/>
    <w:rsid w:val="00B8246C"/>
    <w:rsid w:val="00BA0CA9"/>
    <w:rsid w:val="00BD4AF5"/>
    <w:rsid w:val="00BE6314"/>
    <w:rsid w:val="00C02897"/>
    <w:rsid w:val="00C409EA"/>
    <w:rsid w:val="00C54EA8"/>
    <w:rsid w:val="00C65520"/>
    <w:rsid w:val="00CA49F1"/>
    <w:rsid w:val="00CE1709"/>
    <w:rsid w:val="00D24A9E"/>
    <w:rsid w:val="00D3439C"/>
    <w:rsid w:val="00D75300"/>
    <w:rsid w:val="00DA6AB5"/>
    <w:rsid w:val="00DB1831"/>
    <w:rsid w:val="00DD3BFD"/>
    <w:rsid w:val="00DF6678"/>
    <w:rsid w:val="00E62469"/>
    <w:rsid w:val="00E9507D"/>
    <w:rsid w:val="00EE75FD"/>
    <w:rsid w:val="00EF2E22"/>
    <w:rsid w:val="00EF2ED3"/>
    <w:rsid w:val="00F401E7"/>
    <w:rsid w:val="00F660DF"/>
    <w:rsid w:val="00F95C08"/>
    <w:rsid w:val="00FA6147"/>
    <w:rsid w:val="00FE2544"/>
    <w:rsid w:val="00FE676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C303C2D-6BE0-42AE-883E-32429450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AA42FA"/>
    <w:rPr>
      <w:color w:val="0000FF"/>
      <w:u w:val="none"/>
    </w:rPr>
  </w:style>
  <w:style w:type="character" w:styleId="FollowedHyperlink">
    <w:name w:val="FollowedHyperlink"/>
    <w:basedOn w:val="DefaultParagraphFont"/>
    <w:unhideWhenUsed/>
    <w:rsid w:val="00AA42FA"/>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8023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 w:type="character" w:customStyle="1" w:styleId="SingleTxtGChar">
    <w:name w:val="_ Single Txt_G Char"/>
    <w:link w:val="SingleTxtG"/>
    <w:rsid w:val="00596E85"/>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C1BE5-8E24-48A0-BD19-2205DBDC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1776</Words>
  <Characters>10129</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E/ECE/324/Rev.1/Add.29/Rev.3/Amend.4</vt:lpstr>
      <vt:lpstr>E/ECE/324/Rev.1/Add.29/Rev.3/Amend.4</vt:lpstr>
    </vt:vector>
  </TitlesOfParts>
  <Company>DCM</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E/ECE/324/Rev.1/Add.29/Rev.3/Amend.4</dc:title>
  <dc:subject/>
  <dc:creator>DEVOS</dc:creator>
  <cp:keywords>E/ECE/TRANS/505/Rev.1/Add.29/Rev.3/Amend.4</cp:keywords>
  <dc:description/>
  <cp:lastModifiedBy>Benedicte Boudol</cp:lastModifiedBy>
  <cp:revision>2</cp:revision>
  <cp:lastPrinted>2017-11-22T07:38:00Z</cp:lastPrinted>
  <dcterms:created xsi:type="dcterms:W3CDTF">2018-02-06T07:44:00Z</dcterms:created>
  <dcterms:modified xsi:type="dcterms:W3CDTF">2018-02-06T07:44:00Z</dcterms:modified>
</cp:coreProperties>
</file>