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B51F03" w:rsidTr="00457676">
        <w:trPr>
          <w:trHeight w:hRule="exact" w:val="851"/>
        </w:trPr>
        <w:tc>
          <w:tcPr>
            <w:tcW w:w="9639" w:type="dxa"/>
            <w:gridSpan w:val="2"/>
            <w:tcBorders>
              <w:bottom w:val="single" w:sz="4" w:space="0" w:color="auto"/>
            </w:tcBorders>
            <w:shd w:val="clear" w:color="auto" w:fill="auto"/>
            <w:vAlign w:val="bottom"/>
          </w:tcPr>
          <w:p w:rsidR="001155FE" w:rsidRPr="00B51F03" w:rsidRDefault="001155FE" w:rsidP="001155FE">
            <w:pPr>
              <w:jc w:val="right"/>
              <w:rPr>
                <w:lang w:val="en-GB"/>
              </w:rPr>
            </w:pPr>
            <w:bookmarkStart w:id="0" w:name="_GoBack"/>
            <w:bookmarkEnd w:id="0"/>
            <w:r w:rsidRPr="00B51F03">
              <w:rPr>
                <w:sz w:val="40"/>
                <w:lang w:val="en-GB"/>
              </w:rPr>
              <w:t>E</w:t>
            </w:r>
            <w:r w:rsidRPr="00B51F03">
              <w:rPr>
                <w:lang w:val="en-GB"/>
              </w:rPr>
              <w:t>/ECE/324/Rev.1/Add.26/Rev.2−</w:t>
            </w:r>
            <w:r w:rsidRPr="00B51F03">
              <w:rPr>
                <w:sz w:val="40"/>
                <w:lang w:val="en-GB"/>
              </w:rPr>
              <w:t>E</w:t>
            </w:r>
            <w:r w:rsidRPr="00B51F03">
              <w:rPr>
                <w:lang w:val="en-GB"/>
              </w:rPr>
              <w:t>/ECE/TRANS/505/Rev.1/Add.26/Rev.2</w:t>
            </w:r>
          </w:p>
        </w:tc>
      </w:tr>
      <w:tr w:rsidR="00421A10" w:rsidRPr="00AE4213" w:rsidTr="002361F8">
        <w:trPr>
          <w:trHeight w:val="2718"/>
        </w:trPr>
        <w:tc>
          <w:tcPr>
            <w:tcW w:w="6804" w:type="dxa"/>
            <w:tcBorders>
              <w:top w:val="single" w:sz="4" w:space="0" w:color="auto"/>
              <w:bottom w:val="single" w:sz="12" w:space="0" w:color="auto"/>
            </w:tcBorders>
            <w:shd w:val="clear" w:color="auto" w:fill="auto"/>
          </w:tcPr>
          <w:p w:rsidR="00421A10" w:rsidRPr="00B51F03" w:rsidRDefault="00421A10" w:rsidP="00457676">
            <w:pPr>
              <w:spacing w:before="120" w:line="380" w:lineRule="exact"/>
              <w:rPr>
                <w:lang w:val="en-GB"/>
              </w:rPr>
            </w:pPr>
          </w:p>
        </w:tc>
        <w:tc>
          <w:tcPr>
            <w:tcW w:w="2835" w:type="dxa"/>
            <w:tcBorders>
              <w:top w:val="single" w:sz="4" w:space="0" w:color="auto"/>
              <w:bottom w:val="single" w:sz="12" w:space="0" w:color="auto"/>
            </w:tcBorders>
            <w:shd w:val="clear" w:color="auto" w:fill="auto"/>
          </w:tcPr>
          <w:p w:rsidR="00421A10" w:rsidRPr="00AE4213" w:rsidRDefault="001155FE" w:rsidP="00457676">
            <w:pPr>
              <w:spacing w:before="480" w:line="240" w:lineRule="exact"/>
            </w:pPr>
            <w:r w:rsidRPr="00AE4213">
              <w:t>16 octobre 2014</w:t>
            </w:r>
          </w:p>
        </w:tc>
      </w:tr>
    </w:tbl>
    <w:p w:rsidR="00AF5971" w:rsidRPr="00521898" w:rsidRDefault="0029791D" w:rsidP="002361F8">
      <w:pPr>
        <w:pStyle w:val="HChG"/>
        <w:spacing w:before="300"/>
      </w:pPr>
      <w:r>
        <w:tab/>
      </w:r>
      <w:r>
        <w:tab/>
      </w:r>
      <w:r w:rsidR="00AF5971" w:rsidRPr="008B062D">
        <w:rPr>
          <w:lang w:val="fr-FR"/>
        </w:rPr>
        <w:t>Accord</w:t>
      </w:r>
    </w:p>
    <w:p w:rsidR="00AF5971" w:rsidRPr="00521898" w:rsidRDefault="00AF5971" w:rsidP="002361F8">
      <w:pPr>
        <w:pStyle w:val="H1G"/>
        <w:spacing w:before="300"/>
      </w:pPr>
      <w:r w:rsidRPr="008B062D">
        <w:rPr>
          <w:rStyle w:val="H1GChar"/>
          <w:lang w:val="fr-FR"/>
        </w:rPr>
        <w:tab/>
      </w:r>
      <w:r w:rsidRPr="008B062D">
        <w:rPr>
          <w:rStyle w:val="H1GChar"/>
          <w:lang w:val="fr-FR"/>
        </w:rPr>
        <w:tab/>
      </w:r>
      <w:r w:rsidRPr="008B062D">
        <w:rPr>
          <w:rStyle w:val="H1GChar"/>
          <w:b/>
          <w:lang w:val="fr-FR"/>
        </w:rPr>
        <w:t>Concernant l</w:t>
      </w:r>
      <w:r w:rsidR="00971BFE">
        <w:rPr>
          <w:rStyle w:val="H1GChar"/>
          <w:b/>
          <w:lang w:val="fr-FR"/>
        </w:rPr>
        <w:t>’</w:t>
      </w:r>
      <w:r w:rsidRPr="008B062D">
        <w:rPr>
          <w:rStyle w:val="H1GChar"/>
          <w:b/>
          <w:lang w:val="fr-FR"/>
        </w:rPr>
        <w:t>adoption de prescriptions techniques uniformes applicables aux véhicules à roues, aux équipements et aux pièces susceptibles d</w:t>
      </w:r>
      <w:r w:rsidR="00971BFE">
        <w:rPr>
          <w:rStyle w:val="H1GChar"/>
          <w:b/>
          <w:lang w:val="fr-FR"/>
        </w:rPr>
        <w:t>’</w:t>
      </w:r>
      <w:r w:rsidRPr="008B062D">
        <w:rPr>
          <w:rStyle w:val="H1GChar"/>
          <w:b/>
          <w:lang w:val="fr-FR"/>
        </w:rPr>
        <w:t>être montés ou utilisés sur un véhicule à roues et les conditions de reconnaissance réciproque des homologations délivrées conformément à ces prescriptions</w:t>
      </w:r>
      <w:r w:rsidR="00CF15C1" w:rsidRPr="00AB1CBE">
        <w:rPr>
          <w:rStyle w:val="H1GChar"/>
          <w:sz w:val="20"/>
          <w:lang w:val="fr-FR"/>
        </w:rPr>
        <w:t>*</w:t>
      </w:r>
    </w:p>
    <w:p w:rsidR="00AF5971" w:rsidRPr="008B062D" w:rsidRDefault="00AF5971" w:rsidP="00AF5971">
      <w:pPr>
        <w:pStyle w:val="SingleTxtG"/>
        <w:spacing w:before="120"/>
        <w:rPr>
          <w:lang w:val="fr-FR"/>
        </w:rPr>
      </w:pPr>
      <w:r w:rsidRPr="008B062D">
        <w:rPr>
          <w:lang w:val="fr-FR"/>
        </w:rPr>
        <w:t>(Révision 2, comprenant les amendements entrés en vigueur le 16 octobre 1995)</w:t>
      </w:r>
    </w:p>
    <w:p w:rsidR="00AF5971" w:rsidRPr="008B062D" w:rsidRDefault="00AF5971" w:rsidP="00AF5971">
      <w:pPr>
        <w:jc w:val="center"/>
        <w:rPr>
          <w:lang w:val="fr-FR"/>
        </w:rPr>
      </w:pPr>
      <w:r w:rsidRPr="008B062D">
        <w:rPr>
          <w:lang w:val="fr-FR"/>
        </w:rPr>
        <w:t>_________</w:t>
      </w:r>
    </w:p>
    <w:p w:rsidR="00AF5971" w:rsidRPr="008B062D" w:rsidRDefault="00AF5971" w:rsidP="00AF5971">
      <w:pPr>
        <w:pStyle w:val="HChG"/>
        <w:rPr>
          <w:lang w:val="fr-FR" w:eastAsia="en-GB"/>
        </w:rPr>
      </w:pPr>
      <w:r w:rsidRPr="008B062D">
        <w:rPr>
          <w:lang w:val="fr-FR" w:eastAsia="en-GB"/>
        </w:rPr>
        <w:tab/>
      </w:r>
      <w:r w:rsidRPr="008B062D">
        <w:rPr>
          <w:lang w:val="fr-FR" w:eastAsia="en-GB"/>
        </w:rPr>
        <w:tab/>
      </w:r>
      <w:bookmarkStart w:id="1" w:name="_Toc386120400"/>
      <w:r w:rsidRPr="008B062D">
        <w:rPr>
          <w:lang w:val="fr-FR" w:eastAsia="en-GB"/>
        </w:rPr>
        <w:t xml:space="preserve">Additif 26: Règlement </w:t>
      </w:r>
      <w:r w:rsidR="00C4240F" w:rsidRPr="00C4240F">
        <w:rPr>
          <w:rFonts w:eastAsia="MS Mincho"/>
          <w:lang w:val="fr-FR" w:eastAsia="en-GB"/>
        </w:rPr>
        <w:t>n</w:t>
      </w:r>
      <w:r w:rsidR="00C4240F" w:rsidRPr="00C4240F">
        <w:rPr>
          <w:rFonts w:eastAsia="MS Mincho"/>
          <w:vertAlign w:val="superscript"/>
          <w:lang w:val="fr-FR" w:eastAsia="en-GB"/>
        </w:rPr>
        <w:t>o</w:t>
      </w:r>
      <w:r w:rsidR="00C4240F">
        <w:rPr>
          <w:lang w:val="fr-FR" w:eastAsia="en-GB"/>
        </w:rPr>
        <w:t> </w:t>
      </w:r>
      <w:r w:rsidRPr="008B062D">
        <w:rPr>
          <w:lang w:val="fr-FR" w:eastAsia="en-GB"/>
        </w:rPr>
        <w:t>27</w:t>
      </w:r>
      <w:bookmarkEnd w:id="1"/>
    </w:p>
    <w:p w:rsidR="00AF5971" w:rsidRPr="00521898" w:rsidRDefault="00AF5971" w:rsidP="00521898">
      <w:pPr>
        <w:pStyle w:val="HChG"/>
      </w:pPr>
      <w:r w:rsidRPr="008B062D">
        <w:rPr>
          <w:lang w:val="fr-FR" w:eastAsia="en-GB"/>
        </w:rPr>
        <w:tab/>
      </w:r>
      <w:r w:rsidRPr="008B062D">
        <w:rPr>
          <w:lang w:val="fr-FR" w:eastAsia="en-GB"/>
        </w:rPr>
        <w:tab/>
      </w:r>
      <w:bookmarkStart w:id="2" w:name="_Toc386120401"/>
      <w:r w:rsidRPr="008B062D">
        <w:rPr>
          <w:lang w:val="fr-FR" w:eastAsia="en-GB"/>
        </w:rPr>
        <w:t>Révision 2</w:t>
      </w:r>
      <w:bookmarkEnd w:id="2"/>
    </w:p>
    <w:p w:rsidR="00AF5971" w:rsidRPr="008B062D" w:rsidRDefault="00AF5971" w:rsidP="00AF5971">
      <w:pPr>
        <w:pStyle w:val="SingleTxtG"/>
        <w:rPr>
          <w:lang w:val="fr-FR"/>
        </w:rPr>
      </w:pPr>
      <w:r w:rsidRPr="008B062D">
        <w:rPr>
          <w:lang w:val="fr-FR"/>
        </w:rPr>
        <w:t>Comprenant tout le texte valide jusqu</w:t>
      </w:r>
      <w:r w:rsidR="00971BFE">
        <w:rPr>
          <w:lang w:val="fr-FR"/>
        </w:rPr>
        <w:t>’</w:t>
      </w:r>
      <w:r w:rsidRPr="008B062D">
        <w:rPr>
          <w:lang w:val="fr-FR"/>
        </w:rPr>
        <w:t>à:</w:t>
      </w:r>
    </w:p>
    <w:p w:rsidR="00AF5971" w:rsidRPr="008B062D" w:rsidRDefault="00AF5971" w:rsidP="00AF5971">
      <w:pPr>
        <w:ind w:left="567" w:firstLine="567"/>
        <w:rPr>
          <w:lang w:val="fr-FR"/>
        </w:rPr>
      </w:pPr>
      <w:r w:rsidRPr="008B062D">
        <w:rPr>
          <w:lang w:val="fr-FR"/>
        </w:rPr>
        <w:t>Complément 2 à la série 03 d</w:t>
      </w:r>
      <w:r w:rsidR="00971BFE">
        <w:rPr>
          <w:lang w:val="fr-FR"/>
        </w:rPr>
        <w:t>’</w:t>
      </w:r>
      <w:r w:rsidRPr="008B062D">
        <w:rPr>
          <w:lang w:val="fr-FR"/>
        </w:rPr>
        <w:t xml:space="preserve">amendements </w:t>
      </w:r>
      <w:r w:rsidR="00C4240F">
        <w:rPr>
          <w:lang w:val="fr-FR"/>
        </w:rPr>
        <w:t>−</w:t>
      </w:r>
      <w:r w:rsidRPr="008B062D">
        <w:rPr>
          <w:lang w:val="fr-FR"/>
        </w:rPr>
        <w:t xml:space="preserve"> Date d</w:t>
      </w:r>
      <w:r w:rsidR="00971BFE">
        <w:rPr>
          <w:lang w:val="fr-FR"/>
        </w:rPr>
        <w:t>’</w:t>
      </w:r>
      <w:r w:rsidRPr="008B062D">
        <w:rPr>
          <w:lang w:val="fr-FR"/>
        </w:rPr>
        <w:t>entrée en vigueur: 24 octobre 2009</w:t>
      </w:r>
    </w:p>
    <w:p w:rsidR="00AF5971" w:rsidRPr="008B062D" w:rsidRDefault="00AF5971" w:rsidP="00AF5971">
      <w:pPr>
        <w:ind w:left="567" w:firstLine="567"/>
        <w:rPr>
          <w:lang w:val="fr-FR"/>
        </w:rPr>
      </w:pPr>
      <w:r w:rsidRPr="008B062D">
        <w:rPr>
          <w:lang w:val="fr-FR"/>
        </w:rPr>
        <w:t xml:space="preserve">Rectificatif 1 à la Révision 1 du Règlement </w:t>
      </w:r>
      <w:r w:rsidR="00C4240F">
        <w:rPr>
          <w:lang w:val="fr-FR"/>
        </w:rPr>
        <w:t>−</w:t>
      </w:r>
      <w:r w:rsidRPr="008B062D">
        <w:rPr>
          <w:lang w:val="fr-FR"/>
        </w:rPr>
        <w:t xml:space="preserve"> Date d</w:t>
      </w:r>
      <w:r w:rsidR="00971BFE">
        <w:rPr>
          <w:lang w:val="fr-FR"/>
        </w:rPr>
        <w:t>’</w:t>
      </w:r>
      <w:r w:rsidRPr="008B062D">
        <w:rPr>
          <w:lang w:val="fr-FR"/>
        </w:rPr>
        <w:t>entrée en vigueur: 10 mars 2010</w:t>
      </w:r>
    </w:p>
    <w:p w:rsidR="00AF5971" w:rsidRPr="008B062D" w:rsidRDefault="00AF5971" w:rsidP="00AF5971">
      <w:pPr>
        <w:ind w:left="567" w:firstLine="567"/>
        <w:rPr>
          <w:i/>
          <w:lang w:val="fr-FR"/>
        </w:rPr>
      </w:pPr>
      <w:r w:rsidRPr="008B062D">
        <w:rPr>
          <w:lang w:val="fr-FR"/>
        </w:rPr>
        <w:t xml:space="preserve">Erratum à la Révision 1 du Règlement </w:t>
      </w:r>
      <w:r w:rsidRPr="00521898">
        <w:rPr>
          <w:lang w:val="fr-FR"/>
        </w:rPr>
        <w:t>(</w:t>
      </w:r>
      <w:r w:rsidRPr="008B062D">
        <w:rPr>
          <w:i/>
          <w:lang w:val="fr-FR"/>
        </w:rPr>
        <w:t>erratum du secrétariat</w:t>
      </w:r>
      <w:r w:rsidRPr="00521898">
        <w:rPr>
          <w:lang w:val="fr-FR"/>
        </w:rPr>
        <w:t>)</w:t>
      </w:r>
    </w:p>
    <w:p w:rsidR="00AF5971" w:rsidRPr="008B062D" w:rsidRDefault="00AF5971" w:rsidP="00AF5971">
      <w:pPr>
        <w:ind w:left="567" w:firstLine="567"/>
        <w:rPr>
          <w:lang w:val="fr-FR"/>
        </w:rPr>
      </w:pPr>
      <w:r w:rsidRPr="008B062D">
        <w:rPr>
          <w:lang w:val="fr-FR"/>
        </w:rPr>
        <w:t>Série 04 d</w:t>
      </w:r>
      <w:r w:rsidR="00971BFE">
        <w:rPr>
          <w:lang w:val="fr-FR"/>
        </w:rPr>
        <w:t>’</w:t>
      </w:r>
      <w:r w:rsidRPr="008B062D">
        <w:rPr>
          <w:lang w:val="fr-FR"/>
        </w:rPr>
        <w:t xml:space="preserve">amendements au Règlement </w:t>
      </w:r>
      <w:r w:rsidR="00C4240F">
        <w:rPr>
          <w:lang w:val="fr-FR"/>
        </w:rPr>
        <w:t>−</w:t>
      </w:r>
      <w:r w:rsidRPr="008B062D">
        <w:rPr>
          <w:lang w:val="fr-FR"/>
        </w:rPr>
        <w:t xml:space="preserve"> Date d</w:t>
      </w:r>
      <w:r w:rsidR="00971BFE">
        <w:rPr>
          <w:lang w:val="fr-FR"/>
        </w:rPr>
        <w:t>’</w:t>
      </w:r>
      <w:r w:rsidRPr="008B062D">
        <w:rPr>
          <w:lang w:val="fr-FR"/>
        </w:rPr>
        <w:t>entrée en vigueur: 9 octobre 2014</w:t>
      </w:r>
    </w:p>
    <w:p w:rsidR="001155FE" w:rsidRDefault="00AF5971" w:rsidP="002361F8">
      <w:pPr>
        <w:pStyle w:val="H1G"/>
      </w:pPr>
      <w:r w:rsidRPr="008B062D">
        <w:rPr>
          <w:lang w:val="fr-FR"/>
        </w:rPr>
        <w:tab/>
      </w:r>
      <w:r w:rsidRPr="008B062D">
        <w:rPr>
          <w:lang w:val="fr-FR"/>
        </w:rPr>
        <w:tab/>
        <w:t>Prescriptions uniformes relatives à l</w:t>
      </w:r>
      <w:r w:rsidR="00971BFE">
        <w:rPr>
          <w:lang w:val="fr-FR"/>
        </w:rPr>
        <w:t>’</w:t>
      </w:r>
      <w:r w:rsidR="00C4240F">
        <w:rPr>
          <w:lang w:val="fr-FR"/>
        </w:rPr>
        <w:t>homologation des triangles</w:t>
      </w:r>
      <w:r w:rsidR="00C4240F">
        <w:rPr>
          <w:lang w:val="fr-FR"/>
        </w:rPr>
        <w:br/>
      </w:r>
      <w:r w:rsidRPr="008B062D">
        <w:rPr>
          <w:lang w:val="fr-FR"/>
        </w:rPr>
        <w:t>de présignalisation</w:t>
      </w:r>
    </w:p>
    <w:p w:rsidR="002361F8" w:rsidRDefault="002361F8" w:rsidP="005F0207">
      <w:pPr>
        <w:sectPr w:rsidR="002361F8" w:rsidSect="001155FE">
          <w:headerReference w:type="even" r:id="rId8"/>
          <w:headerReference w:type="default" r:id="rId9"/>
          <w:footerReference w:type="even" r:id="rId10"/>
          <w:footerReference w:type="default" r:id="rId11"/>
          <w:headerReference w:type="first" r:id="rId12"/>
          <w:footerReference w:type="first" r:id="rId13"/>
          <w:endnotePr>
            <w:numFmt w:val="decimal"/>
          </w:endnotePr>
          <w:pgSz w:w="11907" w:h="16840" w:code="9"/>
          <w:pgMar w:top="1701" w:right="1134" w:bottom="2268" w:left="1134" w:header="964" w:footer="1701" w:gutter="0"/>
          <w:cols w:space="720"/>
          <w:titlePg/>
          <w:docGrid w:linePitch="272"/>
        </w:sectPr>
      </w:pPr>
    </w:p>
    <w:p w:rsidR="005F0207" w:rsidRDefault="00264CD6" w:rsidP="00264CD6">
      <w:pPr>
        <w:pStyle w:val="HChG"/>
        <w:rPr>
          <w:lang w:val="fr-FR"/>
        </w:rPr>
      </w:pPr>
      <w:r>
        <w:rPr>
          <w:lang w:val="fr-FR"/>
        </w:rPr>
        <w:lastRenderedPageBreak/>
        <w:tab/>
      </w:r>
      <w:r>
        <w:rPr>
          <w:lang w:val="fr-FR"/>
        </w:rPr>
        <w:tab/>
      </w:r>
      <w:r w:rsidRPr="008B062D">
        <w:rPr>
          <w:lang w:val="fr-FR"/>
        </w:rPr>
        <w:t>Prescriptions uniformes relatives à l</w:t>
      </w:r>
      <w:r w:rsidR="00971BFE">
        <w:rPr>
          <w:lang w:val="fr-FR"/>
        </w:rPr>
        <w:t>’</w:t>
      </w:r>
      <w:r>
        <w:rPr>
          <w:lang w:val="fr-FR"/>
        </w:rPr>
        <w:t>homologation</w:t>
      </w:r>
      <w:r>
        <w:rPr>
          <w:lang w:val="fr-FR"/>
        </w:rPr>
        <w:br/>
      </w:r>
      <w:r w:rsidRPr="008B062D">
        <w:rPr>
          <w:lang w:val="fr-FR"/>
        </w:rPr>
        <w:t>des triangles de présignalisation</w:t>
      </w:r>
    </w:p>
    <w:p w:rsidR="00264CD6" w:rsidRPr="00264CD6" w:rsidRDefault="00264CD6" w:rsidP="00264CD6">
      <w:pPr>
        <w:spacing w:after="120"/>
        <w:rPr>
          <w:sz w:val="28"/>
        </w:rPr>
      </w:pPr>
      <w:r w:rsidRPr="00264CD6">
        <w:rPr>
          <w:sz w:val="28"/>
        </w:rPr>
        <w:t>Table des matières</w:t>
      </w:r>
    </w:p>
    <w:p w:rsidR="00264CD6" w:rsidRDefault="00264CD6" w:rsidP="00264CD6">
      <w:pPr>
        <w:tabs>
          <w:tab w:val="right" w:pos="9638"/>
        </w:tabs>
        <w:spacing w:after="120"/>
        <w:ind w:left="283"/>
        <w:rPr>
          <w:i/>
          <w:sz w:val="18"/>
        </w:rPr>
      </w:pPr>
      <w:r w:rsidRPr="00264CD6">
        <w:rPr>
          <w:i/>
          <w:sz w:val="18"/>
        </w:rPr>
        <w:tab/>
        <w:t>Page</w:t>
      </w:r>
    </w:p>
    <w:p w:rsidR="001E5D0C" w:rsidRPr="001E5D0C" w:rsidRDefault="001E5D0C" w:rsidP="001E5D0C">
      <w:pPr>
        <w:tabs>
          <w:tab w:val="right" w:pos="850"/>
        </w:tabs>
        <w:spacing w:after="120"/>
      </w:pPr>
      <w:r>
        <w:tab/>
      </w:r>
      <w:r w:rsidRPr="001E5D0C">
        <w:t>Règlement</w:t>
      </w:r>
    </w:p>
    <w:p w:rsidR="00264CD6" w:rsidRDefault="00264CD6" w:rsidP="00264CD6">
      <w:pPr>
        <w:tabs>
          <w:tab w:val="right" w:pos="850"/>
          <w:tab w:val="right" w:leader="dot" w:pos="8787"/>
          <w:tab w:val="right" w:pos="9638"/>
        </w:tabs>
        <w:spacing w:after="120"/>
        <w:ind w:left="1134" w:hanging="1134"/>
      </w:pPr>
      <w:r>
        <w:tab/>
      </w:r>
      <w:r w:rsidR="009772EB">
        <w:t>1</w:t>
      </w:r>
      <w:r>
        <w:t>.</w:t>
      </w:r>
      <w:r>
        <w:tab/>
      </w:r>
      <w:r w:rsidR="00621535">
        <w:t>Domaine d</w:t>
      </w:r>
      <w:r w:rsidR="00971BFE">
        <w:t>’</w:t>
      </w:r>
      <w:r w:rsidR="00621535">
        <w:t>application</w:t>
      </w:r>
      <w:r>
        <w:tab/>
      </w:r>
      <w:r w:rsidR="009772EB">
        <w:tab/>
      </w:r>
      <w:r w:rsidR="002A58C6">
        <w:t>4</w:t>
      </w:r>
    </w:p>
    <w:p w:rsidR="009772EB" w:rsidRDefault="009772EB" w:rsidP="00264CD6">
      <w:pPr>
        <w:tabs>
          <w:tab w:val="right" w:pos="850"/>
          <w:tab w:val="right" w:leader="dot" w:pos="8787"/>
          <w:tab w:val="right" w:pos="9638"/>
        </w:tabs>
        <w:spacing w:after="120"/>
        <w:ind w:left="1134" w:hanging="1134"/>
      </w:pPr>
      <w:r>
        <w:tab/>
        <w:t>2.</w:t>
      </w:r>
      <w:r>
        <w:tab/>
      </w:r>
      <w:r w:rsidR="00621535">
        <w:t>Définitions</w:t>
      </w:r>
      <w:r>
        <w:tab/>
      </w:r>
      <w:r>
        <w:tab/>
      </w:r>
      <w:r w:rsidR="002A58C6">
        <w:t>4</w:t>
      </w:r>
    </w:p>
    <w:p w:rsidR="009772EB" w:rsidRDefault="009772EB" w:rsidP="00264CD6">
      <w:pPr>
        <w:tabs>
          <w:tab w:val="right" w:pos="850"/>
          <w:tab w:val="right" w:leader="dot" w:pos="8787"/>
          <w:tab w:val="right" w:pos="9638"/>
        </w:tabs>
        <w:spacing w:after="120"/>
        <w:ind w:left="1134" w:hanging="1134"/>
      </w:pPr>
      <w:r>
        <w:tab/>
        <w:t>3.</w:t>
      </w:r>
      <w:r>
        <w:tab/>
      </w:r>
      <w:r w:rsidR="00621535">
        <w:t>Demande d</w:t>
      </w:r>
      <w:r w:rsidR="00971BFE">
        <w:t>’</w:t>
      </w:r>
      <w:r w:rsidR="00621535">
        <w:t>homologation</w:t>
      </w:r>
      <w:r>
        <w:tab/>
      </w:r>
      <w:r>
        <w:tab/>
      </w:r>
      <w:r w:rsidR="002A58C6">
        <w:t>5</w:t>
      </w:r>
    </w:p>
    <w:p w:rsidR="009772EB" w:rsidRDefault="009772EB" w:rsidP="00264CD6">
      <w:pPr>
        <w:tabs>
          <w:tab w:val="right" w:pos="850"/>
          <w:tab w:val="right" w:leader="dot" w:pos="8787"/>
          <w:tab w:val="right" w:pos="9638"/>
        </w:tabs>
        <w:spacing w:after="120"/>
        <w:ind w:left="1134" w:hanging="1134"/>
      </w:pPr>
      <w:r>
        <w:tab/>
        <w:t>4.</w:t>
      </w:r>
      <w:r>
        <w:tab/>
      </w:r>
      <w:r w:rsidR="00621535">
        <w:t>Inscriptions</w:t>
      </w:r>
      <w:r>
        <w:tab/>
      </w:r>
      <w:r>
        <w:tab/>
      </w:r>
      <w:r w:rsidR="002A58C6">
        <w:t>5</w:t>
      </w:r>
    </w:p>
    <w:p w:rsidR="009772EB" w:rsidRDefault="009772EB" w:rsidP="00264CD6">
      <w:pPr>
        <w:tabs>
          <w:tab w:val="right" w:pos="850"/>
          <w:tab w:val="right" w:leader="dot" w:pos="8787"/>
          <w:tab w:val="right" w:pos="9638"/>
        </w:tabs>
        <w:spacing w:after="120"/>
        <w:ind w:left="1134" w:hanging="1134"/>
      </w:pPr>
      <w:r>
        <w:tab/>
        <w:t>5.</w:t>
      </w:r>
      <w:r>
        <w:tab/>
      </w:r>
      <w:r w:rsidR="00621535">
        <w:t>Homologation</w:t>
      </w:r>
      <w:r>
        <w:tab/>
      </w:r>
      <w:r>
        <w:tab/>
      </w:r>
      <w:r w:rsidR="002A58C6">
        <w:t>6</w:t>
      </w:r>
    </w:p>
    <w:p w:rsidR="009772EB" w:rsidRDefault="009772EB" w:rsidP="00264CD6">
      <w:pPr>
        <w:tabs>
          <w:tab w:val="right" w:pos="850"/>
          <w:tab w:val="right" w:leader="dot" w:pos="8787"/>
          <w:tab w:val="right" w:pos="9638"/>
        </w:tabs>
        <w:spacing w:after="120"/>
        <w:ind w:left="1134" w:hanging="1134"/>
      </w:pPr>
      <w:r>
        <w:tab/>
        <w:t>6.</w:t>
      </w:r>
      <w:r>
        <w:tab/>
      </w:r>
      <w:r w:rsidR="00621535">
        <w:t>Spécifications générales</w:t>
      </w:r>
      <w:r>
        <w:tab/>
      </w:r>
      <w:r>
        <w:tab/>
      </w:r>
      <w:r w:rsidR="002A58C6">
        <w:t>6</w:t>
      </w:r>
    </w:p>
    <w:p w:rsidR="009772EB" w:rsidRDefault="009772EB" w:rsidP="00264CD6">
      <w:pPr>
        <w:tabs>
          <w:tab w:val="right" w:pos="850"/>
          <w:tab w:val="right" w:leader="dot" w:pos="8787"/>
          <w:tab w:val="right" w:pos="9638"/>
        </w:tabs>
        <w:spacing w:after="120"/>
        <w:ind w:left="1134" w:hanging="1134"/>
      </w:pPr>
      <w:r>
        <w:tab/>
        <w:t>7.</w:t>
      </w:r>
      <w:r>
        <w:tab/>
      </w:r>
      <w:r w:rsidR="00621535">
        <w:t>Spécifications particulières</w:t>
      </w:r>
      <w:r>
        <w:tab/>
      </w:r>
      <w:r>
        <w:tab/>
      </w:r>
      <w:r w:rsidR="002A58C6">
        <w:t>7</w:t>
      </w:r>
    </w:p>
    <w:p w:rsidR="009772EB" w:rsidRDefault="009772EB" w:rsidP="00264CD6">
      <w:pPr>
        <w:tabs>
          <w:tab w:val="right" w:pos="850"/>
          <w:tab w:val="right" w:leader="dot" w:pos="8787"/>
          <w:tab w:val="right" w:pos="9638"/>
        </w:tabs>
        <w:spacing w:after="120"/>
        <w:ind w:left="1134" w:hanging="1134"/>
      </w:pPr>
      <w:r>
        <w:tab/>
        <w:t>8.</w:t>
      </w:r>
      <w:r>
        <w:tab/>
      </w:r>
      <w:r w:rsidR="00575BFE">
        <w:t>Procédure à suivre pour les essais</w:t>
      </w:r>
      <w:r>
        <w:tab/>
      </w:r>
      <w:r>
        <w:tab/>
      </w:r>
      <w:r w:rsidR="002A58C6">
        <w:t>9</w:t>
      </w:r>
    </w:p>
    <w:p w:rsidR="009772EB" w:rsidRDefault="009772EB" w:rsidP="00264CD6">
      <w:pPr>
        <w:tabs>
          <w:tab w:val="right" w:pos="850"/>
          <w:tab w:val="right" w:leader="dot" w:pos="8787"/>
          <w:tab w:val="right" w:pos="9638"/>
        </w:tabs>
        <w:spacing w:after="120"/>
        <w:ind w:left="1134" w:hanging="1134"/>
      </w:pPr>
      <w:r>
        <w:tab/>
        <w:t>9.</w:t>
      </w:r>
      <w:r>
        <w:tab/>
      </w:r>
      <w:r w:rsidR="00575BFE">
        <w:t>Modifications du type de triangle de présignalisation et extension de l</w:t>
      </w:r>
      <w:r w:rsidR="00971BFE">
        <w:t>’</w:t>
      </w:r>
      <w:r w:rsidR="00575BFE">
        <w:t>homologation</w:t>
      </w:r>
      <w:r>
        <w:tab/>
      </w:r>
      <w:r>
        <w:tab/>
      </w:r>
      <w:r w:rsidR="002A58C6">
        <w:t>10</w:t>
      </w:r>
    </w:p>
    <w:p w:rsidR="009772EB" w:rsidRDefault="009772EB" w:rsidP="00264CD6">
      <w:pPr>
        <w:tabs>
          <w:tab w:val="right" w:pos="850"/>
          <w:tab w:val="right" w:leader="dot" w:pos="8787"/>
          <w:tab w:val="right" w:pos="9638"/>
        </w:tabs>
        <w:spacing w:after="120"/>
        <w:ind w:left="1134" w:hanging="1134"/>
      </w:pPr>
      <w:r>
        <w:tab/>
        <w:t>10.</w:t>
      </w:r>
      <w:r>
        <w:tab/>
      </w:r>
      <w:r w:rsidR="00575BFE">
        <w:t>Conformité de la production</w:t>
      </w:r>
      <w:r>
        <w:tab/>
      </w:r>
      <w:r>
        <w:tab/>
      </w:r>
      <w:r w:rsidR="002A58C6">
        <w:t>10</w:t>
      </w:r>
    </w:p>
    <w:p w:rsidR="009772EB" w:rsidRDefault="009772EB" w:rsidP="00264CD6">
      <w:pPr>
        <w:tabs>
          <w:tab w:val="right" w:pos="850"/>
          <w:tab w:val="right" w:leader="dot" w:pos="8787"/>
          <w:tab w:val="right" w:pos="9638"/>
        </w:tabs>
        <w:spacing w:after="120"/>
        <w:ind w:left="1134" w:hanging="1134"/>
      </w:pPr>
      <w:r>
        <w:tab/>
        <w:t>11.</w:t>
      </w:r>
      <w:r>
        <w:tab/>
      </w:r>
      <w:r w:rsidR="00575BFE">
        <w:t>Sanctions pour non-conformité de la production</w:t>
      </w:r>
      <w:r>
        <w:tab/>
      </w:r>
      <w:r>
        <w:tab/>
      </w:r>
      <w:r w:rsidR="002A58C6">
        <w:t>11</w:t>
      </w:r>
    </w:p>
    <w:p w:rsidR="009772EB" w:rsidRDefault="009772EB" w:rsidP="00264CD6">
      <w:pPr>
        <w:tabs>
          <w:tab w:val="right" w:pos="850"/>
          <w:tab w:val="right" w:leader="dot" w:pos="8787"/>
          <w:tab w:val="right" w:pos="9638"/>
        </w:tabs>
        <w:spacing w:after="120"/>
        <w:ind w:left="1134" w:hanging="1134"/>
      </w:pPr>
      <w:r>
        <w:tab/>
        <w:t>12.</w:t>
      </w:r>
      <w:r>
        <w:tab/>
      </w:r>
      <w:r w:rsidR="00575BFE">
        <w:t>Arrêt définitif de la production</w:t>
      </w:r>
      <w:r>
        <w:tab/>
      </w:r>
      <w:r>
        <w:tab/>
      </w:r>
      <w:r w:rsidR="002A58C6">
        <w:t>11</w:t>
      </w:r>
    </w:p>
    <w:p w:rsidR="009772EB" w:rsidRDefault="009772EB" w:rsidP="00264CD6">
      <w:pPr>
        <w:tabs>
          <w:tab w:val="right" w:pos="850"/>
          <w:tab w:val="right" w:leader="dot" w:pos="8787"/>
          <w:tab w:val="right" w:pos="9638"/>
        </w:tabs>
        <w:spacing w:after="120"/>
        <w:ind w:left="1134" w:hanging="1134"/>
      </w:pPr>
      <w:r>
        <w:tab/>
        <w:t>13.</w:t>
      </w:r>
      <w:r>
        <w:tab/>
      </w:r>
      <w:r w:rsidR="00575BFE">
        <w:t>Noms et adresses des services techniques chargés des essais d</w:t>
      </w:r>
      <w:r w:rsidR="00971BFE">
        <w:t>’</w:t>
      </w:r>
      <w:r w:rsidR="00575BFE">
        <w:t>homologation</w:t>
      </w:r>
      <w:r w:rsidR="00712EE2">
        <w:br/>
        <w:t>et des autorités d</w:t>
      </w:r>
      <w:r w:rsidR="00971BFE">
        <w:t>’</w:t>
      </w:r>
      <w:r w:rsidR="00712EE2">
        <w:t>homologation de type</w:t>
      </w:r>
      <w:r w:rsidR="00575BFE">
        <w:t xml:space="preserve"> </w:t>
      </w:r>
      <w:r>
        <w:tab/>
      </w:r>
      <w:r>
        <w:tab/>
      </w:r>
      <w:r w:rsidR="002A58C6">
        <w:t>11</w:t>
      </w:r>
    </w:p>
    <w:p w:rsidR="009772EB" w:rsidRDefault="009772EB" w:rsidP="00264CD6">
      <w:pPr>
        <w:tabs>
          <w:tab w:val="right" w:pos="850"/>
          <w:tab w:val="right" w:leader="dot" w:pos="8787"/>
          <w:tab w:val="right" w:pos="9638"/>
        </w:tabs>
        <w:spacing w:after="120"/>
        <w:ind w:left="1134" w:hanging="1134"/>
      </w:pPr>
      <w:r>
        <w:tab/>
        <w:t>14.</w:t>
      </w:r>
      <w:r>
        <w:tab/>
      </w:r>
      <w:r w:rsidR="00712EE2">
        <w:t>Dispositions transitoires</w:t>
      </w:r>
      <w:r>
        <w:tab/>
      </w:r>
      <w:r>
        <w:tab/>
      </w:r>
      <w:r w:rsidR="002A58C6">
        <w:t>11</w:t>
      </w:r>
    </w:p>
    <w:p w:rsidR="00264CD6" w:rsidRPr="00264CD6" w:rsidRDefault="00264CD6" w:rsidP="00264CD6">
      <w:pPr>
        <w:tabs>
          <w:tab w:val="right" w:pos="850"/>
        </w:tabs>
        <w:spacing w:after="120"/>
      </w:pPr>
      <w:r>
        <w:tab/>
        <w:t>Annexes</w:t>
      </w:r>
    </w:p>
    <w:p w:rsidR="00264CD6" w:rsidRDefault="00264CD6" w:rsidP="00264CD6">
      <w:pPr>
        <w:tabs>
          <w:tab w:val="right" w:pos="850"/>
          <w:tab w:val="right" w:leader="dot" w:pos="8787"/>
          <w:tab w:val="right" w:pos="9638"/>
        </w:tabs>
        <w:spacing w:after="120"/>
        <w:ind w:left="1134" w:hanging="1134"/>
      </w:pPr>
      <w:r>
        <w:tab/>
      </w:r>
      <w:r w:rsidR="00D505B1">
        <w:t>1</w:t>
      </w:r>
      <w:r>
        <w:t>.</w:t>
      </w:r>
      <w:r>
        <w:tab/>
      </w:r>
      <w:r w:rsidR="00712EE2">
        <w:t>Communication</w:t>
      </w:r>
      <w:r>
        <w:tab/>
      </w:r>
      <w:r w:rsidR="00D505B1">
        <w:tab/>
      </w:r>
      <w:r w:rsidR="002A58C6">
        <w:t>12</w:t>
      </w:r>
    </w:p>
    <w:p w:rsidR="00D505B1" w:rsidRDefault="00D505B1" w:rsidP="00D505B1">
      <w:pPr>
        <w:tabs>
          <w:tab w:val="right" w:pos="850"/>
          <w:tab w:val="right" w:leader="dot" w:pos="8787"/>
          <w:tab w:val="right" w:pos="9638"/>
        </w:tabs>
        <w:spacing w:after="120"/>
        <w:ind w:left="1134" w:hanging="1134"/>
      </w:pPr>
      <w:r>
        <w:tab/>
        <w:t>2.</w:t>
      </w:r>
      <w:r>
        <w:tab/>
      </w:r>
      <w:r w:rsidR="00712EE2">
        <w:t>Exemples de marque d</w:t>
      </w:r>
      <w:r w:rsidR="00971BFE">
        <w:t>’</w:t>
      </w:r>
      <w:r w:rsidR="00712EE2">
        <w:t>homologation</w:t>
      </w:r>
      <w:r>
        <w:tab/>
      </w:r>
      <w:r>
        <w:tab/>
      </w:r>
      <w:r w:rsidR="002A58C6">
        <w:t>14</w:t>
      </w:r>
    </w:p>
    <w:p w:rsidR="00D505B1" w:rsidRDefault="00D505B1" w:rsidP="00D505B1">
      <w:pPr>
        <w:tabs>
          <w:tab w:val="right" w:pos="850"/>
          <w:tab w:val="right" w:leader="dot" w:pos="8787"/>
          <w:tab w:val="right" w:pos="9638"/>
        </w:tabs>
        <w:spacing w:after="120"/>
        <w:ind w:left="1134" w:hanging="1134"/>
      </w:pPr>
      <w:r>
        <w:tab/>
        <w:t>3.</w:t>
      </w:r>
      <w:r>
        <w:tab/>
      </w:r>
      <w:r w:rsidR="002B4C6F">
        <w:t>Forme et dimensions du triangle de présignalisation</w:t>
      </w:r>
      <w:r>
        <w:tab/>
      </w:r>
      <w:r>
        <w:tab/>
      </w:r>
      <w:r w:rsidR="002A58C6">
        <w:t>15</w:t>
      </w:r>
    </w:p>
    <w:p w:rsidR="00D505B1" w:rsidRDefault="00D505B1" w:rsidP="00D505B1">
      <w:pPr>
        <w:tabs>
          <w:tab w:val="right" w:pos="850"/>
          <w:tab w:val="right" w:leader="dot" w:pos="8787"/>
          <w:tab w:val="right" w:pos="9638"/>
        </w:tabs>
        <w:spacing w:after="120"/>
        <w:ind w:left="1134" w:hanging="1134"/>
      </w:pPr>
      <w:r>
        <w:tab/>
        <w:t>4.</w:t>
      </w:r>
      <w:r>
        <w:tab/>
      </w:r>
      <w:r w:rsidR="002B4C6F">
        <w:t>Détermination de la rugosité du revêtement routier</w:t>
      </w:r>
      <w:r w:rsidR="002B4C6F">
        <w:br/>
        <w:t>Méthode de la plage de sable</w:t>
      </w:r>
      <w:r>
        <w:tab/>
      </w:r>
      <w:r>
        <w:tab/>
      </w:r>
      <w:r w:rsidR="002A58C6">
        <w:t>17</w:t>
      </w:r>
    </w:p>
    <w:p w:rsidR="00D505B1" w:rsidRDefault="00D505B1" w:rsidP="00D505B1">
      <w:pPr>
        <w:tabs>
          <w:tab w:val="right" w:pos="850"/>
          <w:tab w:val="right" w:leader="dot" w:pos="8787"/>
          <w:tab w:val="right" w:pos="9638"/>
        </w:tabs>
        <w:spacing w:after="120"/>
        <w:ind w:left="1134" w:hanging="1134"/>
      </w:pPr>
      <w:r>
        <w:tab/>
        <w:t>5.</w:t>
      </w:r>
      <w:r>
        <w:tab/>
      </w:r>
      <w:r w:rsidR="00752EF5">
        <w:t>Procédure à suivre pour les essais</w:t>
      </w:r>
      <w:r>
        <w:tab/>
      </w:r>
      <w:r>
        <w:tab/>
      </w:r>
      <w:r w:rsidR="002A58C6">
        <w:t>18</w:t>
      </w:r>
    </w:p>
    <w:p w:rsidR="00D505B1" w:rsidRDefault="00D505B1" w:rsidP="00D505B1">
      <w:pPr>
        <w:tabs>
          <w:tab w:val="right" w:pos="850"/>
          <w:tab w:val="right" w:leader="dot" w:pos="8787"/>
          <w:tab w:val="right" w:pos="9638"/>
        </w:tabs>
        <w:spacing w:after="120"/>
        <w:ind w:left="1134" w:hanging="1134"/>
      </w:pPr>
      <w:r>
        <w:tab/>
        <w:t>6.</w:t>
      </w:r>
      <w:r>
        <w:tab/>
      </w:r>
      <w:r w:rsidR="00752EF5">
        <w:t>Méthode de mesure du CIL du dispositif catadioptrique</w:t>
      </w:r>
      <w:r w:rsidR="00752EF5">
        <w:br/>
        <w:t>et du matériau catadioptrique fluorescent</w:t>
      </w:r>
      <w:r>
        <w:tab/>
      </w:r>
      <w:r>
        <w:tab/>
      </w:r>
      <w:r w:rsidR="00034625">
        <w:t>24</w:t>
      </w:r>
    </w:p>
    <w:p w:rsidR="00D505B1" w:rsidRDefault="00D505B1" w:rsidP="00D505B1">
      <w:pPr>
        <w:tabs>
          <w:tab w:val="right" w:pos="850"/>
          <w:tab w:val="right" w:leader="dot" w:pos="8787"/>
          <w:tab w:val="right" w:pos="9638"/>
        </w:tabs>
        <w:spacing w:after="120"/>
        <w:ind w:left="1134" w:hanging="1134"/>
      </w:pPr>
      <w:r>
        <w:tab/>
        <w:t>7.</w:t>
      </w:r>
      <w:r>
        <w:tab/>
      </w:r>
      <w:r w:rsidR="008D1DB1">
        <w:t>Prescriptions minimales concernant les procédures de contrôle</w:t>
      </w:r>
      <w:r w:rsidR="008D1DB1">
        <w:br/>
        <w:t>de la conformité de la production</w:t>
      </w:r>
      <w:r>
        <w:tab/>
      </w:r>
      <w:r>
        <w:tab/>
      </w:r>
      <w:r w:rsidR="00034625">
        <w:t>29</w:t>
      </w:r>
    </w:p>
    <w:p w:rsidR="00D505B1" w:rsidRDefault="00D505B1" w:rsidP="00D505B1">
      <w:pPr>
        <w:tabs>
          <w:tab w:val="right" w:pos="850"/>
          <w:tab w:val="right" w:leader="dot" w:pos="8787"/>
          <w:tab w:val="right" w:pos="9638"/>
        </w:tabs>
        <w:spacing w:after="120"/>
        <w:ind w:left="1134" w:hanging="1134"/>
      </w:pPr>
      <w:r>
        <w:tab/>
        <w:t>8.</w:t>
      </w:r>
      <w:r>
        <w:tab/>
      </w:r>
      <w:r w:rsidR="00361943">
        <w:t>Prescriptions minimales concernant l</w:t>
      </w:r>
      <w:r w:rsidR="00971BFE">
        <w:t>’</w:t>
      </w:r>
      <w:r w:rsidR="00361943">
        <w:t>échantillonnage par un inspecteur</w:t>
      </w:r>
      <w:r>
        <w:tab/>
      </w:r>
      <w:r>
        <w:tab/>
      </w:r>
      <w:r w:rsidR="00034625">
        <w:t>31</w:t>
      </w:r>
    </w:p>
    <w:p w:rsidR="00D505B1" w:rsidRDefault="00D505B1" w:rsidP="00D505B1">
      <w:pPr>
        <w:tabs>
          <w:tab w:val="right" w:pos="850"/>
          <w:tab w:val="right" w:leader="dot" w:pos="8787"/>
          <w:tab w:val="right" w:pos="9638"/>
        </w:tabs>
        <w:spacing w:after="120"/>
        <w:ind w:left="1134" w:hanging="1134"/>
      </w:pPr>
      <w:r>
        <w:tab/>
        <w:t>9.</w:t>
      </w:r>
      <w:r>
        <w:tab/>
      </w:r>
      <w:r w:rsidR="00361943">
        <w:t>Résistance des couleurs à la lumière artificielle: essai avec une lampe à arc au xénon</w:t>
      </w:r>
      <w:r>
        <w:tab/>
      </w:r>
      <w:r>
        <w:tab/>
      </w:r>
      <w:r w:rsidR="00034625">
        <w:t>36</w:t>
      </w:r>
    </w:p>
    <w:p w:rsidR="00602F81" w:rsidRDefault="00602F81" w:rsidP="00D505B1">
      <w:pPr>
        <w:tabs>
          <w:tab w:val="right" w:pos="850"/>
          <w:tab w:val="right" w:leader="dot" w:pos="8787"/>
          <w:tab w:val="right" w:pos="9638"/>
        </w:tabs>
        <w:spacing w:after="120"/>
        <w:ind w:left="1134" w:hanging="1134"/>
      </w:pPr>
      <w:r>
        <w:tab/>
      </w:r>
      <w:r>
        <w:tab/>
        <w:t>Appendice 1 − Définition de l</w:t>
      </w:r>
      <w:r w:rsidR="00971BFE">
        <w:t>’</w:t>
      </w:r>
      <w:r>
        <w:t>échelle de gris</w:t>
      </w:r>
      <w:r w:rsidR="00034625">
        <w:tab/>
      </w:r>
      <w:r w:rsidR="00034625">
        <w:tab/>
        <w:t>40</w:t>
      </w:r>
    </w:p>
    <w:p w:rsidR="00D505B1" w:rsidRDefault="00D505B1" w:rsidP="00D505B1">
      <w:pPr>
        <w:tabs>
          <w:tab w:val="right" w:pos="850"/>
          <w:tab w:val="right" w:leader="dot" w:pos="8787"/>
          <w:tab w:val="right" w:pos="9638"/>
        </w:tabs>
        <w:spacing w:after="120"/>
        <w:ind w:left="1134" w:hanging="1134"/>
      </w:pPr>
      <w:r>
        <w:tab/>
        <w:t>10.</w:t>
      </w:r>
      <w:r>
        <w:tab/>
      </w:r>
      <w:r w:rsidR="00602F81">
        <w:t xml:space="preserve">Description de la </w:t>
      </w:r>
      <w:r w:rsidR="002D1AAF">
        <w:t>géométrie de la mesure de la couleur et du facteur de luminance</w:t>
      </w:r>
      <w:r w:rsidR="002D1AAF">
        <w:br/>
        <w:t>des matériaux catadioptriques fluorescents</w:t>
      </w:r>
      <w:r>
        <w:tab/>
      </w:r>
      <w:r>
        <w:tab/>
      </w:r>
      <w:r w:rsidR="00034625">
        <w:t>42</w:t>
      </w:r>
    </w:p>
    <w:p w:rsidR="004564D8" w:rsidRPr="008B062D" w:rsidRDefault="00D505B1" w:rsidP="008D1809">
      <w:pPr>
        <w:pStyle w:val="HChG"/>
        <w:spacing w:after="200"/>
        <w:ind w:left="2268"/>
        <w:rPr>
          <w:lang w:val="fr-FR"/>
        </w:rPr>
      </w:pPr>
      <w:r>
        <w:br w:type="page"/>
      </w:r>
      <w:bookmarkStart w:id="3" w:name="_Toc386120403"/>
      <w:r w:rsidR="004564D8">
        <w:rPr>
          <w:lang w:val="fr-FR"/>
        </w:rPr>
        <w:lastRenderedPageBreak/>
        <w:t>1.</w:t>
      </w:r>
      <w:r w:rsidR="004564D8" w:rsidRPr="008B062D">
        <w:rPr>
          <w:lang w:val="fr-FR"/>
        </w:rPr>
        <w:tab/>
      </w:r>
      <w:r w:rsidR="004564D8" w:rsidRPr="008B062D">
        <w:rPr>
          <w:lang w:val="fr-FR"/>
        </w:rPr>
        <w:tab/>
      </w:r>
      <w:bookmarkEnd w:id="3"/>
      <w:r w:rsidR="004564D8" w:rsidRPr="008B062D">
        <w:rPr>
          <w:lang w:val="fr-FR"/>
        </w:rPr>
        <w:t>Domaine d</w:t>
      </w:r>
      <w:r w:rsidR="00971BFE">
        <w:rPr>
          <w:lang w:val="fr-FR"/>
        </w:rPr>
        <w:t>’</w:t>
      </w:r>
      <w:r w:rsidR="004564D8" w:rsidRPr="008B062D">
        <w:rPr>
          <w:lang w:val="fr-FR"/>
        </w:rPr>
        <w:t>application</w:t>
      </w:r>
    </w:p>
    <w:p w:rsidR="004564D8" w:rsidRPr="008B062D" w:rsidRDefault="004564D8" w:rsidP="008D1809">
      <w:pPr>
        <w:pStyle w:val="SingleTxtG"/>
        <w:spacing w:line="238" w:lineRule="atLeast"/>
        <w:ind w:left="2268"/>
        <w:rPr>
          <w:lang w:val="fr-FR"/>
        </w:rPr>
      </w:pPr>
      <w:r w:rsidRPr="008B062D">
        <w:rPr>
          <w:lang w:val="fr-FR"/>
        </w:rPr>
        <w:t>Le présent Règlement s</w:t>
      </w:r>
      <w:r w:rsidR="00971BFE">
        <w:rPr>
          <w:lang w:val="fr-FR"/>
        </w:rPr>
        <w:t>’</w:t>
      </w:r>
      <w:r w:rsidRPr="008B062D">
        <w:rPr>
          <w:lang w:val="fr-FR"/>
        </w:rPr>
        <w:t>applique à certains dispositifs de présignalisation destinés à être présents à bord des véhicules et à être placés sur la chaussée pour signaler de jour et de nuit la présence du véhicule à l</w:t>
      </w:r>
      <w:r w:rsidR="00971BFE">
        <w:rPr>
          <w:lang w:val="fr-FR"/>
        </w:rPr>
        <w:t>’</w:t>
      </w:r>
      <w:r w:rsidRPr="008B062D">
        <w:rPr>
          <w:lang w:val="fr-FR"/>
        </w:rPr>
        <w:t>arrêt.</w:t>
      </w:r>
    </w:p>
    <w:p w:rsidR="004564D8" w:rsidRPr="008B062D" w:rsidRDefault="004564D8" w:rsidP="008D1809">
      <w:pPr>
        <w:pStyle w:val="HChG"/>
        <w:spacing w:after="200"/>
        <w:ind w:left="2268"/>
        <w:rPr>
          <w:lang w:val="fr-FR"/>
        </w:rPr>
      </w:pPr>
      <w:bookmarkStart w:id="4" w:name="_Toc386120404"/>
      <w:r>
        <w:rPr>
          <w:lang w:val="fr-FR"/>
        </w:rPr>
        <w:t>2.</w:t>
      </w:r>
      <w:r w:rsidRPr="008B062D">
        <w:rPr>
          <w:lang w:val="fr-FR"/>
        </w:rPr>
        <w:tab/>
      </w:r>
      <w:r w:rsidRPr="008B062D">
        <w:rPr>
          <w:lang w:val="fr-FR"/>
        </w:rPr>
        <w:tab/>
        <w:t>Définitions</w:t>
      </w:r>
      <w:bookmarkEnd w:id="4"/>
    </w:p>
    <w:p w:rsidR="004564D8" w:rsidRPr="008B062D" w:rsidRDefault="004564D8" w:rsidP="008D1809">
      <w:pPr>
        <w:pStyle w:val="SingleTxtG"/>
        <w:keepNext/>
        <w:spacing w:after="100"/>
        <w:ind w:left="2268"/>
        <w:rPr>
          <w:lang w:val="fr-FR"/>
        </w:rPr>
      </w:pPr>
      <w:r w:rsidRPr="008B062D">
        <w:rPr>
          <w:lang w:val="fr-FR"/>
        </w:rPr>
        <w:t>Au sens du présent Règlement, on entend:</w:t>
      </w:r>
    </w:p>
    <w:p w:rsidR="004564D8" w:rsidRPr="008B062D" w:rsidRDefault="004564D8" w:rsidP="008D1809">
      <w:pPr>
        <w:pStyle w:val="SingleTxtG"/>
        <w:keepNext/>
        <w:spacing w:after="100" w:line="238" w:lineRule="atLeast"/>
        <w:ind w:left="2268" w:hanging="1134"/>
        <w:rPr>
          <w:lang w:val="fr-FR"/>
        </w:rPr>
      </w:pPr>
      <w:r w:rsidRPr="008B062D">
        <w:rPr>
          <w:lang w:val="fr-FR"/>
        </w:rPr>
        <w:t>2.1</w:t>
      </w:r>
      <w:r w:rsidRPr="008B062D">
        <w:rPr>
          <w:lang w:val="fr-FR"/>
        </w:rPr>
        <w:tab/>
      </w:r>
      <w:r w:rsidR="00A5296C">
        <w:rPr>
          <w:lang w:val="fr-FR"/>
        </w:rPr>
        <w:t>P</w:t>
      </w:r>
      <w:r w:rsidRPr="008B062D">
        <w:rPr>
          <w:lang w:val="fr-FR"/>
        </w:rPr>
        <w:t>ar «</w:t>
      </w:r>
      <w:r w:rsidRPr="008B062D">
        <w:rPr>
          <w:i/>
          <w:lang w:val="fr-FR"/>
        </w:rPr>
        <w:t>triangle de présignalisation</w:t>
      </w:r>
      <w:r w:rsidRPr="008B062D">
        <w:rPr>
          <w:lang w:val="fr-FR"/>
        </w:rPr>
        <w:t>», un des dispositifs visés au paragraphe 1 ci-dessus et ayant la forme d</w:t>
      </w:r>
      <w:r w:rsidR="00971BFE">
        <w:rPr>
          <w:lang w:val="fr-FR"/>
        </w:rPr>
        <w:t>’</w:t>
      </w:r>
      <w:r w:rsidRPr="008B062D">
        <w:rPr>
          <w:lang w:val="fr-FR"/>
        </w:rPr>
        <w:t>un triangle équilatéral</w:t>
      </w:r>
      <w:r w:rsidR="00A5296C">
        <w:rPr>
          <w:lang w:val="fr-FR"/>
        </w:rPr>
        <w:t>:</w:t>
      </w:r>
    </w:p>
    <w:p w:rsidR="004564D8" w:rsidRPr="008B062D" w:rsidRDefault="004564D8" w:rsidP="008D1809">
      <w:pPr>
        <w:pStyle w:val="SingleTxtG"/>
        <w:spacing w:after="100" w:line="238" w:lineRule="atLeast"/>
        <w:ind w:left="2268" w:hanging="1134"/>
        <w:rPr>
          <w:lang w:val="fr-FR"/>
        </w:rPr>
      </w:pPr>
      <w:r w:rsidRPr="008B062D">
        <w:rPr>
          <w:lang w:val="fr-FR"/>
        </w:rPr>
        <w:t>2.1.1</w:t>
      </w:r>
      <w:r w:rsidRPr="008B062D">
        <w:rPr>
          <w:lang w:val="fr-FR"/>
        </w:rPr>
        <w:tab/>
      </w:r>
      <w:r w:rsidR="0094164E">
        <w:rPr>
          <w:lang w:val="fr-FR"/>
        </w:rPr>
        <w:t>P</w:t>
      </w:r>
      <w:r w:rsidR="0094164E" w:rsidRPr="008B062D">
        <w:rPr>
          <w:lang w:val="fr-FR"/>
        </w:rPr>
        <w:t xml:space="preserve">ar </w:t>
      </w:r>
      <w:r w:rsidRPr="008B062D">
        <w:rPr>
          <w:lang w:val="fr-FR"/>
        </w:rPr>
        <w:t>«</w:t>
      </w:r>
      <w:r w:rsidRPr="008B062D">
        <w:rPr>
          <w:i/>
          <w:lang w:val="fr-FR"/>
        </w:rPr>
        <w:t>triangle de présignalisation de type 1</w:t>
      </w:r>
      <w:r w:rsidRPr="008B062D">
        <w:rPr>
          <w:lang w:val="fr-FR"/>
        </w:rPr>
        <w:t>», un triangle de présignalisation constitué de deux éléments distincts: un dispositif catadioptrique et un matériau fluorescent;</w:t>
      </w:r>
    </w:p>
    <w:p w:rsidR="004564D8" w:rsidRPr="008B062D" w:rsidRDefault="004564D8" w:rsidP="008D1809">
      <w:pPr>
        <w:pStyle w:val="SingleTxtG"/>
        <w:spacing w:after="100" w:line="238" w:lineRule="atLeast"/>
        <w:ind w:left="2268" w:hanging="1134"/>
        <w:rPr>
          <w:lang w:val="fr-FR"/>
        </w:rPr>
      </w:pPr>
      <w:r w:rsidRPr="008B062D">
        <w:rPr>
          <w:lang w:val="fr-FR"/>
        </w:rPr>
        <w:t>2.1.2</w:t>
      </w:r>
      <w:r w:rsidRPr="008B062D">
        <w:rPr>
          <w:lang w:val="fr-FR"/>
        </w:rPr>
        <w:tab/>
      </w:r>
      <w:r w:rsidR="0094164E">
        <w:rPr>
          <w:lang w:val="fr-FR"/>
        </w:rPr>
        <w:t>P</w:t>
      </w:r>
      <w:r w:rsidR="0094164E" w:rsidRPr="008B062D">
        <w:rPr>
          <w:lang w:val="fr-FR"/>
        </w:rPr>
        <w:t xml:space="preserve">ar </w:t>
      </w:r>
      <w:r w:rsidRPr="008B062D">
        <w:rPr>
          <w:lang w:val="fr-FR"/>
        </w:rPr>
        <w:t>«</w:t>
      </w:r>
      <w:r w:rsidRPr="008B062D">
        <w:rPr>
          <w:i/>
          <w:lang w:val="fr-FR"/>
        </w:rPr>
        <w:t>triangle de présignalisation de type 2</w:t>
      </w:r>
      <w:r w:rsidRPr="008B062D">
        <w:rPr>
          <w:lang w:val="fr-FR"/>
        </w:rPr>
        <w:t>», un triangle de présignalisation constitué d</w:t>
      </w:r>
      <w:r w:rsidR="00971BFE">
        <w:rPr>
          <w:lang w:val="fr-FR"/>
        </w:rPr>
        <w:t>’</w:t>
      </w:r>
      <w:r w:rsidRPr="008B062D">
        <w:rPr>
          <w:lang w:val="fr-FR"/>
        </w:rPr>
        <w:t>un simple matériau catadioptrique fluorescent.</w:t>
      </w:r>
    </w:p>
    <w:p w:rsidR="004564D8" w:rsidRPr="008B062D" w:rsidRDefault="004564D8" w:rsidP="008D1809">
      <w:pPr>
        <w:pStyle w:val="SingleTxtG"/>
        <w:keepNext/>
        <w:spacing w:after="100" w:line="238" w:lineRule="atLeast"/>
        <w:ind w:left="2268" w:hanging="1134"/>
        <w:rPr>
          <w:lang w:val="fr-FR"/>
        </w:rPr>
      </w:pPr>
      <w:r w:rsidRPr="008B062D">
        <w:rPr>
          <w:lang w:val="fr-FR"/>
        </w:rPr>
        <w:t>2.2</w:t>
      </w:r>
      <w:r w:rsidRPr="008B062D">
        <w:rPr>
          <w:lang w:val="fr-FR"/>
        </w:rPr>
        <w:tab/>
      </w:r>
      <w:r w:rsidR="0094164E">
        <w:rPr>
          <w:lang w:val="fr-FR"/>
        </w:rPr>
        <w:t>P</w:t>
      </w:r>
      <w:r w:rsidR="0094164E" w:rsidRPr="008B062D">
        <w:rPr>
          <w:lang w:val="fr-FR"/>
        </w:rPr>
        <w:t xml:space="preserve">ar </w:t>
      </w:r>
      <w:r w:rsidRPr="008B062D">
        <w:rPr>
          <w:lang w:val="fr-FR"/>
        </w:rPr>
        <w:t>«</w:t>
      </w:r>
      <w:r w:rsidRPr="008B062D">
        <w:rPr>
          <w:i/>
          <w:lang w:val="fr-FR"/>
        </w:rPr>
        <w:t>type de triangle</w:t>
      </w:r>
      <w:r w:rsidRPr="008B062D">
        <w:rPr>
          <w:lang w:val="fr-FR"/>
        </w:rPr>
        <w:t>», des triangles de présignalisation ne présentant pas entre eux de différences essentielles, ces différences pouvant notamment porter sur:</w:t>
      </w:r>
    </w:p>
    <w:p w:rsidR="004564D8" w:rsidRPr="008B062D" w:rsidRDefault="004564D8" w:rsidP="008D1809">
      <w:pPr>
        <w:pStyle w:val="SingleTxtG"/>
        <w:spacing w:after="100" w:line="238" w:lineRule="atLeast"/>
        <w:ind w:left="2268" w:hanging="1134"/>
        <w:rPr>
          <w:lang w:val="fr-FR"/>
        </w:rPr>
      </w:pPr>
      <w:r w:rsidRPr="008B062D">
        <w:rPr>
          <w:lang w:val="fr-FR"/>
        </w:rPr>
        <w:t>2.2.1</w:t>
      </w:r>
      <w:r w:rsidRPr="008B062D">
        <w:rPr>
          <w:lang w:val="fr-FR"/>
        </w:rPr>
        <w:tab/>
      </w:r>
      <w:r w:rsidR="00A82E4E">
        <w:rPr>
          <w:lang w:val="fr-FR"/>
        </w:rPr>
        <w:t>L</w:t>
      </w:r>
      <w:r w:rsidRPr="008B062D">
        <w:rPr>
          <w:lang w:val="fr-FR"/>
        </w:rPr>
        <w:t>a marque de fabrique ou de commerce:</w:t>
      </w:r>
    </w:p>
    <w:p w:rsidR="004564D8" w:rsidRPr="008B062D" w:rsidRDefault="004564D8" w:rsidP="008D1809">
      <w:pPr>
        <w:pStyle w:val="SingleTxtG"/>
        <w:spacing w:after="100" w:line="238" w:lineRule="atLeast"/>
        <w:ind w:left="2835" w:hanging="567"/>
        <w:rPr>
          <w:lang w:val="fr-FR"/>
        </w:rPr>
      </w:pPr>
      <w:r w:rsidRPr="008B062D">
        <w:rPr>
          <w:lang w:val="fr-FR"/>
        </w:rPr>
        <w:t>a)</w:t>
      </w:r>
      <w:r w:rsidRPr="008B062D">
        <w:rPr>
          <w:lang w:val="fr-FR"/>
        </w:rPr>
        <w:tab/>
        <w:t>Les triangles de présignalisation portant la même marque de commerce ou de fabrique mais produits par des fabricants différents sont considérés comme étant de types différents;</w:t>
      </w:r>
    </w:p>
    <w:p w:rsidR="004564D8" w:rsidRPr="008B062D" w:rsidRDefault="004564D8" w:rsidP="008D1809">
      <w:pPr>
        <w:pStyle w:val="SingleTxtG"/>
        <w:spacing w:after="100" w:line="238" w:lineRule="atLeast"/>
        <w:ind w:left="2835" w:hanging="567"/>
        <w:rPr>
          <w:lang w:val="fr-FR"/>
        </w:rPr>
      </w:pPr>
      <w:r w:rsidRPr="008B062D">
        <w:rPr>
          <w:lang w:val="fr-FR"/>
        </w:rPr>
        <w:t>b)</w:t>
      </w:r>
      <w:r w:rsidRPr="008B062D">
        <w:rPr>
          <w:lang w:val="fr-FR"/>
        </w:rPr>
        <w:tab/>
        <w:t>Les triangles de présignalisation produits par la même fabricant qui diffèrent seulement par leur marque de commerce ou de fabrique peuvent être considérés comme tant du même type.</w:t>
      </w:r>
    </w:p>
    <w:p w:rsidR="004564D8" w:rsidRPr="008B062D" w:rsidRDefault="004564D8" w:rsidP="008D1809">
      <w:pPr>
        <w:pStyle w:val="SingleTxtG"/>
        <w:spacing w:after="100" w:line="238" w:lineRule="atLeast"/>
        <w:ind w:left="2268" w:hanging="1134"/>
        <w:rPr>
          <w:lang w:val="fr-FR"/>
        </w:rPr>
      </w:pPr>
      <w:r w:rsidRPr="008B062D">
        <w:rPr>
          <w:lang w:val="fr-FR"/>
        </w:rPr>
        <w:t>2.2.2</w:t>
      </w:r>
      <w:r w:rsidRPr="008B062D">
        <w:rPr>
          <w:lang w:val="fr-FR"/>
        </w:rPr>
        <w:tab/>
      </w:r>
      <w:r w:rsidR="00A82E4E">
        <w:rPr>
          <w:lang w:val="fr-FR"/>
        </w:rPr>
        <w:t>L</w:t>
      </w:r>
      <w:r w:rsidRPr="008B062D">
        <w:rPr>
          <w:lang w:val="fr-FR"/>
        </w:rPr>
        <w:t>es caractéri</w:t>
      </w:r>
      <w:r w:rsidR="00A41B4F">
        <w:rPr>
          <w:lang w:val="fr-FR"/>
        </w:rPr>
        <w:t>stiques optiques;</w:t>
      </w:r>
    </w:p>
    <w:p w:rsidR="004564D8" w:rsidRPr="008B062D" w:rsidRDefault="004564D8" w:rsidP="008D1809">
      <w:pPr>
        <w:pStyle w:val="SingleTxtG"/>
        <w:spacing w:after="100" w:line="238" w:lineRule="atLeast"/>
        <w:ind w:left="2268" w:hanging="1134"/>
        <w:rPr>
          <w:lang w:val="fr-FR"/>
        </w:rPr>
      </w:pPr>
      <w:r w:rsidRPr="008B062D">
        <w:rPr>
          <w:lang w:val="fr-FR"/>
        </w:rPr>
        <w:t>2.2.3</w:t>
      </w:r>
      <w:r w:rsidRPr="008B062D">
        <w:rPr>
          <w:lang w:val="fr-FR"/>
        </w:rPr>
        <w:tab/>
      </w:r>
      <w:r w:rsidR="00A82E4E">
        <w:rPr>
          <w:lang w:val="fr-FR"/>
        </w:rPr>
        <w:t>L</w:t>
      </w:r>
      <w:r w:rsidRPr="008B062D">
        <w:rPr>
          <w:lang w:val="fr-FR"/>
        </w:rPr>
        <w:t>es éléments caractéristiques géométriques et mécaniques de la construction;</w:t>
      </w:r>
    </w:p>
    <w:p w:rsidR="004564D8" w:rsidRPr="008B062D" w:rsidRDefault="004564D8" w:rsidP="008D1809">
      <w:pPr>
        <w:pStyle w:val="SingleTxtG"/>
        <w:spacing w:after="100" w:line="238" w:lineRule="atLeast"/>
        <w:ind w:left="2268" w:hanging="1134"/>
        <w:rPr>
          <w:lang w:val="fr-FR"/>
        </w:rPr>
      </w:pPr>
      <w:r w:rsidRPr="008B062D">
        <w:rPr>
          <w:lang w:val="fr-FR"/>
        </w:rPr>
        <w:t>2.3</w:t>
      </w:r>
      <w:r w:rsidRPr="008B062D">
        <w:rPr>
          <w:lang w:val="fr-FR"/>
        </w:rPr>
        <w:tab/>
      </w:r>
      <w:r w:rsidR="00A82E4E">
        <w:rPr>
          <w:lang w:val="fr-FR"/>
        </w:rPr>
        <w:t>P</w:t>
      </w:r>
      <w:r w:rsidR="00A82E4E" w:rsidRPr="008B062D">
        <w:rPr>
          <w:lang w:val="fr-FR"/>
        </w:rPr>
        <w:t xml:space="preserve">ar </w:t>
      </w:r>
      <w:r w:rsidRPr="008B062D">
        <w:rPr>
          <w:lang w:val="fr-FR"/>
        </w:rPr>
        <w:t>«</w:t>
      </w:r>
      <w:r w:rsidRPr="008B062D">
        <w:rPr>
          <w:i/>
          <w:lang w:val="fr-FR"/>
        </w:rPr>
        <w:t>dispositif catadioptrique</w:t>
      </w:r>
      <w:r w:rsidRPr="008B062D">
        <w:rPr>
          <w:lang w:val="fr-FR"/>
        </w:rPr>
        <w:t>», un ensemble prêt à être utilisé et qui comprend une ou plusieurs optiques catadioptriques;</w:t>
      </w:r>
    </w:p>
    <w:p w:rsidR="004564D8" w:rsidRPr="008B062D" w:rsidRDefault="004564D8" w:rsidP="008D1809">
      <w:pPr>
        <w:pStyle w:val="SingleTxtG"/>
        <w:spacing w:after="100" w:line="238" w:lineRule="atLeast"/>
        <w:ind w:left="2268" w:hanging="1134"/>
        <w:rPr>
          <w:lang w:val="fr-FR"/>
        </w:rPr>
      </w:pPr>
      <w:r w:rsidRPr="008B062D">
        <w:rPr>
          <w:lang w:val="fr-FR"/>
        </w:rPr>
        <w:t>2.4</w:t>
      </w:r>
      <w:r w:rsidRPr="008B062D">
        <w:rPr>
          <w:lang w:val="fr-FR"/>
        </w:rPr>
        <w:tab/>
      </w:r>
      <w:r w:rsidR="00A82E4E">
        <w:rPr>
          <w:lang w:val="fr-FR"/>
        </w:rPr>
        <w:t>P</w:t>
      </w:r>
      <w:r w:rsidR="00A82E4E" w:rsidRPr="008B062D">
        <w:rPr>
          <w:lang w:val="fr-FR"/>
        </w:rPr>
        <w:t xml:space="preserve">ar </w:t>
      </w:r>
      <w:r w:rsidRPr="008B062D">
        <w:rPr>
          <w:lang w:val="fr-FR"/>
        </w:rPr>
        <w:t>«</w:t>
      </w:r>
      <w:r w:rsidRPr="008B062D">
        <w:rPr>
          <w:i/>
          <w:lang w:val="fr-FR"/>
        </w:rPr>
        <w:t>face avant du triangle</w:t>
      </w:r>
      <w:r w:rsidRPr="008B062D">
        <w:rPr>
          <w:lang w:val="fr-FR"/>
        </w:rPr>
        <w:t>», la face portant les éléments optiques;</w:t>
      </w:r>
    </w:p>
    <w:p w:rsidR="004564D8" w:rsidRPr="00D82591" w:rsidRDefault="004564D8" w:rsidP="001C5404">
      <w:pPr>
        <w:pStyle w:val="SingleTxtG"/>
        <w:spacing w:after="100" w:line="238" w:lineRule="atLeast"/>
        <w:ind w:left="2268" w:hanging="1134"/>
      </w:pPr>
      <w:r w:rsidRPr="008B062D">
        <w:rPr>
          <w:lang w:val="fr-FR"/>
        </w:rPr>
        <w:t>2.5</w:t>
      </w:r>
      <w:r w:rsidRPr="008B062D">
        <w:rPr>
          <w:lang w:val="fr-FR"/>
        </w:rPr>
        <w:tab/>
      </w:r>
      <w:r w:rsidR="00A82E4E">
        <w:rPr>
          <w:lang w:val="fr-FR"/>
        </w:rPr>
        <w:t>P</w:t>
      </w:r>
      <w:r w:rsidR="00A82E4E" w:rsidRPr="008B062D">
        <w:rPr>
          <w:lang w:val="fr-FR"/>
        </w:rPr>
        <w:t xml:space="preserve">ar </w:t>
      </w:r>
      <w:r w:rsidRPr="008B062D">
        <w:rPr>
          <w:lang w:val="fr-FR"/>
        </w:rPr>
        <w:t>«</w:t>
      </w:r>
      <w:r w:rsidRPr="008B062D">
        <w:rPr>
          <w:i/>
          <w:lang w:val="fr-FR"/>
        </w:rPr>
        <w:t>axe du triangle de présignalisation</w:t>
      </w:r>
      <w:r w:rsidRPr="008B062D">
        <w:rPr>
          <w:lang w:val="fr-FR"/>
        </w:rPr>
        <w:t>», la droite perpendiculaire à la face avant du triangle et passant par son centre;</w:t>
      </w:r>
    </w:p>
    <w:p w:rsidR="004564D8" w:rsidRPr="008B062D" w:rsidRDefault="004564D8" w:rsidP="008D1809">
      <w:pPr>
        <w:pStyle w:val="SingleTxtG"/>
        <w:spacing w:after="100" w:line="238" w:lineRule="atLeast"/>
        <w:ind w:left="2268" w:hanging="1134"/>
        <w:rPr>
          <w:lang w:val="fr-FR"/>
        </w:rPr>
      </w:pPr>
      <w:r w:rsidRPr="008B062D">
        <w:rPr>
          <w:lang w:val="fr-FR"/>
        </w:rPr>
        <w:t>2.6</w:t>
      </w:r>
      <w:r w:rsidRPr="008B062D">
        <w:rPr>
          <w:lang w:val="fr-FR"/>
        </w:rPr>
        <w:tab/>
      </w:r>
      <w:r w:rsidR="00A82E4E">
        <w:rPr>
          <w:lang w:val="fr-FR"/>
        </w:rPr>
        <w:t>P</w:t>
      </w:r>
      <w:r w:rsidR="00A82E4E" w:rsidRPr="008B062D">
        <w:rPr>
          <w:lang w:val="fr-FR"/>
        </w:rPr>
        <w:t xml:space="preserve">ar </w:t>
      </w:r>
      <w:r w:rsidRPr="008B062D">
        <w:rPr>
          <w:lang w:val="fr-FR"/>
        </w:rPr>
        <w:t>«</w:t>
      </w:r>
      <w:r w:rsidRPr="008B062D">
        <w:rPr>
          <w:i/>
          <w:lang w:val="fr-FR"/>
        </w:rPr>
        <w:t>matériau fluorescent</w:t>
      </w:r>
      <w:r w:rsidRPr="008B062D">
        <w:rPr>
          <w:lang w:val="fr-FR"/>
        </w:rPr>
        <w:t>», un matériau qui, soit dans la masse, soit en surface lorsqu</w:t>
      </w:r>
      <w:r w:rsidR="00971BFE">
        <w:rPr>
          <w:lang w:val="fr-FR"/>
        </w:rPr>
        <w:t>’</w:t>
      </w:r>
      <w:r w:rsidRPr="008B062D">
        <w:rPr>
          <w:lang w:val="fr-FR"/>
        </w:rPr>
        <w:t>il est excité par la lumière du jour, présente le phénomène de photoluminescence cessant dans un temps relativement court après la fin de l</w:t>
      </w:r>
      <w:r w:rsidR="00971BFE">
        <w:rPr>
          <w:lang w:val="fr-FR"/>
        </w:rPr>
        <w:t>’</w:t>
      </w:r>
      <w:r w:rsidRPr="008B062D">
        <w:rPr>
          <w:lang w:val="fr-FR"/>
        </w:rPr>
        <w:t>excitation;</w:t>
      </w:r>
    </w:p>
    <w:p w:rsidR="004564D8" w:rsidRPr="008B062D" w:rsidRDefault="004564D8" w:rsidP="008D1809">
      <w:pPr>
        <w:pStyle w:val="SingleTxtG"/>
        <w:spacing w:after="100" w:line="238" w:lineRule="atLeast"/>
        <w:ind w:left="2268" w:hanging="1134"/>
        <w:rPr>
          <w:lang w:val="fr-FR"/>
        </w:rPr>
      </w:pPr>
      <w:r w:rsidRPr="008B062D">
        <w:rPr>
          <w:lang w:val="fr-FR"/>
        </w:rPr>
        <w:t>2.7</w:t>
      </w:r>
      <w:r w:rsidRPr="008B062D">
        <w:rPr>
          <w:lang w:val="fr-FR"/>
        </w:rPr>
        <w:tab/>
      </w:r>
      <w:r w:rsidR="00A82E4E">
        <w:rPr>
          <w:lang w:val="fr-FR"/>
        </w:rPr>
        <w:t>P</w:t>
      </w:r>
      <w:r w:rsidR="00A82E4E" w:rsidRPr="008B062D">
        <w:rPr>
          <w:lang w:val="fr-FR"/>
        </w:rPr>
        <w:t xml:space="preserve">ar </w:t>
      </w:r>
      <w:r w:rsidRPr="008B062D">
        <w:rPr>
          <w:lang w:val="fr-FR"/>
        </w:rPr>
        <w:t>«</w:t>
      </w:r>
      <w:r w:rsidRPr="008B062D">
        <w:rPr>
          <w:i/>
          <w:lang w:val="fr-FR"/>
        </w:rPr>
        <w:t>facteur de luminance</w:t>
      </w:r>
      <w:r w:rsidRPr="008B062D">
        <w:rPr>
          <w:lang w:val="fr-FR"/>
        </w:rPr>
        <w:t>», le rapport de la luminance du corps considéré à la luminance d</w:t>
      </w:r>
      <w:r w:rsidR="00971BFE">
        <w:rPr>
          <w:lang w:val="fr-FR"/>
        </w:rPr>
        <w:t>’</w:t>
      </w:r>
      <w:r w:rsidRPr="008B062D">
        <w:rPr>
          <w:lang w:val="fr-FR"/>
        </w:rPr>
        <w:t>un diffuseur parfait dans des conditions identiques d</w:t>
      </w:r>
      <w:r w:rsidR="00971BFE">
        <w:rPr>
          <w:lang w:val="fr-FR"/>
        </w:rPr>
        <w:t>’</w:t>
      </w:r>
      <w:r w:rsidRPr="008B062D">
        <w:rPr>
          <w:lang w:val="fr-FR"/>
        </w:rPr>
        <w:t>éclairement et d</w:t>
      </w:r>
      <w:r w:rsidR="00971BFE">
        <w:rPr>
          <w:lang w:val="fr-FR"/>
        </w:rPr>
        <w:t>’</w:t>
      </w:r>
      <w:r w:rsidRPr="008B062D">
        <w:rPr>
          <w:lang w:val="fr-FR"/>
        </w:rPr>
        <w:t>observation. La luminance du corps considéré comprend celle produite par réflexion et par fluorescence;</w:t>
      </w:r>
    </w:p>
    <w:p w:rsidR="004564D8" w:rsidRPr="008B062D" w:rsidRDefault="004564D8" w:rsidP="008D1809">
      <w:pPr>
        <w:pStyle w:val="SingleTxtG"/>
        <w:spacing w:after="100" w:line="238" w:lineRule="atLeast"/>
        <w:ind w:left="2268" w:hanging="1134"/>
        <w:rPr>
          <w:lang w:val="fr-FR"/>
        </w:rPr>
      </w:pPr>
      <w:r w:rsidRPr="008B062D">
        <w:rPr>
          <w:lang w:val="fr-FR"/>
        </w:rPr>
        <w:t xml:space="preserve">2.8 </w:t>
      </w:r>
      <w:r w:rsidRPr="008B062D">
        <w:rPr>
          <w:lang w:val="fr-FR"/>
        </w:rPr>
        <w:tab/>
      </w:r>
      <w:r w:rsidR="00A82E4E">
        <w:rPr>
          <w:lang w:val="fr-FR"/>
        </w:rPr>
        <w:t>P</w:t>
      </w:r>
      <w:r w:rsidR="00A82E4E" w:rsidRPr="008B062D">
        <w:rPr>
          <w:lang w:val="fr-FR"/>
        </w:rPr>
        <w:t xml:space="preserve">ar </w:t>
      </w:r>
      <w:r w:rsidRPr="008B062D">
        <w:rPr>
          <w:lang w:val="fr-FR"/>
        </w:rPr>
        <w:t>«</w:t>
      </w:r>
      <w:r w:rsidRPr="008B062D">
        <w:rPr>
          <w:i/>
          <w:lang w:val="fr-FR"/>
        </w:rPr>
        <w:t>coefficient d</w:t>
      </w:r>
      <w:r w:rsidR="00971BFE">
        <w:rPr>
          <w:i/>
          <w:lang w:val="fr-FR"/>
        </w:rPr>
        <w:t>’</w:t>
      </w:r>
      <w:r w:rsidRPr="008B062D">
        <w:rPr>
          <w:i/>
          <w:lang w:val="fr-FR"/>
        </w:rPr>
        <w:t>intensité lumineuse (CIL)</w:t>
      </w:r>
      <w:r w:rsidRPr="008B062D">
        <w:rPr>
          <w:lang w:val="fr-FR"/>
        </w:rPr>
        <w:t>», le quotient de l</w:t>
      </w:r>
      <w:r w:rsidR="00971BFE">
        <w:rPr>
          <w:lang w:val="fr-FR"/>
        </w:rPr>
        <w:t>’</w:t>
      </w:r>
      <w:r w:rsidRPr="008B062D">
        <w:rPr>
          <w:lang w:val="fr-FR"/>
        </w:rPr>
        <w:t>intensité lumineuse réfléchie dans la direction considérée par l</w:t>
      </w:r>
      <w:r w:rsidR="00971BFE">
        <w:rPr>
          <w:lang w:val="fr-FR"/>
        </w:rPr>
        <w:t>’</w:t>
      </w:r>
      <w:r w:rsidRPr="008B062D">
        <w:rPr>
          <w:lang w:val="fr-FR"/>
        </w:rPr>
        <w:t>éclairement du dispositif catadioptrique pour des angles d</w:t>
      </w:r>
      <w:r w:rsidR="00971BFE">
        <w:rPr>
          <w:lang w:val="fr-FR"/>
        </w:rPr>
        <w:t>’</w:t>
      </w:r>
      <w:r w:rsidRPr="008B062D">
        <w:rPr>
          <w:lang w:val="fr-FR"/>
        </w:rPr>
        <w:t>éclairement, de divergence et de rotation donnés. L</w:t>
      </w:r>
      <w:r w:rsidR="00971BFE">
        <w:rPr>
          <w:lang w:val="fr-FR"/>
        </w:rPr>
        <w:t>’</w:t>
      </w:r>
      <w:r w:rsidRPr="008B062D">
        <w:rPr>
          <w:lang w:val="fr-FR"/>
        </w:rPr>
        <w:t>éclairement est mesuré dans un plan normal aux rayons incidents;</w:t>
      </w:r>
    </w:p>
    <w:p w:rsidR="004564D8" w:rsidRPr="008B062D" w:rsidRDefault="004564D8" w:rsidP="00A5296C">
      <w:pPr>
        <w:pStyle w:val="SingleTxtG"/>
        <w:ind w:left="2268" w:hanging="1134"/>
        <w:rPr>
          <w:lang w:val="fr-FR"/>
        </w:rPr>
      </w:pPr>
      <w:r w:rsidRPr="008B062D">
        <w:rPr>
          <w:lang w:val="fr-FR"/>
        </w:rPr>
        <w:lastRenderedPageBreak/>
        <w:t>2.9</w:t>
      </w:r>
      <w:r w:rsidRPr="008B062D">
        <w:rPr>
          <w:lang w:val="fr-FR"/>
        </w:rPr>
        <w:tab/>
      </w:r>
      <w:r w:rsidR="00A82E4E">
        <w:rPr>
          <w:lang w:val="fr-FR"/>
        </w:rPr>
        <w:t>P</w:t>
      </w:r>
      <w:r w:rsidR="00A82E4E" w:rsidRPr="008B062D">
        <w:rPr>
          <w:lang w:val="fr-FR"/>
        </w:rPr>
        <w:t xml:space="preserve">ar </w:t>
      </w:r>
      <w:r w:rsidRPr="008B062D">
        <w:rPr>
          <w:lang w:val="fr-FR"/>
        </w:rPr>
        <w:t>«</w:t>
      </w:r>
      <w:r w:rsidRPr="008B062D">
        <w:rPr>
          <w:i/>
          <w:lang w:val="fr-FR"/>
        </w:rPr>
        <w:t>matériau catadioptrique fluorescent</w:t>
      </w:r>
      <w:r w:rsidRPr="008B062D">
        <w:rPr>
          <w:lang w:val="fr-FR"/>
        </w:rPr>
        <w:t>», un matériau qui, lorsqu</w:t>
      </w:r>
      <w:r w:rsidR="00971BFE">
        <w:rPr>
          <w:lang w:val="fr-FR"/>
        </w:rPr>
        <w:t>’</w:t>
      </w:r>
      <w:r w:rsidRPr="008B062D">
        <w:rPr>
          <w:lang w:val="fr-FR"/>
        </w:rPr>
        <w:t>il est excité par la lumière du jour, présente un phénomène de photoluminescence cessant peu après la fin de l</w:t>
      </w:r>
      <w:r w:rsidR="00971BFE">
        <w:rPr>
          <w:lang w:val="fr-FR"/>
        </w:rPr>
        <w:t>’</w:t>
      </w:r>
      <w:r w:rsidRPr="008B062D">
        <w:rPr>
          <w:lang w:val="fr-FR"/>
        </w:rPr>
        <w:t>excitation.</w:t>
      </w:r>
    </w:p>
    <w:p w:rsidR="004564D8" w:rsidRPr="008B062D" w:rsidRDefault="004564D8" w:rsidP="004564D8">
      <w:pPr>
        <w:pStyle w:val="HChG"/>
        <w:ind w:left="2268"/>
        <w:rPr>
          <w:lang w:val="fr-FR"/>
        </w:rPr>
      </w:pPr>
      <w:bookmarkStart w:id="5" w:name="_Toc386120405"/>
      <w:r>
        <w:rPr>
          <w:lang w:val="fr-FR"/>
        </w:rPr>
        <w:t>3.</w:t>
      </w:r>
      <w:r w:rsidRPr="008B062D">
        <w:rPr>
          <w:lang w:val="fr-FR"/>
        </w:rPr>
        <w:tab/>
      </w:r>
      <w:r w:rsidRPr="008B062D">
        <w:rPr>
          <w:lang w:val="fr-FR"/>
        </w:rPr>
        <w:tab/>
      </w:r>
      <w:bookmarkEnd w:id="5"/>
      <w:r w:rsidRPr="008B062D">
        <w:rPr>
          <w:lang w:val="fr-FR"/>
        </w:rPr>
        <w:t>Demande d</w:t>
      </w:r>
      <w:r w:rsidR="00971BFE">
        <w:rPr>
          <w:lang w:val="fr-FR"/>
        </w:rPr>
        <w:t>’</w:t>
      </w:r>
      <w:r w:rsidRPr="008B062D">
        <w:rPr>
          <w:lang w:val="fr-FR"/>
        </w:rPr>
        <w:t>homologation</w:t>
      </w:r>
    </w:p>
    <w:p w:rsidR="004564D8" w:rsidRPr="008B062D" w:rsidRDefault="004564D8" w:rsidP="008B6E33">
      <w:pPr>
        <w:pStyle w:val="SingleTxtG"/>
        <w:keepNext/>
        <w:ind w:left="2268"/>
        <w:rPr>
          <w:lang w:val="fr-FR" w:eastAsia="en-GB"/>
        </w:rPr>
      </w:pPr>
      <w:r w:rsidRPr="008B062D">
        <w:rPr>
          <w:lang w:val="fr-FR" w:eastAsia="en-GB"/>
        </w:rPr>
        <w:t>La demande d</w:t>
      </w:r>
      <w:r w:rsidR="00971BFE">
        <w:rPr>
          <w:lang w:val="fr-FR" w:eastAsia="en-GB"/>
        </w:rPr>
        <w:t>’</w:t>
      </w:r>
      <w:r w:rsidRPr="008B062D">
        <w:rPr>
          <w:lang w:val="fr-FR" w:eastAsia="en-GB"/>
        </w:rPr>
        <w:t>homologation sera présentée par le détenteur de la marque de fabrique ou de commerce, ou par son représentant dûment accrédité, et sera accompagnée:</w:t>
      </w:r>
    </w:p>
    <w:p w:rsidR="004564D8" w:rsidRPr="008B062D" w:rsidRDefault="004564D8" w:rsidP="00A5296C">
      <w:pPr>
        <w:pStyle w:val="SingleTxtG"/>
        <w:ind w:left="2268" w:hanging="1134"/>
        <w:rPr>
          <w:lang w:val="fr-FR" w:eastAsia="en-GB"/>
        </w:rPr>
      </w:pPr>
      <w:r w:rsidRPr="008B062D">
        <w:rPr>
          <w:lang w:val="fr-FR" w:eastAsia="en-GB"/>
        </w:rPr>
        <w:t>3.1</w:t>
      </w:r>
      <w:r w:rsidRPr="008B062D">
        <w:rPr>
          <w:lang w:val="fr-FR" w:eastAsia="en-GB"/>
        </w:rPr>
        <w:tab/>
      </w:r>
      <w:r w:rsidR="008B6E33">
        <w:rPr>
          <w:lang w:val="fr-FR" w:eastAsia="en-GB"/>
        </w:rPr>
        <w:t>D</w:t>
      </w:r>
      <w:r w:rsidRPr="008B062D">
        <w:rPr>
          <w:lang w:val="fr-FR" w:eastAsia="en-GB"/>
        </w:rPr>
        <w:t>e dessins cotés en trois exemplaires, suffisamment détaillés pour permettre l</w:t>
      </w:r>
      <w:r w:rsidR="00971BFE">
        <w:rPr>
          <w:lang w:val="fr-FR" w:eastAsia="en-GB"/>
        </w:rPr>
        <w:t>’</w:t>
      </w:r>
      <w:r w:rsidR="008B6E33">
        <w:rPr>
          <w:lang w:val="fr-FR" w:eastAsia="en-GB"/>
        </w:rPr>
        <w:t>identification de type;</w:t>
      </w:r>
    </w:p>
    <w:p w:rsidR="004564D8" w:rsidRPr="008B062D" w:rsidRDefault="004564D8" w:rsidP="00A5296C">
      <w:pPr>
        <w:pStyle w:val="SingleTxtG"/>
        <w:ind w:left="2268" w:hanging="1134"/>
        <w:rPr>
          <w:lang w:val="fr-FR" w:eastAsia="en-GB"/>
        </w:rPr>
      </w:pPr>
      <w:r w:rsidRPr="008B062D">
        <w:rPr>
          <w:lang w:val="fr-FR" w:eastAsia="en-GB"/>
        </w:rPr>
        <w:t>3.2</w:t>
      </w:r>
      <w:r w:rsidRPr="008B062D">
        <w:rPr>
          <w:lang w:val="fr-FR" w:eastAsia="en-GB"/>
        </w:rPr>
        <w:tab/>
      </w:r>
      <w:r w:rsidR="008B6E33">
        <w:rPr>
          <w:lang w:val="fr-FR" w:eastAsia="en-GB"/>
        </w:rPr>
        <w:t>D</w:t>
      </w:r>
      <w:r w:rsidR="00971BFE">
        <w:rPr>
          <w:lang w:val="fr-FR" w:eastAsia="en-GB"/>
        </w:rPr>
        <w:t>’</w:t>
      </w:r>
      <w:r w:rsidRPr="008B062D">
        <w:rPr>
          <w:lang w:val="fr-FR" w:eastAsia="en-GB"/>
        </w:rPr>
        <w:t>une description succincte donnant les spécifications techniques des matériaux constitutifs du triangle de présignalisation et indiquant le mode d</w:t>
      </w:r>
      <w:r w:rsidR="00971BFE">
        <w:rPr>
          <w:lang w:val="fr-FR" w:eastAsia="en-GB"/>
        </w:rPr>
        <w:t>’</w:t>
      </w:r>
      <w:r w:rsidRPr="008B062D">
        <w:rPr>
          <w:lang w:val="fr-FR" w:eastAsia="en-GB"/>
        </w:rPr>
        <w:t>emp</w:t>
      </w:r>
      <w:r w:rsidR="008B6E33">
        <w:rPr>
          <w:lang w:val="fr-FR" w:eastAsia="en-GB"/>
        </w:rPr>
        <w:t>loi;</w:t>
      </w:r>
    </w:p>
    <w:p w:rsidR="004564D8" w:rsidRPr="008B062D" w:rsidRDefault="004564D8" w:rsidP="00A5296C">
      <w:pPr>
        <w:pStyle w:val="SingleTxtG"/>
        <w:ind w:left="2268" w:hanging="1134"/>
        <w:rPr>
          <w:lang w:val="fr-FR" w:eastAsia="en-GB"/>
        </w:rPr>
      </w:pPr>
      <w:r w:rsidRPr="008B062D">
        <w:rPr>
          <w:lang w:val="fr-FR" w:eastAsia="en-GB"/>
        </w:rPr>
        <w:t>3.3</w:t>
      </w:r>
      <w:r w:rsidRPr="008B062D">
        <w:rPr>
          <w:lang w:val="fr-FR" w:eastAsia="en-GB"/>
        </w:rPr>
        <w:tab/>
      </w:r>
      <w:r w:rsidR="008B6E33">
        <w:rPr>
          <w:lang w:val="fr-FR" w:eastAsia="en-GB"/>
        </w:rPr>
        <w:t>D</w:t>
      </w:r>
      <w:r w:rsidR="00971BFE">
        <w:rPr>
          <w:lang w:val="fr-FR" w:eastAsia="en-GB"/>
        </w:rPr>
        <w:t>’</w:t>
      </w:r>
      <w:r w:rsidRPr="008B062D">
        <w:rPr>
          <w:lang w:val="fr-FR" w:eastAsia="en-GB"/>
        </w:rPr>
        <w:t>une copie des instructions sur la manière de le m</w:t>
      </w:r>
      <w:r w:rsidR="008B6E33">
        <w:rPr>
          <w:lang w:val="fr-FR" w:eastAsia="en-GB"/>
        </w:rPr>
        <w:t>onter en vue de son utilisation;</w:t>
      </w:r>
    </w:p>
    <w:p w:rsidR="004564D8" w:rsidRPr="008B062D" w:rsidRDefault="004564D8" w:rsidP="00A5296C">
      <w:pPr>
        <w:pStyle w:val="SingleTxtG"/>
        <w:ind w:left="2268" w:hanging="1134"/>
        <w:rPr>
          <w:lang w:val="fr-FR" w:eastAsia="en-GB"/>
        </w:rPr>
      </w:pPr>
      <w:r w:rsidRPr="008B062D">
        <w:rPr>
          <w:lang w:val="fr-FR" w:eastAsia="en-GB"/>
        </w:rPr>
        <w:t>3.4</w:t>
      </w:r>
      <w:r w:rsidRPr="008B062D">
        <w:rPr>
          <w:lang w:val="fr-FR" w:eastAsia="en-GB"/>
        </w:rPr>
        <w:tab/>
      </w:r>
      <w:r w:rsidR="008B6E33">
        <w:rPr>
          <w:lang w:val="fr-FR" w:eastAsia="en-GB"/>
        </w:rPr>
        <w:t>D</w:t>
      </w:r>
      <w:r w:rsidRPr="008B062D">
        <w:rPr>
          <w:lang w:val="fr-FR" w:eastAsia="en-GB"/>
        </w:rPr>
        <w:t>e quatre échantillons du triangle de présignalisation et d</w:t>
      </w:r>
      <w:r w:rsidR="00971BFE">
        <w:rPr>
          <w:lang w:val="fr-FR" w:eastAsia="en-GB"/>
        </w:rPr>
        <w:t>’</w:t>
      </w:r>
      <w:r w:rsidRPr="008B062D">
        <w:rPr>
          <w:lang w:val="fr-FR" w:eastAsia="en-GB"/>
        </w:rPr>
        <w:t>au moins deux étuis de protection si les triangles de présignalisation doivent être fournis avec de</w:t>
      </w:r>
      <w:r w:rsidR="00E608DD">
        <w:rPr>
          <w:lang w:val="fr-FR" w:eastAsia="en-GB"/>
        </w:rPr>
        <w:t>s étuis de protection;</w:t>
      </w:r>
    </w:p>
    <w:p w:rsidR="004564D8" w:rsidRPr="008B062D" w:rsidRDefault="004564D8" w:rsidP="00A5296C">
      <w:pPr>
        <w:pStyle w:val="SingleTxtG"/>
        <w:ind w:left="2268" w:hanging="1134"/>
        <w:rPr>
          <w:lang w:val="fr-FR" w:eastAsia="en-GB"/>
        </w:rPr>
      </w:pPr>
      <w:r w:rsidRPr="008B062D">
        <w:rPr>
          <w:lang w:val="fr-FR" w:eastAsia="en-GB"/>
        </w:rPr>
        <w:t>3.5</w:t>
      </w:r>
      <w:r w:rsidRPr="008B062D">
        <w:rPr>
          <w:lang w:val="fr-FR" w:eastAsia="en-GB"/>
        </w:rPr>
        <w:tab/>
      </w:r>
      <w:r w:rsidR="008B6E33">
        <w:rPr>
          <w:lang w:val="fr-FR" w:eastAsia="en-GB"/>
        </w:rPr>
        <w:t>D</w:t>
      </w:r>
      <w:r w:rsidRPr="008B062D">
        <w:rPr>
          <w:lang w:val="fr-FR" w:eastAsia="en-GB"/>
        </w:rPr>
        <w:t>e deux échantillons de matière fluorescente ou catadioptrique fluorescente suffisant</w:t>
      </w:r>
      <w:r w:rsidR="00E608DD">
        <w:rPr>
          <w:lang w:val="fr-FR" w:eastAsia="en-GB"/>
        </w:rPr>
        <w:t>s pour inscrire un carré de 100 </w:t>
      </w:r>
      <w:r w:rsidRPr="008B062D">
        <w:rPr>
          <w:lang w:val="fr-FR" w:eastAsia="en-GB"/>
        </w:rPr>
        <w:t>x</w:t>
      </w:r>
      <w:r w:rsidR="00E608DD">
        <w:rPr>
          <w:lang w:val="fr-FR" w:eastAsia="en-GB"/>
        </w:rPr>
        <w:t> </w:t>
      </w:r>
      <w:r w:rsidRPr="008B062D">
        <w:rPr>
          <w:lang w:val="fr-FR" w:eastAsia="en-GB"/>
        </w:rPr>
        <w:t>100 mm et pleinement représentatifs de la matière, appliquée dans les mêmes conditions au même support que sur le triangle de présignalisation.</w:t>
      </w:r>
    </w:p>
    <w:p w:rsidR="004564D8" w:rsidRPr="008B062D" w:rsidRDefault="00E608DD" w:rsidP="00A5296C">
      <w:pPr>
        <w:pStyle w:val="SingleTxtG"/>
        <w:ind w:left="2268" w:hanging="1134"/>
        <w:rPr>
          <w:lang w:val="fr-FR" w:eastAsia="en-GB"/>
        </w:rPr>
      </w:pPr>
      <w:r>
        <w:rPr>
          <w:lang w:val="fr-FR" w:eastAsia="en-GB"/>
        </w:rPr>
        <w:t>3.6</w:t>
      </w:r>
      <w:r w:rsidR="004564D8" w:rsidRPr="008B062D">
        <w:rPr>
          <w:lang w:val="fr-FR" w:eastAsia="en-GB"/>
        </w:rPr>
        <w:tab/>
        <w:t>Lorsqu</w:t>
      </w:r>
      <w:r w:rsidR="00971BFE">
        <w:rPr>
          <w:lang w:val="fr-FR" w:eastAsia="en-GB"/>
        </w:rPr>
        <w:t>’</w:t>
      </w:r>
      <w:r w:rsidR="004564D8" w:rsidRPr="008B062D">
        <w:rPr>
          <w:lang w:val="fr-FR" w:eastAsia="en-GB"/>
        </w:rPr>
        <w:t>il s</w:t>
      </w:r>
      <w:r w:rsidR="00971BFE">
        <w:rPr>
          <w:lang w:val="fr-FR" w:eastAsia="en-GB"/>
        </w:rPr>
        <w:t>’</w:t>
      </w:r>
      <w:r w:rsidR="004564D8" w:rsidRPr="008B062D">
        <w:rPr>
          <w:lang w:val="fr-FR" w:eastAsia="en-GB"/>
        </w:rPr>
        <w:t>agit d</w:t>
      </w:r>
      <w:r w:rsidR="00971BFE">
        <w:rPr>
          <w:lang w:val="fr-FR" w:eastAsia="en-GB"/>
        </w:rPr>
        <w:t>’</w:t>
      </w:r>
      <w:r w:rsidR="004564D8" w:rsidRPr="008B062D">
        <w:rPr>
          <w:lang w:val="fr-FR" w:eastAsia="en-GB"/>
        </w:rPr>
        <w:t>un type de lampe triangle de présignalisation ne différant que par la marque de fabrique ou de commerce d</w:t>
      </w:r>
      <w:r w:rsidR="00971BFE">
        <w:rPr>
          <w:lang w:val="fr-FR" w:eastAsia="en-GB"/>
        </w:rPr>
        <w:t>’</w:t>
      </w:r>
      <w:r w:rsidR="004564D8" w:rsidRPr="008B062D">
        <w:rPr>
          <w:lang w:val="fr-FR" w:eastAsia="en-GB"/>
        </w:rPr>
        <w:t>un type avant été antérieurement homologué, il suffit de présenter:</w:t>
      </w:r>
    </w:p>
    <w:p w:rsidR="004564D8" w:rsidRPr="008B062D" w:rsidRDefault="004564D8" w:rsidP="00A5296C">
      <w:pPr>
        <w:pStyle w:val="SingleTxtG"/>
        <w:ind w:left="2268" w:hanging="1134"/>
        <w:rPr>
          <w:lang w:val="fr-FR" w:eastAsia="en-GB"/>
        </w:rPr>
      </w:pPr>
      <w:r w:rsidRPr="008B062D">
        <w:rPr>
          <w:lang w:val="fr-FR" w:eastAsia="en-GB"/>
        </w:rPr>
        <w:t>3.6.1</w:t>
      </w:r>
      <w:r w:rsidRPr="008B062D">
        <w:rPr>
          <w:lang w:val="fr-FR" w:eastAsia="en-GB"/>
        </w:rPr>
        <w:tab/>
        <w:t>Une déclaration du fabricant de la lampe du triangle de présignalisation précisant que le type soumis est identique (sauf quant à la marque de fabrique ou de commerce) et provient du même fabricant que le type déjà homologué, celui-ci tant identifié par son code d</w:t>
      </w:r>
      <w:r w:rsidR="00971BFE">
        <w:rPr>
          <w:lang w:val="fr-FR" w:eastAsia="en-GB"/>
        </w:rPr>
        <w:t>’</w:t>
      </w:r>
      <w:r w:rsidRPr="008B062D">
        <w:rPr>
          <w:lang w:val="fr-FR" w:eastAsia="en-GB"/>
        </w:rPr>
        <w:t>homologation;</w:t>
      </w:r>
    </w:p>
    <w:p w:rsidR="004564D8" w:rsidRPr="008B062D" w:rsidRDefault="004564D8" w:rsidP="00A5296C">
      <w:pPr>
        <w:pStyle w:val="SingleTxtG"/>
        <w:ind w:left="2268" w:hanging="1134"/>
        <w:rPr>
          <w:lang w:val="fr-FR" w:eastAsia="en-GB"/>
        </w:rPr>
      </w:pPr>
      <w:r w:rsidRPr="008B062D">
        <w:rPr>
          <w:lang w:val="fr-FR" w:eastAsia="en-GB"/>
        </w:rPr>
        <w:t>3.6.2</w:t>
      </w:r>
      <w:r w:rsidRPr="008B062D">
        <w:rPr>
          <w:lang w:val="fr-FR" w:eastAsia="en-GB"/>
        </w:rPr>
        <w:tab/>
        <w:t>Deux échantillons portant la nouvelle marque de fabrique ou de commerce ou une documentation équivalente.</w:t>
      </w:r>
    </w:p>
    <w:p w:rsidR="004564D8" w:rsidRPr="008B062D" w:rsidRDefault="004564D8" w:rsidP="004564D8">
      <w:pPr>
        <w:pStyle w:val="HChG"/>
        <w:ind w:left="2268"/>
        <w:rPr>
          <w:lang w:val="fr-FR"/>
        </w:rPr>
      </w:pPr>
      <w:bookmarkStart w:id="6" w:name="_Toc386120406"/>
      <w:r>
        <w:rPr>
          <w:lang w:val="fr-FR"/>
        </w:rPr>
        <w:t>4.</w:t>
      </w:r>
      <w:r w:rsidRPr="008B062D">
        <w:rPr>
          <w:lang w:val="fr-FR"/>
        </w:rPr>
        <w:tab/>
      </w:r>
      <w:r w:rsidRPr="008B062D">
        <w:rPr>
          <w:lang w:val="fr-FR"/>
        </w:rPr>
        <w:tab/>
      </w:r>
      <w:bookmarkEnd w:id="6"/>
      <w:r w:rsidRPr="008B062D">
        <w:rPr>
          <w:lang w:val="fr-FR"/>
        </w:rPr>
        <w:t>Inscriptions</w:t>
      </w:r>
    </w:p>
    <w:p w:rsidR="004564D8" w:rsidRPr="008B062D" w:rsidRDefault="004564D8" w:rsidP="00A5296C">
      <w:pPr>
        <w:pStyle w:val="SingleTxtG"/>
        <w:ind w:left="2268" w:hanging="1134"/>
        <w:rPr>
          <w:lang w:val="fr-FR" w:eastAsia="en-GB"/>
        </w:rPr>
      </w:pPr>
      <w:r w:rsidRPr="008B062D">
        <w:rPr>
          <w:lang w:val="fr-FR" w:eastAsia="en-GB"/>
        </w:rPr>
        <w:t>4.1</w:t>
      </w:r>
      <w:r w:rsidRPr="008B062D">
        <w:rPr>
          <w:lang w:val="fr-FR" w:eastAsia="en-GB"/>
        </w:rPr>
        <w:tab/>
        <w:t>Chaque triangle de présignalisation et sa housse présentés à l</w:t>
      </w:r>
      <w:r w:rsidR="00971BFE">
        <w:rPr>
          <w:lang w:val="fr-FR" w:eastAsia="en-GB"/>
        </w:rPr>
        <w:t>’</w:t>
      </w:r>
      <w:r w:rsidRPr="008B062D">
        <w:rPr>
          <w:lang w:val="fr-FR" w:eastAsia="en-GB"/>
        </w:rPr>
        <w:t>homologation porteront la marque de fabrique ou de commerce du demandeur; cette marque doit être nettement lisible et indélébile.</w:t>
      </w:r>
    </w:p>
    <w:p w:rsidR="004564D8" w:rsidRPr="008B062D" w:rsidRDefault="004564D8" w:rsidP="00A5296C">
      <w:pPr>
        <w:pStyle w:val="SingleTxtG"/>
        <w:ind w:left="2268" w:hanging="1134"/>
        <w:rPr>
          <w:lang w:val="fr-FR" w:eastAsia="en-GB"/>
        </w:rPr>
      </w:pPr>
      <w:r w:rsidRPr="008B062D">
        <w:rPr>
          <w:lang w:val="fr-FR" w:eastAsia="en-GB"/>
        </w:rPr>
        <w:t>4.2</w:t>
      </w:r>
      <w:r w:rsidRPr="008B062D">
        <w:rPr>
          <w:lang w:val="fr-FR" w:eastAsia="en-GB"/>
        </w:rPr>
        <w:tab/>
        <w:t>Chaque triangle de présignalisation et sa housse comporteront un ou des emplacements de grandeur suffisante pour la marque d</w:t>
      </w:r>
      <w:r w:rsidR="00971BFE">
        <w:rPr>
          <w:lang w:val="fr-FR" w:eastAsia="en-GB"/>
        </w:rPr>
        <w:t>’</w:t>
      </w:r>
      <w:r w:rsidRPr="008B062D">
        <w:rPr>
          <w:lang w:val="fr-FR" w:eastAsia="en-GB"/>
        </w:rPr>
        <w:t>homologation; ces emplacements seront indiqués sur les dessins mentionnés au paragraphe 3.1 ci-dessus.</w:t>
      </w:r>
    </w:p>
    <w:p w:rsidR="004564D8" w:rsidRPr="008B062D" w:rsidRDefault="004564D8" w:rsidP="004564D8">
      <w:pPr>
        <w:pStyle w:val="HChG"/>
        <w:ind w:left="2268"/>
        <w:rPr>
          <w:lang w:val="fr-FR"/>
        </w:rPr>
      </w:pPr>
      <w:bookmarkStart w:id="7" w:name="_Toc386120407"/>
      <w:r>
        <w:rPr>
          <w:lang w:val="fr-FR"/>
        </w:rPr>
        <w:lastRenderedPageBreak/>
        <w:t>5.</w:t>
      </w:r>
      <w:r w:rsidRPr="008B062D">
        <w:rPr>
          <w:lang w:val="fr-FR"/>
        </w:rPr>
        <w:tab/>
      </w:r>
      <w:r w:rsidRPr="008B062D">
        <w:rPr>
          <w:lang w:val="fr-FR"/>
        </w:rPr>
        <w:tab/>
      </w:r>
      <w:bookmarkEnd w:id="7"/>
      <w:r w:rsidRPr="008B062D">
        <w:rPr>
          <w:lang w:val="fr-FR"/>
        </w:rPr>
        <w:t>Homologation</w:t>
      </w:r>
    </w:p>
    <w:p w:rsidR="004564D8" w:rsidRPr="008B062D" w:rsidRDefault="004564D8" w:rsidP="00A5296C">
      <w:pPr>
        <w:pStyle w:val="SingleTxtG"/>
        <w:ind w:left="2268" w:hanging="1134"/>
        <w:rPr>
          <w:lang w:val="fr-FR" w:eastAsia="en-GB"/>
        </w:rPr>
      </w:pPr>
      <w:r w:rsidRPr="008B062D">
        <w:rPr>
          <w:lang w:val="fr-FR" w:eastAsia="en-GB"/>
        </w:rPr>
        <w:t>5.1</w:t>
      </w:r>
      <w:r w:rsidRPr="008B062D">
        <w:rPr>
          <w:lang w:val="fr-FR" w:eastAsia="en-GB"/>
        </w:rPr>
        <w:tab/>
        <w:t>Lorsque tous les échantillons d</w:t>
      </w:r>
      <w:r w:rsidR="00971BFE">
        <w:rPr>
          <w:lang w:val="fr-FR" w:eastAsia="en-GB"/>
        </w:rPr>
        <w:t>’</w:t>
      </w:r>
      <w:r w:rsidRPr="008B062D">
        <w:rPr>
          <w:lang w:val="fr-FR" w:eastAsia="en-GB"/>
        </w:rPr>
        <w:t>un type de triangle de présignalisation prése</w:t>
      </w:r>
      <w:r w:rsidR="00E608DD">
        <w:rPr>
          <w:lang w:val="fr-FR" w:eastAsia="en-GB"/>
        </w:rPr>
        <w:t>ntés en exécution du paragraphe </w:t>
      </w:r>
      <w:r w:rsidRPr="008B062D">
        <w:rPr>
          <w:lang w:val="fr-FR" w:eastAsia="en-GB"/>
        </w:rPr>
        <w:t>3 ci-dessus satisfont aux prescriptions du présent Règlement, l</w:t>
      </w:r>
      <w:r w:rsidR="00971BFE">
        <w:rPr>
          <w:lang w:val="fr-FR" w:eastAsia="en-GB"/>
        </w:rPr>
        <w:t>’</w:t>
      </w:r>
      <w:r w:rsidRPr="008B062D">
        <w:rPr>
          <w:lang w:val="fr-FR" w:eastAsia="en-GB"/>
        </w:rPr>
        <w:t>homologation est accordée.</w:t>
      </w:r>
    </w:p>
    <w:p w:rsidR="004564D8" w:rsidRPr="008B062D" w:rsidRDefault="004564D8" w:rsidP="00A5296C">
      <w:pPr>
        <w:pStyle w:val="SingleTxtG"/>
        <w:ind w:left="2268" w:hanging="1134"/>
        <w:rPr>
          <w:lang w:val="fr-FR" w:eastAsia="en-GB"/>
        </w:rPr>
      </w:pPr>
      <w:r w:rsidRPr="008B062D">
        <w:rPr>
          <w:lang w:val="fr-FR" w:eastAsia="en-GB"/>
        </w:rPr>
        <w:t>5.2</w:t>
      </w:r>
      <w:r w:rsidRPr="008B062D">
        <w:rPr>
          <w:lang w:val="fr-FR" w:eastAsia="en-GB"/>
        </w:rPr>
        <w:tab/>
        <w:t>Chaque homologation comporte l</w:t>
      </w:r>
      <w:r w:rsidR="00971BFE">
        <w:rPr>
          <w:lang w:val="fr-FR" w:eastAsia="en-GB"/>
        </w:rPr>
        <w:t>’</w:t>
      </w:r>
      <w:r w:rsidRPr="008B062D">
        <w:rPr>
          <w:lang w:val="fr-FR" w:eastAsia="en-GB"/>
        </w:rPr>
        <w:t>attribution d</w:t>
      </w:r>
      <w:r w:rsidR="00971BFE">
        <w:rPr>
          <w:lang w:val="fr-FR" w:eastAsia="en-GB"/>
        </w:rPr>
        <w:t>’</w:t>
      </w:r>
      <w:r w:rsidRPr="008B062D">
        <w:rPr>
          <w:lang w:val="fr-FR" w:eastAsia="en-GB"/>
        </w:rPr>
        <w:t>un numéro d</w:t>
      </w:r>
      <w:r w:rsidR="00971BFE">
        <w:rPr>
          <w:lang w:val="fr-FR" w:eastAsia="en-GB"/>
        </w:rPr>
        <w:t>’</w:t>
      </w:r>
      <w:r w:rsidRPr="008B062D">
        <w:rPr>
          <w:lang w:val="fr-FR" w:eastAsia="en-GB"/>
        </w:rPr>
        <w:t>homologation dont les deux premiers chiffres (actuellement 04 correspondant à la série 04 d</w:t>
      </w:r>
      <w:r w:rsidR="00971BFE">
        <w:rPr>
          <w:lang w:val="fr-FR" w:eastAsia="en-GB"/>
        </w:rPr>
        <w:t>’</w:t>
      </w:r>
      <w:r w:rsidRPr="008B062D">
        <w:rPr>
          <w:lang w:val="fr-FR" w:eastAsia="en-GB"/>
        </w:rPr>
        <w:t>amendements) indiquent la série d</w:t>
      </w:r>
      <w:r w:rsidR="00971BFE">
        <w:rPr>
          <w:lang w:val="fr-FR" w:eastAsia="en-GB"/>
        </w:rPr>
        <w:t>’</w:t>
      </w:r>
      <w:r w:rsidRPr="008B062D">
        <w:rPr>
          <w:lang w:val="fr-FR" w:eastAsia="en-GB"/>
        </w:rPr>
        <w:t>amendements englobant les plus récentes modifications techniques majeures apportées au Règlement à la date de la délivrance de l</w:t>
      </w:r>
      <w:r w:rsidR="00971BFE">
        <w:rPr>
          <w:lang w:val="fr-FR" w:eastAsia="en-GB"/>
        </w:rPr>
        <w:t>’</w:t>
      </w:r>
      <w:r w:rsidRPr="008B062D">
        <w:rPr>
          <w:lang w:val="fr-FR" w:eastAsia="en-GB"/>
        </w:rPr>
        <w:t>homologation. Une même Partie contractante ne peut pas attribuer ce numéro à un autre type de triangle de présignalisation visé par le présent Règlement.</w:t>
      </w:r>
    </w:p>
    <w:p w:rsidR="004564D8" w:rsidRPr="008B062D" w:rsidRDefault="004564D8" w:rsidP="00A5296C">
      <w:pPr>
        <w:pStyle w:val="SingleTxtG"/>
        <w:ind w:left="2268" w:hanging="1134"/>
        <w:rPr>
          <w:lang w:val="fr-FR" w:eastAsia="en-GB"/>
        </w:rPr>
      </w:pPr>
      <w:r w:rsidRPr="008B062D">
        <w:rPr>
          <w:lang w:val="fr-FR" w:eastAsia="en-GB"/>
        </w:rPr>
        <w:t xml:space="preserve">5.3 </w:t>
      </w:r>
      <w:r w:rsidRPr="008B062D">
        <w:rPr>
          <w:lang w:val="fr-FR" w:eastAsia="en-GB"/>
        </w:rPr>
        <w:tab/>
        <w:t>L</w:t>
      </w:r>
      <w:r w:rsidR="00971BFE">
        <w:rPr>
          <w:lang w:val="fr-FR" w:eastAsia="en-GB"/>
        </w:rPr>
        <w:t>’</w:t>
      </w:r>
      <w:r w:rsidRPr="008B062D">
        <w:rPr>
          <w:lang w:val="fr-FR" w:eastAsia="en-GB"/>
        </w:rPr>
        <w:t>homologation ou le refus d</w:t>
      </w:r>
      <w:r w:rsidR="00971BFE">
        <w:rPr>
          <w:lang w:val="fr-FR" w:eastAsia="en-GB"/>
        </w:rPr>
        <w:t>’</w:t>
      </w:r>
      <w:r w:rsidRPr="008B062D">
        <w:rPr>
          <w:lang w:val="fr-FR" w:eastAsia="en-GB"/>
        </w:rPr>
        <w:t>homologation d</w:t>
      </w:r>
      <w:r w:rsidR="00971BFE">
        <w:rPr>
          <w:lang w:val="fr-FR" w:eastAsia="en-GB"/>
        </w:rPr>
        <w:t>’</w:t>
      </w:r>
      <w:r w:rsidRPr="008B062D">
        <w:rPr>
          <w:lang w:val="fr-FR" w:eastAsia="en-GB"/>
        </w:rPr>
        <w:t>un type de triangle de présignalisation en application du présent Règlement sera communiqué aux pays Parties à l</w:t>
      </w:r>
      <w:r w:rsidR="00971BFE">
        <w:rPr>
          <w:lang w:val="fr-FR" w:eastAsia="en-GB"/>
        </w:rPr>
        <w:t>’</w:t>
      </w:r>
      <w:r w:rsidRPr="008B062D">
        <w:rPr>
          <w:lang w:val="fr-FR" w:eastAsia="en-GB"/>
        </w:rPr>
        <w:t>Accord appliquant le présent Règlement au moyen d</w:t>
      </w:r>
      <w:r w:rsidR="00971BFE">
        <w:rPr>
          <w:lang w:val="fr-FR" w:eastAsia="en-GB"/>
        </w:rPr>
        <w:t>’</w:t>
      </w:r>
      <w:r w:rsidRPr="008B062D">
        <w:rPr>
          <w:lang w:val="fr-FR" w:eastAsia="en-GB"/>
        </w:rPr>
        <w:t>une fiche conforme au modèle de l</w:t>
      </w:r>
      <w:r w:rsidR="00971BFE">
        <w:rPr>
          <w:lang w:val="fr-FR" w:eastAsia="en-GB"/>
        </w:rPr>
        <w:t>’</w:t>
      </w:r>
      <w:r w:rsidRPr="008B062D">
        <w:rPr>
          <w:lang w:val="fr-FR" w:eastAsia="en-GB"/>
        </w:rPr>
        <w:t>annexe 1 du présent Règlement, accompagnée de dessins cotés (fournis par le demandeur de l</w:t>
      </w:r>
      <w:r w:rsidR="00971BFE">
        <w:rPr>
          <w:lang w:val="fr-FR" w:eastAsia="en-GB"/>
        </w:rPr>
        <w:t>’</w:t>
      </w:r>
      <w:r w:rsidRPr="008B062D">
        <w:rPr>
          <w:lang w:val="fr-FR" w:eastAsia="en-GB"/>
        </w:rPr>
        <w:t>homologatio</w:t>
      </w:r>
      <w:r w:rsidR="00E608DD">
        <w:rPr>
          <w:lang w:val="fr-FR" w:eastAsia="en-GB"/>
        </w:rPr>
        <w:t>n), au format maximal A4 (210 x </w:t>
      </w:r>
      <w:r w:rsidRPr="008B062D">
        <w:rPr>
          <w:lang w:val="fr-FR" w:eastAsia="en-GB"/>
        </w:rPr>
        <w:t xml:space="preserve">297 mm) ou pliés à ce format et à une échelle appropriée. </w:t>
      </w:r>
    </w:p>
    <w:p w:rsidR="004564D8" w:rsidRPr="008B062D" w:rsidRDefault="004564D8" w:rsidP="00A5296C">
      <w:pPr>
        <w:pStyle w:val="SingleTxtG"/>
        <w:ind w:left="2268" w:hanging="1134"/>
        <w:rPr>
          <w:lang w:val="fr-FR" w:eastAsia="en-GB"/>
        </w:rPr>
      </w:pPr>
      <w:r w:rsidRPr="008B062D">
        <w:rPr>
          <w:lang w:val="fr-FR" w:eastAsia="en-GB"/>
        </w:rPr>
        <w:t>5.4</w:t>
      </w:r>
      <w:r w:rsidRPr="008B062D">
        <w:rPr>
          <w:lang w:val="fr-FR" w:eastAsia="en-GB"/>
        </w:rPr>
        <w:tab/>
        <w:t>Sur tout triangle de présignalisation conforme à un type homologué en</w:t>
      </w:r>
      <w:r w:rsidR="00E608DD">
        <w:rPr>
          <w:lang w:val="fr-FR" w:eastAsia="en-GB"/>
        </w:rPr>
        <w:t> </w:t>
      </w:r>
      <w:r w:rsidRPr="008B062D">
        <w:rPr>
          <w:lang w:val="fr-FR" w:eastAsia="en-GB"/>
        </w:rPr>
        <w:t>application du présent Règlement et sur sa housse, il sera apposé, à l</w:t>
      </w:r>
      <w:r w:rsidR="00971BFE">
        <w:rPr>
          <w:lang w:val="fr-FR" w:eastAsia="en-GB"/>
        </w:rPr>
        <w:t>’</w:t>
      </w:r>
      <w:r w:rsidRPr="008B062D">
        <w:rPr>
          <w:lang w:val="fr-FR" w:eastAsia="en-GB"/>
        </w:rPr>
        <w:t>emplacement visé au paragraphe</w:t>
      </w:r>
      <w:r w:rsidR="00E608DD">
        <w:rPr>
          <w:lang w:val="fr-FR" w:eastAsia="en-GB"/>
        </w:rPr>
        <w:t> </w:t>
      </w:r>
      <w:r w:rsidRPr="008B062D">
        <w:rPr>
          <w:lang w:val="fr-FR" w:eastAsia="en-GB"/>
        </w:rPr>
        <w:t>4.2 ci-dessus, en plus de la</w:t>
      </w:r>
      <w:r w:rsidR="00E608DD">
        <w:rPr>
          <w:lang w:val="fr-FR" w:eastAsia="en-GB"/>
        </w:rPr>
        <w:t xml:space="preserve"> marque prescrite au paragraphe </w:t>
      </w:r>
      <w:r w:rsidRPr="008B062D">
        <w:rPr>
          <w:lang w:val="fr-FR" w:eastAsia="en-GB"/>
        </w:rPr>
        <w:t>4.1 ci-dessus:</w:t>
      </w:r>
    </w:p>
    <w:p w:rsidR="004564D8" w:rsidRPr="008B062D" w:rsidRDefault="004564D8" w:rsidP="009F713A">
      <w:pPr>
        <w:pStyle w:val="SingleTxtG"/>
        <w:keepNext/>
        <w:ind w:left="2268" w:hanging="1134"/>
        <w:rPr>
          <w:lang w:val="fr-FR" w:eastAsia="en-GB"/>
        </w:rPr>
      </w:pPr>
      <w:r w:rsidRPr="008B062D">
        <w:rPr>
          <w:lang w:val="fr-FR" w:eastAsia="en-GB"/>
        </w:rPr>
        <w:t>5.4.1</w:t>
      </w:r>
      <w:r w:rsidRPr="008B062D">
        <w:rPr>
          <w:lang w:val="fr-FR" w:eastAsia="en-GB"/>
        </w:rPr>
        <w:tab/>
      </w:r>
      <w:r w:rsidR="00083627">
        <w:rPr>
          <w:lang w:val="fr-FR" w:eastAsia="en-GB"/>
        </w:rPr>
        <w:t>U</w:t>
      </w:r>
      <w:r w:rsidRPr="008B062D">
        <w:rPr>
          <w:lang w:val="fr-FR" w:eastAsia="en-GB"/>
        </w:rPr>
        <w:t>ne marque d</w:t>
      </w:r>
      <w:r w:rsidR="00971BFE">
        <w:rPr>
          <w:lang w:val="fr-FR" w:eastAsia="en-GB"/>
        </w:rPr>
        <w:t>’</w:t>
      </w:r>
      <w:r w:rsidRPr="008B062D">
        <w:rPr>
          <w:lang w:val="fr-FR" w:eastAsia="en-GB"/>
        </w:rPr>
        <w:t>homologation internationale composée:</w:t>
      </w:r>
    </w:p>
    <w:p w:rsidR="004564D8" w:rsidRPr="008B062D" w:rsidRDefault="004564D8" w:rsidP="00A5296C">
      <w:pPr>
        <w:pStyle w:val="SingleTxtG"/>
        <w:ind w:left="2268" w:hanging="1134"/>
        <w:rPr>
          <w:lang w:val="fr-FR" w:eastAsia="en-GB"/>
        </w:rPr>
      </w:pPr>
      <w:r w:rsidRPr="008B062D">
        <w:rPr>
          <w:lang w:val="fr-FR" w:eastAsia="en-GB"/>
        </w:rPr>
        <w:t>5.4.1.1</w:t>
      </w:r>
      <w:r w:rsidRPr="008B062D">
        <w:rPr>
          <w:lang w:val="fr-FR" w:eastAsia="en-GB"/>
        </w:rPr>
        <w:tab/>
      </w:r>
      <w:r w:rsidR="00083627">
        <w:rPr>
          <w:lang w:val="fr-FR" w:eastAsia="en-GB"/>
        </w:rPr>
        <w:t>D</w:t>
      </w:r>
      <w:r w:rsidR="00971BFE">
        <w:rPr>
          <w:lang w:val="fr-FR" w:eastAsia="en-GB"/>
        </w:rPr>
        <w:t>’</w:t>
      </w:r>
      <w:r w:rsidRPr="008B062D">
        <w:rPr>
          <w:lang w:val="fr-FR" w:eastAsia="en-GB"/>
        </w:rPr>
        <w:t>un cercle, à l</w:t>
      </w:r>
      <w:r w:rsidR="00971BFE">
        <w:rPr>
          <w:lang w:val="fr-FR" w:eastAsia="en-GB"/>
        </w:rPr>
        <w:t>’</w:t>
      </w:r>
      <w:r w:rsidRPr="008B062D">
        <w:rPr>
          <w:lang w:val="fr-FR" w:eastAsia="en-GB"/>
        </w:rPr>
        <w:t>intérieur duquel est placée la lettre «E» suivie du numéro distinctif du pays ayant délivré l</w:t>
      </w:r>
      <w:r w:rsidR="00971BFE">
        <w:rPr>
          <w:lang w:val="fr-FR" w:eastAsia="en-GB"/>
        </w:rPr>
        <w:t>’</w:t>
      </w:r>
      <w:r w:rsidRPr="008B062D">
        <w:rPr>
          <w:lang w:val="fr-FR" w:eastAsia="en-GB"/>
        </w:rPr>
        <w:t>homologation</w:t>
      </w:r>
      <w:r w:rsidRPr="000E3E0D">
        <w:rPr>
          <w:rStyle w:val="FootnoteReference"/>
        </w:rPr>
        <w:footnoteReference w:id="2"/>
      </w:r>
      <w:r w:rsidRPr="008B062D">
        <w:rPr>
          <w:lang w:val="fr-FR" w:eastAsia="en-GB"/>
        </w:rPr>
        <w:t xml:space="preserve">; </w:t>
      </w:r>
    </w:p>
    <w:p w:rsidR="004564D8" w:rsidRPr="008B062D" w:rsidRDefault="004564D8" w:rsidP="00A5296C">
      <w:pPr>
        <w:pStyle w:val="SingleTxtG"/>
        <w:ind w:left="2268" w:hanging="1134"/>
        <w:rPr>
          <w:lang w:val="fr-FR" w:eastAsia="en-GB"/>
        </w:rPr>
      </w:pPr>
      <w:r w:rsidRPr="008B062D">
        <w:rPr>
          <w:lang w:val="fr-FR" w:eastAsia="en-GB"/>
        </w:rPr>
        <w:t>5.4.1.2</w:t>
      </w:r>
      <w:r w:rsidRPr="008B062D">
        <w:rPr>
          <w:lang w:val="fr-FR" w:eastAsia="en-GB"/>
        </w:rPr>
        <w:tab/>
      </w:r>
      <w:r w:rsidR="00083627">
        <w:rPr>
          <w:lang w:val="fr-FR" w:eastAsia="en-GB"/>
        </w:rPr>
        <w:t>D</w:t>
      </w:r>
      <w:r w:rsidRPr="008B062D">
        <w:rPr>
          <w:lang w:val="fr-FR" w:eastAsia="en-GB"/>
        </w:rPr>
        <w:t>u numéro du présent Règlement suivi de la lettre «R» et du numéro d</w:t>
      </w:r>
      <w:r w:rsidR="00971BFE">
        <w:rPr>
          <w:lang w:val="fr-FR" w:eastAsia="en-GB"/>
        </w:rPr>
        <w:t>’</w:t>
      </w:r>
      <w:r w:rsidRPr="008B062D">
        <w:rPr>
          <w:lang w:val="fr-FR" w:eastAsia="en-GB"/>
        </w:rPr>
        <w:t>homologation prescrit au paragraphe 5.2 ci-dessus. Les chiffres et les lettres doivent être orientés comme la lettre «E».</w:t>
      </w:r>
    </w:p>
    <w:p w:rsidR="004564D8" w:rsidRPr="008B062D" w:rsidRDefault="004564D8" w:rsidP="00A5296C">
      <w:pPr>
        <w:pStyle w:val="SingleTxtG"/>
        <w:ind w:left="2268" w:hanging="1134"/>
        <w:rPr>
          <w:lang w:val="fr-FR" w:eastAsia="en-GB"/>
        </w:rPr>
      </w:pPr>
      <w:r w:rsidRPr="008B062D">
        <w:rPr>
          <w:lang w:val="fr-FR" w:eastAsia="en-GB"/>
        </w:rPr>
        <w:t xml:space="preserve">5.5 </w:t>
      </w:r>
      <w:r w:rsidRPr="008B062D">
        <w:rPr>
          <w:lang w:val="fr-FR" w:eastAsia="en-GB"/>
        </w:rPr>
        <w:tab/>
        <w:t>La marque de fabrique ou de commerce sur la housse sera visible de l</w:t>
      </w:r>
      <w:r w:rsidR="00971BFE">
        <w:rPr>
          <w:lang w:val="fr-FR" w:eastAsia="en-GB"/>
        </w:rPr>
        <w:t>’</w:t>
      </w:r>
      <w:r w:rsidRPr="008B062D">
        <w:rPr>
          <w:lang w:val="fr-FR" w:eastAsia="en-GB"/>
        </w:rPr>
        <w:t>extérieur.</w:t>
      </w:r>
    </w:p>
    <w:p w:rsidR="004564D8" w:rsidRPr="008B062D" w:rsidRDefault="004564D8" w:rsidP="00A5296C">
      <w:pPr>
        <w:pStyle w:val="SingleTxtG"/>
        <w:ind w:left="2268" w:hanging="1134"/>
        <w:rPr>
          <w:lang w:val="fr-FR" w:eastAsia="en-GB"/>
        </w:rPr>
      </w:pPr>
      <w:r w:rsidRPr="008B062D">
        <w:rPr>
          <w:lang w:val="fr-FR" w:eastAsia="en-GB"/>
        </w:rPr>
        <w:t xml:space="preserve">5.6 </w:t>
      </w:r>
      <w:r w:rsidRPr="008B062D">
        <w:rPr>
          <w:lang w:val="fr-FR" w:eastAsia="en-GB"/>
        </w:rPr>
        <w:tab/>
        <w:t>Les marques d</w:t>
      </w:r>
      <w:r w:rsidR="00971BFE">
        <w:rPr>
          <w:lang w:val="fr-FR" w:eastAsia="en-GB"/>
        </w:rPr>
        <w:t>’</w:t>
      </w:r>
      <w:r w:rsidRPr="008B062D">
        <w:rPr>
          <w:lang w:val="fr-FR" w:eastAsia="en-GB"/>
        </w:rPr>
        <w:t>homologation doivent être nettement lisibles et indélébiles.</w:t>
      </w:r>
    </w:p>
    <w:p w:rsidR="004564D8" w:rsidRPr="008B062D" w:rsidRDefault="004564D8" w:rsidP="00A5296C">
      <w:pPr>
        <w:pStyle w:val="SingleTxtG"/>
        <w:ind w:left="2268" w:hanging="1134"/>
        <w:rPr>
          <w:lang w:val="fr-FR" w:eastAsia="en-GB"/>
        </w:rPr>
      </w:pPr>
      <w:r w:rsidRPr="008B062D">
        <w:rPr>
          <w:lang w:val="fr-FR" w:eastAsia="en-GB"/>
        </w:rPr>
        <w:t xml:space="preserve">5.7 </w:t>
      </w:r>
      <w:r w:rsidRPr="008B062D">
        <w:rPr>
          <w:lang w:val="fr-FR" w:eastAsia="en-GB"/>
        </w:rPr>
        <w:tab/>
        <w:t>L</w:t>
      </w:r>
      <w:r w:rsidR="00971BFE">
        <w:rPr>
          <w:lang w:val="fr-FR" w:eastAsia="en-GB"/>
        </w:rPr>
        <w:t>’</w:t>
      </w:r>
      <w:r w:rsidRPr="008B062D">
        <w:rPr>
          <w:lang w:val="fr-FR" w:eastAsia="en-GB"/>
        </w:rPr>
        <w:t>annexe 2 du présent Règlement donne un exemple du schéma de la marque d</w:t>
      </w:r>
      <w:r w:rsidR="00971BFE">
        <w:rPr>
          <w:lang w:val="fr-FR" w:eastAsia="en-GB"/>
        </w:rPr>
        <w:t>’</w:t>
      </w:r>
      <w:r w:rsidRPr="008B062D">
        <w:rPr>
          <w:lang w:val="fr-FR" w:eastAsia="en-GB"/>
        </w:rPr>
        <w:t>homologation.</w:t>
      </w:r>
    </w:p>
    <w:p w:rsidR="004564D8" w:rsidRPr="008B062D" w:rsidRDefault="004564D8" w:rsidP="004564D8">
      <w:pPr>
        <w:pStyle w:val="HChG"/>
        <w:ind w:left="2268"/>
        <w:rPr>
          <w:lang w:val="fr-FR"/>
        </w:rPr>
      </w:pPr>
      <w:bookmarkStart w:id="8" w:name="_Toc386120408"/>
      <w:r>
        <w:rPr>
          <w:lang w:val="fr-FR"/>
        </w:rPr>
        <w:t>6.</w:t>
      </w:r>
      <w:r w:rsidRPr="008B062D">
        <w:rPr>
          <w:lang w:val="fr-FR"/>
        </w:rPr>
        <w:tab/>
      </w:r>
      <w:r w:rsidRPr="008B062D">
        <w:rPr>
          <w:lang w:val="fr-FR"/>
        </w:rPr>
        <w:tab/>
      </w:r>
      <w:bookmarkEnd w:id="8"/>
      <w:r w:rsidRPr="008B062D">
        <w:rPr>
          <w:lang w:val="fr-FR"/>
        </w:rPr>
        <w:t>Spécifications générales</w:t>
      </w:r>
    </w:p>
    <w:p w:rsidR="004564D8" w:rsidRPr="008B062D" w:rsidRDefault="004564D8" w:rsidP="00A5296C">
      <w:pPr>
        <w:pStyle w:val="SingleTxtG"/>
        <w:ind w:left="2268" w:hanging="1134"/>
        <w:rPr>
          <w:lang w:val="fr-FR" w:eastAsia="en-GB"/>
        </w:rPr>
      </w:pPr>
      <w:r w:rsidRPr="008B062D">
        <w:rPr>
          <w:lang w:val="fr-FR" w:eastAsia="en-GB"/>
        </w:rPr>
        <w:t xml:space="preserve">6.1 </w:t>
      </w:r>
      <w:r w:rsidRPr="008B062D">
        <w:rPr>
          <w:lang w:val="fr-FR" w:eastAsia="en-GB"/>
        </w:rPr>
        <w:tab/>
        <w:t>Le triangle de présignalisation, évidé au centre, comporte un bord rouge composé d</w:t>
      </w:r>
      <w:r w:rsidR="00971BFE">
        <w:rPr>
          <w:lang w:val="fr-FR" w:eastAsia="en-GB"/>
        </w:rPr>
        <w:t>’</w:t>
      </w:r>
      <w:r w:rsidRPr="008B062D">
        <w:rPr>
          <w:lang w:val="fr-FR" w:eastAsia="en-GB"/>
        </w:rPr>
        <w:t>une bande catadioptrique extérieure et d</w:t>
      </w:r>
      <w:r w:rsidR="00971BFE">
        <w:rPr>
          <w:lang w:val="fr-FR" w:eastAsia="en-GB"/>
        </w:rPr>
        <w:t>’</w:t>
      </w:r>
      <w:r w:rsidRPr="008B062D">
        <w:rPr>
          <w:lang w:val="fr-FR" w:eastAsia="en-GB"/>
        </w:rPr>
        <w:t>une bande fluorescente intérieure, le tout étant supporté à une certaine hauteur par rapport à la surface de la chaussée. Le centre évidé et les bandes fluorescente et catadioptrique sont limités par des contours triangulaires équilatéraux concentriques. À titre de variante, on peut utiliser un matériau catadioptrique fluorescent (type 2).</w:t>
      </w:r>
    </w:p>
    <w:p w:rsidR="004564D8" w:rsidRPr="008B062D" w:rsidRDefault="004564D8" w:rsidP="00A5296C">
      <w:pPr>
        <w:pStyle w:val="SingleTxtG"/>
        <w:ind w:left="2268" w:hanging="1134"/>
        <w:rPr>
          <w:lang w:val="fr-FR" w:eastAsia="en-GB"/>
        </w:rPr>
      </w:pPr>
      <w:r w:rsidRPr="008B062D">
        <w:rPr>
          <w:lang w:val="fr-FR" w:eastAsia="en-GB"/>
        </w:rPr>
        <w:lastRenderedPageBreak/>
        <w:t xml:space="preserve">6.2 </w:t>
      </w:r>
      <w:r w:rsidRPr="008B062D">
        <w:rPr>
          <w:lang w:val="fr-FR" w:eastAsia="en-GB"/>
        </w:rPr>
        <w:tab/>
        <w:t>La construction des triangles de présignalisation doit être telle que, lorsqu</w:t>
      </w:r>
      <w:r w:rsidR="00971BFE">
        <w:rPr>
          <w:lang w:val="fr-FR" w:eastAsia="en-GB"/>
        </w:rPr>
        <w:t>’</w:t>
      </w:r>
      <w:r w:rsidRPr="008B062D">
        <w:rPr>
          <w:lang w:val="fr-FR" w:eastAsia="en-GB"/>
        </w:rPr>
        <w:t>ils sont employés normalement (utilisation sur route et transport dans le véhicule), ils conservent les caractéristiques imposées et que leur bon fonctionnement reste assuré.</w:t>
      </w:r>
    </w:p>
    <w:p w:rsidR="004564D8" w:rsidRPr="008B062D" w:rsidRDefault="004564D8" w:rsidP="00A5296C">
      <w:pPr>
        <w:pStyle w:val="SingleTxtG"/>
        <w:ind w:left="2268" w:hanging="1134"/>
        <w:rPr>
          <w:lang w:val="fr-FR" w:eastAsia="en-GB"/>
        </w:rPr>
      </w:pPr>
      <w:r w:rsidRPr="008B062D">
        <w:rPr>
          <w:lang w:val="fr-FR" w:eastAsia="en-GB"/>
        </w:rPr>
        <w:t xml:space="preserve">6.3 </w:t>
      </w:r>
      <w:r w:rsidRPr="008B062D">
        <w:rPr>
          <w:lang w:val="fr-FR" w:eastAsia="en-GB"/>
        </w:rPr>
        <w:tab/>
        <w:t>Les éléments optiques du triangle de présignalisation ne doivent pas être facilement démontables. Les différentes parties qui constituent le triangle de présignalisation doivent lui assurer une bonne stabilité sur la route. Elles ne doivent pas être facilement démontables. Si le triangle doit être plié pour pouvoir être placé dans sa housse, les parties mobiles, y compris son support, ne doivent pas être détachables.</w:t>
      </w:r>
    </w:p>
    <w:p w:rsidR="004564D8" w:rsidRPr="008B062D" w:rsidRDefault="004564D8" w:rsidP="00A5296C">
      <w:pPr>
        <w:pStyle w:val="SingleTxtG"/>
        <w:ind w:left="2268" w:hanging="1134"/>
        <w:rPr>
          <w:lang w:val="fr-FR" w:eastAsia="en-GB"/>
        </w:rPr>
      </w:pPr>
      <w:r w:rsidRPr="008B062D">
        <w:rPr>
          <w:lang w:val="fr-FR" w:eastAsia="en-GB"/>
        </w:rPr>
        <w:t xml:space="preserve">6.4 </w:t>
      </w:r>
      <w:r w:rsidRPr="008B062D">
        <w:rPr>
          <w:lang w:val="fr-FR" w:eastAsia="en-GB"/>
        </w:rPr>
        <w:tab/>
        <w:t>En position d</w:t>
      </w:r>
      <w:r w:rsidR="00971BFE">
        <w:rPr>
          <w:lang w:val="fr-FR" w:eastAsia="en-GB"/>
        </w:rPr>
        <w:t>’</w:t>
      </w:r>
      <w:r w:rsidRPr="008B062D">
        <w:rPr>
          <w:lang w:val="fr-FR" w:eastAsia="en-GB"/>
        </w:rPr>
        <w:t>utilisation sur la route, la face avant du triangle doit être verticale. Cette condition est considérée comme satisfaite si la direction de l</w:t>
      </w:r>
      <w:r w:rsidR="00971BFE">
        <w:rPr>
          <w:lang w:val="fr-FR" w:eastAsia="en-GB"/>
        </w:rPr>
        <w:t>’</w:t>
      </w:r>
      <w:r w:rsidRPr="008B062D">
        <w:rPr>
          <w:lang w:val="fr-FR" w:eastAsia="en-GB"/>
        </w:rPr>
        <w:t>axe du triangle de présignalisation ne fait pas avec le plan de base un angle supérieur à 5°.</w:t>
      </w:r>
    </w:p>
    <w:p w:rsidR="004564D8" w:rsidRPr="008B062D" w:rsidRDefault="004564D8" w:rsidP="00A5296C">
      <w:pPr>
        <w:pStyle w:val="SingleTxtG"/>
        <w:ind w:left="2268" w:hanging="1134"/>
        <w:rPr>
          <w:lang w:val="fr-FR" w:eastAsia="en-GB"/>
        </w:rPr>
      </w:pPr>
      <w:r w:rsidRPr="008B062D">
        <w:rPr>
          <w:lang w:val="fr-FR" w:eastAsia="en-GB"/>
        </w:rPr>
        <w:t xml:space="preserve">6.5 </w:t>
      </w:r>
      <w:r w:rsidRPr="008B062D">
        <w:rPr>
          <w:lang w:val="fr-FR" w:eastAsia="en-GB"/>
        </w:rPr>
        <w:tab/>
        <w:t>La surface avant du triangle de présignalisation doit être facile à nettoyer; en particulier, elle ne doit pas être rugueuse et les protubérances qu</w:t>
      </w:r>
      <w:r w:rsidR="00971BFE">
        <w:rPr>
          <w:lang w:val="fr-FR" w:eastAsia="en-GB"/>
        </w:rPr>
        <w:t>’</w:t>
      </w:r>
      <w:r w:rsidRPr="008B062D">
        <w:rPr>
          <w:lang w:val="fr-FR" w:eastAsia="en-GB"/>
        </w:rPr>
        <w:t>elle pourrait présenter ne doivent pas empêcher ce nettoyage.</w:t>
      </w:r>
    </w:p>
    <w:p w:rsidR="004564D8" w:rsidRPr="008B062D" w:rsidRDefault="004564D8" w:rsidP="00A5296C">
      <w:pPr>
        <w:pStyle w:val="SingleTxtG"/>
        <w:ind w:left="2268" w:hanging="1134"/>
        <w:rPr>
          <w:lang w:val="fr-FR" w:eastAsia="en-GB"/>
        </w:rPr>
      </w:pPr>
      <w:r w:rsidRPr="008B062D">
        <w:rPr>
          <w:lang w:val="fr-FR" w:eastAsia="en-GB"/>
        </w:rPr>
        <w:t xml:space="preserve">6.6 </w:t>
      </w:r>
      <w:r w:rsidRPr="008B062D">
        <w:rPr>
          <w:lang w:val="fr-FR" w:eastAsia="en-GB"/>
        </w:rPr>
        <w:tab/>
        <w:t>Le triangle de présignalisation et son support ne doivent pas présenter de bords tranchants ou d</w:t>
      </w:r>
      <w:r w:rsidR="00971BFE">
        <w:rPr>
          <w:lang w:val="fr-FR" w:eastAsia="en-GB"/>
        </w:rPr>
        <w:t>’</w:t>
      </w:r>
      <w:r w:rsidRPr="008B062D">
        <w:rPr>
          <w:lang w:val="fr-FR" w:eastAsia="en-GB"/>
        </w:rPr>
        <w:t>angles vifs.</w:t>
      </w:r>
    </w:p>
    <w:p w:rsidR="004564D8" w:rsidRPr="008B062D" w:rsidRDefault="004564D8" w:rsidP="00A5296C">
      <w:pPr>
        <w:pStyle w:val="SingleTxtG"/>
        <w:ind w:left="2268" w:hanging="1134"/>
        <w:rPr>
          <w:lang w:val="fr-FR" w:eastAsia="en-GB"/>
        </w:rPr>
      </w:pPr>
      <w:r w:rsidRPr="008B062D">
        <w:rPr>
          <w:lang w:val="fr-FR" w:eastAsia="en-GB"/>
        </w:rPr>
        <w:t xml:space="preserve">6.7 </w:t>
      </w:r>
      <w:r w:rsidRPr="008B062D">
        <w:rPr>
          <w:lang w:val="fr-FR" w:eastAsia="en-GB"/>
        </w:rPr>
        <w:tab/>
        <w:t>Le triangle de présignalisation doit être accompagné de son étui de protection, s</w:t>
      </w:r>
      <w:r w:rsidR="00971BFE">
        <w:rPr>
          <w:lang w:val="fr-FR" w:eastAsia="en-GB"/>
        </w:rPr>
        <w:t>’</w:t>
      </w:r>
      <w:r w:rsidRPr="008B062D">
        <w:rPr>
          <w:lang w:val="fr-FR" w:eastAsia="en-GB"/>
        </w:rPr>
        <w:t>il existe, contre l</w:t>
      </w:r>
      <w:r w:rsidR="00971BFE">
        <w:rPr>
          <w:lang w:val="fr-FR" w:eastAsia="en-GB"/>
        </w:rPr>
        <w:t>’</w:t>
      </w:r>
      <w:r w:rsidRPr="008B062D">
        <w:rPr>
          <w:lang w:val="fr-FR" w:eastAsia="en-GB"/>
        </w:rPr>
        <w:t>effet des agents extérieurs, particulièrement au cours du transport; il peut cependant être livré sans étui quand la protection requise est assurée par d</w:t>
      </w:r>
      <w:r w:rsidR="00971BFE">
        <w:rPr>
          <w:lang w:val="fr-FR" w:eastAsia="en-GB"/>
        </w:rPr>
        <w:t>’</w:t>
      </w:r>
      <w:r w:rsidRPr="008B062D">
        <w:rPr>
          <w:lang w:val="fr-FR" w:eastAsia="en-GB"/>
        </w:rPr>
        <w:t>autres moyens. Ces moyens sont indiqués dans la description mentionnée au paragraphe 3.2 ci-dessus et dans la fiche de communication suivant le paragraphe 5.3 du présent Règlement.</w:t>
      </w:r>
    </w:p>
    <w:p w:rsidR="004564D8" w:rsidRPr="008B062D" w:rsidRDefault="004564D8" w:rsidP="00A5296C">
      <w:pPr>
        <w:pStyle w:val="SingleTxtG"/>
        <w:ind w:left="2268" w:hanging="1134"/>
        <w:rPr>
          <w:lang w:val="fr-FR" w:eastAsia="en-GB"/>
        </w:rPr>
      </w:pPr>
      <w:r w:rsidRPr="008B062D">
        <w:rPr>
          <w:lang w:val="fr-FR" w:eastAsia="en-GB"/>
        </w:rPr>
        <w:t xml:space="preserve">6.8 </w:t>
      </w:r>
      <w:r w:rsidRPr="008B062D">
        <w:rPr>
          <w:lang w:val="fr-FR" w:eastAsia="en-GB"/>
        </w:rPr>
        <w:tab/>
        <w:t>Chaque triangle sera obligatoirement accompagné d</w:t>
      </w:r>
      <w:r w:rsidR="00971BFE">
        <w:rPr>
          <w:lang w:val="fr-FR" w:eastAsia="en-GB"/>
        </w:rPr>
        <w:t>’</w:t>
      </w:r>
      <w:r w:rsidRPr="008B062D">
        <w:rPr>
          <w:lang w:val="fr-FR" w:eastAsia="en-GB"/>
        </w:rPr>
        <w:t>un exemplaire des instructions mentionnées au paragraphe 3.3 ci-dessus.</w:t>
      </w:r>
    </w:p>
    <w:p w:rsidR="004564D8" w:rsidRPr="008B062D" w:rsidRDefault="004564D8" w:rsidP="004564D8">
      <w:pPr>
        <w:pStyle w:val="HChG"/>
        <w:ind w:left="2268"/>
        <w:rPr>
          <w:lang w:val="fr-FR"/>
        </w:rPr>
      </w:pPr>
      <w:bookmarkStart w:id="9" w:name="_Toc386120409"/>
      <w:r>
        <w:rPr>
          <w:lang w:val="fr-FR"/>
        </w:rPr>
        <w:t>7.</w:t>
      </w:r>
      <w:r w:rsidRPr="008B062D">
        <w:rPr>
          <w:lang w:val="fr-FR"/>
        </w:rPr>
        <w:tab/>
      </w:r>
      <w:r w:rsidRPr="008B062D">
        <w:rPr>
          <w:lang w:val="fr-FR"/>
        </w:rPr>
        <w:tab/>
      </w:r>
      <w:bookmarkEnd w:id="9"/>
      <w:r w:rsidRPr="008B062D">
        <w:rPr>
          <w:lang w:val="fr-FR"/>
        </w:rPr>
        <w:t>Spécifications particulières</w:t>
      </w:r>
    </w:p>
    <w:p w:rsidR="004564D8" w:rsidRPr="008B062D" w:rsidRDefault="004564D8" w:rsidP="00054046">
      <w:pPr>
        <w:pStyle w:val="SingleTxtG"/>
        <w:keepNext/>
        <w:ind w:left="2268" w:hanging="1134"/>
        <w:jc w:val="left"/>
        <w:rPr>
          <w:lang w:val="fr-FR" w:eastAsia="en-GB"/>
        </w:rPr>
      </w:pPr>
      <w:r w:rsidRPr="008B062D">
        <w:rPr>
          <w:lang w:val="fr-FR" w:eastAsia="en-GB"/>
        </w:rPr>
        <w:t>7.1</w:t>
      </w:r>
      <w:r w:rsidRPr="008B062D">
        <w:rPr>
          <w:lang w:val="fr-FR" w:eastAsia="en-GB"/>
        </w:rPr>
        <w:tab/>
        <w:t>Spécifications de formes et de dimensions</w:t>
      </w:r>
    </w:p>
    <w:p w:rsidR="004564D8" w:rsidRPr="008B062D" w:rsidRDefault="004564D8" w:rsidP="00A5296C">
      <w:pPr>
        <w:pStyle w:val="SingleTxtG"/>
        <w:ind w:left="2268" w:hanging="1134"/>
        <w:rPr>
          <w:lang w:val="fr-FR" w:eastAsia="en-GB"/>
        </w:rPr>
      </w:pPr>
      <w:r w:rsidRPr="008B062D">
        <w:rPr>
          <w:lang w:val="fr-FR" w:eastAsia="en-GB"/>
        </w:rPr>
        <w:t>7.1.1</w:t>
      </w:r>
      <w:r w:rsidRPr="008B062D">
        <w:rPr>
          <w:lang w:val="fr-FR" w:eastAsia="en-GB"/>
        </w:rPr>
        <w:tab/>
        <w:t>Forme et dimensions du triangle (voir annexe 3)</w:t>
      </w:r>
    </w:p>
    <w:p w:rsidR="004564D8" w:rsidRPr="008B062D" w:rsidRDefault="004564D8" w:rsidP="00A5296C">
      <w:pPr>
        <w:pStyle w:val="SingleTxtG"/>
        <w:ind w:left="2268" w:hanging="1134"/>
        <w:rPr>
          <w:lang w:val="fr-FR" w:eastAsia="en-GB"/>
        </w:rPr>
      </w:pPr>
      <w:r w:rsidRPr="008B062D">
        <w:rPr>
          <w:lang w:val="fr-FR" w:eastAsia="en-GB"/>
        </w:rPr>
        <w:t>7.1.1.1</w:t>
      </w:r>
      <w:r w:rsidRPr="008B062D">
        <w:rPr>
          <w:lang w:val="fr-FR" w:eastAsia="en-GB"/>
        </w:rPr>
        <w:tab/>
        <w:t>Les côtés du triangle auront une longueur</w:t>
      </w:r>
      <w:r w:rsidR="00223815">
        <w:rPr>
          <w:lang w:val="fr-FR" w:eastAsia="en-GB"/>
        </w:rPr>
        <w:t xml:space="preserve"> théorique de 500 </w:t>
      </w:r>
      <w:r w:rsidR="009602EA">
        <w:rPr>
          <w:lang w:val="fr-FR" w:eastAsia="en-GB"/>
        </w:rPr>
        <w:sym w:font="Symbol" w:char="F0B1"/>
      </w:r>
      <w:r w:rsidR="00223815">
        <w:rPr>
          <w:lang w:val="fr-FR" w:eastAsia="en-GB"/>
        </w:rPr>
        <w:t> </w:t>
      </w:r>
      <w:r w:rsidRPr="008B062D">
        <w:rPr>
          <w:lang w:val="fr-FR" w:eastAsia="en-GB"/>
        </w:rPr>
        <w:t>50 mm.</w:t>
      </w:r>
    </w:p>
    <w:p w:rsidR="004564D8" w:rsidRPr="008B062D" w:rsidRDefault="00AD53B6" w:rsidP="00A5296C">
      <w:pPr>
        <w:pStyle w:val="SingleTxtG"/>
        <w:ind w:left="2268" w:hanging="1134"/>
        <w:rPr>
          <w:lang w:val="fr-FR" w:eastAsia="en-GB"/>
        </w:rPr>
      </w:pPr>
      <w:r>
        <w:rPr>
          <w:lang w:val="fr-FR" w:eastAsia="en-GB"/>
        </w:rPr>
        <w:t>7.1.1.2</w:t>
      </w:r>
      <w:r w:rsidR="004564D8" w:rsidRPr="008B062D">
        <w:rPr>
          <w:lang w:val="fr-FR" w:eastAsia="en-GB"/>
        </w:rPr>
        <w:tab/>
        <w:t>Dans le cas d</w:t>
      </w:r>
      <w:r w:rsidR="00971BFE">
        <w:rPr>
          <w:lang w:val="fr-FR" w:eastAsia="en-GB"/>
        </w:rPr>
        <w:t>’</w:t>
      </w:r>
      <w:r w:rsidR="004564D8" w:rsidRPr="008B062D">
        <w:rPr>
          <w:lang w:val="fr-FR" w:eastAsia="en-GB"/>
        </w:rPr>
        <w:t>un trian</w:t>
      </w:r>
      <w:r w:rsidR="00223815">
        <w:rPr>
          <w:lang w:val="fr-FR" w:eastAsia="en-GB"/>
        </w:rPr>
        <w:t>gle de présignalisation de type </w:t>
      </w:r>
      <w:r w:rsidR="004564D8" w:rsidRPr="008B062D">
        <w:rPr>
          <w:lang w:val="fr-FR" w:eastAsia="en-GB"/>
        </w:rPr>
        <w:t>1, les éléments catadioptriques doivent être disposés le long du bord, à l</w:t>
      </w:r>
      <w:r w:rsidR="00971BFE">
        <w:rPr>
          <w:lang w:val="fr-FR" w:eastAsia="en-GB"/>
        </w:rPr>
        <w:t>’</w:t>
      </w:r>
      <w:r w:rsidR="004564D8" w:rsidRPr="008B062D">
        <w:rPr>
          <w:lang w:val="fr-FR" w:eastAsia="en-GB"/>
        </w:rPr>
        <w:t>intérieur d</w:t>
      </w:r>
      <w:r w:rsidR="00971BFE">
        <w:rPr>
          <w:lang w:val="fr-FR" w:eastAsia="en-GB"/>
        </w:rPr>
        <w:t>’</w:t>
      </w:r>
      <w:r w:rsidR="004564D8" w:rsidRPr="008B062D">
        <w:rPr>
          <w:lang w:val="fr-FR" w:eastAsia="en-GB"/>
        </w:rPr>
        <w:t>une bande dont la largeur constante do</w:t>
      </w:r>
      <w:r w:rsidR="00223815">
        <w:rPr>
          <w:lang w:val="fr-FR" w:eastAsia="en-GB"/>
        </w:rPr>
        <w:t>it être comprise entre 25 et 50 </w:t>
      </w:r>
      <w:r w:rsidR="004564D8" w:rsidRPr="008B062D">
        <w:rPr>
          <w:lang w:val="fr-FR" w:eastAsia="en-GB"/>
        </w:rPr>
        <w:t>mm. Dans le cas d</w:t>
      </w:r>
      <w:r w:rsidR="00971BFE">
        <w:rPr>
          <w:lang w:val="fr-FR" w:eastAsia="en-GB"/>
        </w:rPr>
        <w:t>’</w:t>
      </w:r>
      <w:r w:rsidR="004564D8" w:rsidRPr="008B062D">
        <w:rPr>
          <w:lang w:val="fr-FR" w:eastAsia="en-GB"/>
        </w:rPr>
        <w:t>un trian</w:t>
      </w:r>
      <w:r w:rsidR="00223815">
        <w:rPr>
          <w:lang w:val="fr-FR" w:eastAsia="en-GB"/>
        </w:rPr>
        <w:t>gle de présignalisation de type </w:t>
      </w:r>
      <w:r w:rsidR="004564D8" w:rsidRPr="008B062D">
        <w:rPr>
          <w:lang w:val="fr-FR" w:eastAsia="en-GB"/>
        </w:rPr>
        <w:t>2 avec matière catadioptrique fluorescente, la largeur constante do</w:t>
      </w:r>
      <w:r w:rsidR="00223815">
        <w:rPr>
          <w:lang w:val="fr-FR" w:eastAsia="en-GB"/>
        </w:rPr>
        <w:t>it être comprise entre 50 et 85 </w:t>
      </w:r>
      <w:r w:rsidR="004564D8" w:rsidRPr="008B062D">
        <w:rPr>
          <w:lang w:val="fr-FR" w:eastAsia="en-GB"/>
        </w:rPr>
        <w:t>mm.</w:t>
      </w:r>
    </w:p>
    <w:p w:rsidR="004564D8" w:rsidRPr="008B062D" w:rsidRDefault="00AD53B6" w:rsidP="00A5296C">
      <w:pPr>
        <w:pStyle w:val="SingleTxtG"/>
        <w:ind w:left="2268" w:hanging="1134"/>
        <w:rPr>
          <w:lang w:val="fr-FR" w:eastAsia="en-GB"/>
        </w:rPr>
      </w:pPr>
      <w:r>
        <w:rPr>
          <w:lang w:val="fr-FR" w:eastAsia="en-GB"/>
        </w:rPr>
        <w:t>7.1.1.3</w:t>
      </w:r>
      <w:r w:rsidR="004564D8" w:rsidRPr="008B062D">
        <w:rPr>
          <w:lang w:val="fr-FR" w:eastAsia="en-GB"/>
        </w:rPr>
        <w:tab/>
        <w:t>Entre le bord extérieur du triangle et la bande catadioptrique, il peut exister une bordure de 5 mm de largeur au maximum dont la couleur n</w:t>
      </w:r>
      <w:r w:rsidR="00971BFE">
        <w:rPr>
          <w:lang w:val="fr-FR" w:eastAsia="en-GB"/>
        </w:rPr>
        <w:t>’</w:t>
      </w:r>
      <w:r w:rsidR="004564D8" w:rsidRPr="008B062D">
        <w:rPr>
          <w:lang w:val="fr-FR" w:eastAsia="en-GB"/>
        </w:rPr>
        <w:t>est pas nécessairement rouge.</w:t>
      </w:r>
    </w:p>
    <w:p w:rsidR="004564D8" w:rsidRPr="008B062D" w:rsidRDefault="004564D8" w:rsidP="00A5296C">
      <w:pPr>
        <w:pStyle w:val="SingleTxtG"/>
        <w:ind w:left="2268" w:hanging="1134"/>
        <w:rPr>
          <w:lang w:val="fr-FR" w:eastAsia="en-GB"/>
        </w:rPr>
      </w:pPr>
      <w:r w:rsidRPr="008B062D">
        <w:rPr>
          <w:lang w:val="fr-FR" w:eastAsia="en-GB"/>
        </w:rPr>
        <w:t>7.1.1.4</w:t>
      </w:r>
      <w:r w:rsidRPr="008B062D">
        <w:rPr>
          <w:lang w:val="fr-FR" w:eastAsia="en-GB"/>
        </w:rPr>
        <w:tab/>
        <w:t>La bande catadioptrique peut être continue ou non. Dans le dernier cas, la surface libre du support doit être de couleur roug</w:t>
      </w:r>
      <w:r w:rsidR="005B0927">
        <w:rPr>
          <w:lang w:val="fr-FR" w:eastAsia="en-GB"/>
        </w:rPr>
        <w:t>e (voir également le paragraphe </w:t>
      </w:r>
      <w:r w:rsidRPr="008B062D">
        <w:rPr>
          <w:lang w:val="fr-FR" w:eastAsia="en-GB"/>
        </w:rPr>
        <w:t>7.3.1.2 du présent Règlement).</w:t>
      </w:r>
    </w:p>
    <w:p w:rsidR="004564D8" w:rsidRPr="008B062D" w:rsidRDefault="004564D8" w:rsidP="005B0927">
      <w:pPr>
        <w:pStyle w:val="SingleTxtG"/>
        <w:keepLines/>
        <w:ind w:left="2268" w:hanging="1134"/>
        <w:rPr>
          <w:lang w:val="fr-FR" w:eastAsia="en-GB"/>
        </w:rPr>
      </w:pPr>
      <w:r w:rsidRPr="008B062D">
        <w:rPr>
          <w:lang w:val="fr-FR" w:eastAsia="en-GB"/>
        </w:rPr>
        <w:t>7.1.1.5</w:t>
      </w:r>
      <w:r w:rsidRPr="008B062D">
        <w:rPr>
          <w:lang w:val="fr-FR" w:eastAsia="en-GB"/>
        </w:rPr>
        <w:tab/>
        <w:t>Dans le cas d</w:t>
      </w:r>
      <w:r w:rsidR="00971BFE">
        <w:rPr>
          <w:lang w:val="fr-FR" w:eastAsia="en-GB"/>
        </w:rPr>
        <w:t>’</w:t>
      </w:r>
      <w:r w:rsidRPr="008B062D">
        <w:rPr>
          <w:lang w:val="fr-FR" w:eastAsia="en-GB"/>
        </w:rPr>
        <w:t>un triangle de présignalisation de type 1, la surface fluorescente doit former une continuité avec les éléments catadioptriques. Elle doit être disposée symétriquement le long des trois côtés du triangle. Elle doit avoir, en servi</w:t>
      </w:r>
      <w:r w:rsidR="005B0927">
        <w:rPr>
          <w:lang w:val="fr-FR" w:eastAsia="en-GB"/>
        </w:rPr>
        <w:t>ce, une surface minimale de 315 </w:t>
      </w:r>
      <w:r w:rsidRPr="008B062D">
        <w:rPr>
          <w:lang w:val="fr-FR" w:eastAsia="en-GB"/>
        </w:rPr>
        <w:t>cm</w:t>
      </w:r>
      <w:r w:rsidRPr="008B062D">
        <w:rPr>
          <w:vertAlign w:val="superscript"/>
          <w:lang w:val="fr-FR" w:eastAsia="en-GB"/>
        </w:rPr>
        <w:t>2</w:t>
      </w:r>
      <w:r w:rsidRPr="008B062D">
        <w:rPr>
          <w:lang w:val="fr-FR" w:eastAsia="en-GB"/>
        </w:rPr>
        <w:t>. Toutefois, il peut y avoir entre la surface catadioptrique et la surface fluorescente une bordure, continue ou non, de 5 mm de largeur au maximum et d</w:t>
      </w:r>
      <w:r w:rsidR="00971BFE">
        <w:rPr>
          <w:lang w:val="fr-FR" w:eastAsia="en-GB"/>
        </w:rPr>
        <w:t>’</w:t>
      </w:r>
      <w:r w:rsidRPr="008B062D">
        <w:rPr>
          <w:lang w:val="fr-FR" w:eastAsia="en-GB"/>
        </w:rPr>
        <w:t>une couleur qui n</w:t>
      </w:r>
      <w:r w:rsidR="00971BFE">
        <w:rPr>
          <w:lang w:val="fr-FR" w:eastAsia="en-GB"/>
        </w:rPr>
        <w:t>’</w:t>
      </w:r>
      <w:r w:rsidRPr="008B062D">
        <w:rPr>
          <w:lang w:val="fr-FR" w:eastAsia="en-GB"/>
        </w:rPr>
        <w:t>est pas nécessairement rouge.</w:t>
      </w:r>
    </w:p>
    <w:p w:rsidR="004564D8" w:rsidRPr="008B062D" w:rsidRDefault="004564D8" w:rsidP="005B0927">
      <w:pPr>
        <w:pStyle w:val="SingleTxtG"/>
        <w:keepLines/>
        <w:ind w:left="2268" w:hanging="1134"/>
        <w:rPr>
          <w:lang w:val="fr-FR" w:eastAsia="en-GB"/>
        </w:rPr>
      </w:pPr>
      <w:r w:rsidRPr="008B062D">
        <w:rPr>
          <w:lang w:val="fr-FR" w:eastAsia="en-GB"/>
        </w:rPr>
        <w:t>7.1.1.6</w:t>
      </w:r>
      <w:r w:rsidRPr="008B062D">
        <w:rPr>
          <w:lang w:val="fr-FR" w:eastAsia="en-GB"/>
        </w:rPr>
        <w:tab/>
        <w:t>La partie centrale du triangle, évidée, aura un côté de l</w:t>
      </w:r>
      <w:r w:rsidR="00054046">
        <w:rPr>
          <w:lang w:val="fr-FR" w:eastAsia="en-GB"/>
        </w:rPr>
        <w:t>ongueur minimale de 70 mm (fig. </w:t>
      </w:r>
      <w:r w:rsidRPr="008B062D">
        <w:rPr>
          <w:lang w:val="fr-FR" w:eastAsia="en-GB"/>
        </w:rPr>
        <w:t>1).</w:t>
      </w:r>
    </w:p>
    <w:p w:rsidR="004564D8" w:rsidRPr="008B062D" w:rsidRDefault="004564D8" w:rsidP="00054046">
      <w:pPr>
        <w:pStyle w:val="SingleTxtG"/>
        <w:keepNext/>
        <w:ind w:left="2268" w:hanging="1134"/>
        <w:jc w:val="left"/>
        <w:rPr>
          <w:lang w:val="fr-FR" w:eastAsia="en-GB"/>
        </w:rPr>
      </w:pPr>
      <w:r w:rsidRPr="008B062D">
        <w:rPr>
          <w:lang w:val="fr-FR" w:eastAsia="en-GB"/>
        </w:rPr>
        <w:t>7.1.2</w:t>
      </w:r>
      <w:r w:rsidRPr="008B062D">
        <w:rPr>
          <w:lang w:val="fr-FR" w:eastAsia="en-GB"/>
        </w:rPr>
        <w:tab/>
        <w:t>Forme et dimensions du support</w:t>
      </w:r>
    </w:p>
    <w:p w:rsidR="004564D8" w:rsidRPr="008B062D" w:rsidRDefault="004564D8" w:rsidP="00A5296C">
      <w:pPr>
        <w:pStyle w:val="SingleTxtG"/>
        <w:ind w:left="2268" w:hanging="1134"/>
        <w:rPr>
          <w:lang w:val="fr-FR" w:eastAsia="en-GB"/>
        </w:rPr>
      </w:pPr>
      <w:r w:rsidRPr="008B062D">
        <w:rPr>
          <w:lang w:val="fr-FR" w:eastAsia="en-GB"/>
        </w:rPr>
        <w:t xml:space="preserve">7.1.2.1 </w:t>
      </w:r>
      <w:r w:rsidRPr="008B062D">
        <w:rPr>
          <w:lang w:val="fr-FR" w:eastAsia="en-GB"/>
        </w:rPr>
        <w:tab/>
        <w:t>La distance entre la surface d</w:t>
      </w:r>
      <w:r w:rsidR="00971BFE">
        <w:rPr>
          <w:lang w:val="fr-FR" w:eastAsia="en-GB"/>
        </w:rPr>
        <w:t>’</w:t>
      </w:r>
      <w:r w:rsidRPr="008B062D">
        <w:rPr>
          <w:lang w:val="fr-FR" w:eastAsia="en-GB"/>
        </w:rPr>
        <w:t>appui et le côté inférieur du triangle de présignalisation doit être au maximum de 300 mm.</w:t>
      </w:r>
    </w:p>
    <w:p w:rsidR="004564D8" w:rsidRPr="008B062D" w:rsidRDefault="004564D8" w:rsidP="00A5296C">
      <w:pPr>
        <w:pStyle w:val="SingleTxtG"/>
        <w:ind w:left="2268" w:hanging="1134"/>
        <w:rPr>
          <w:lang w:val="fr-FR" w:eastAsia="en-GB"/>
        </w:rPr>
      </w:pPr>
      <w:r w:rsidRPr="008B062D">
        <w:rPr>
          <w:lang w:val="fr-FR" w:eastAsia="en-GB"/>
        </w:rPr>
        <w:t>7.1.3</w:t>
      </w:r>
      <w:r w:rsidRPr="008B062D">
        <w:rPr>
          <w:lang w:val="fr-FR" w:eastAsia="en-GB"/>
        </w:rPr>
        <w:tab/>
        <w:t>Le matériau catadioptrique fluorescent doit être coloré dans la masse, soit par coloration de ses éléments catadioptriques, soit sous la forme d</w:t>
      </w:r>
      <w:r w:rsidR="00971BFE">
        <w:rPr>
          <w:lang w:val="fr-FR" w:eastAsia="en-GB"/>
        </w:rPr>
        <w:t>’</w:t>
      </w:r>
      <w:r w:rsidRPr="008B062D">
        <w:rPr>
          <w:lang w:val="fr-FR" w:eastAsia="en-GB"/>
        </w:rPr>
        <w:t>une couche superficielle continue.</w:t>
      </w:r>
    </w:p>
    <w:p w:rsidR="004564D8" w:rsidRPr="008B062D" w:rsidRDefault="004564D8" w:rsidP="00AD53B6">
      <w:pPr>
        <w:pStyle w:val="SingleTxtG"/>
        <w:keepNext/>
        <w:ind w:left="2268" w:hanging="1134"/>
        <w:jc w:val="left"/>
        <w:rPr>
          <w:lang w:val="fr-FR" w:eastAsia="en-GB"/>
        </w:rPr>
      </w:pPr>
      <w:r w:rsidRPr="008B062D">
        <w:rPr>
          <w:lang w:val="fr-FR" w:eastAsia="en-GB"/>
        </w:rPr>
        <w:t>7.2</w:t>
      </w:r>
      <w:r w:rsidRPr="008B062D">
        <w:rPr>
          <w:lang w:val="fr-FR" w:eastAsia="en-GB"/>
        </w:rPr>
        <w:tab/>
        <w:t>Spécifications colorimétriques</w:t>
      </w:r>
    </w:p>
    <w:p w:rsidR="004564D8" w:rsidRPr="008B062D" w:rsidRDefault="004564D8" w:rsidP="00AD53B6">
      <w:pPr>
        <w:pStyle w:val="SingleTxtG"/>
        <w:keepNext/>
        <w:ind w:left="2268" w:hanging="1134"/>
        <w:jc w:val="left"/>
        <w:rPr>
          <w:lang w:val="fr-FR" w:eastAsia="en-GB"/>
        </w:rPr>
      </w:pPr>
      <w:r w:rsidRPr="008B062D">
        <w:rPr>
          <w:lang w:val="fr-FR" w:eastAsia="en-GB"/>
        </w:rPr>
        <w:t>7.2.1</w:t>
      </w:r>
      <w:r w:rsidRPr="008B062D">
        <w:rPr>
          <w:lang w:val="fr-FR" w:eastAsia="en-GB"/>
        </w:rPr>
        <w:tab/>
        <w:t>Dispositif catadioptrique</w:t>
      </w:r>
    </w:p>
    <w:p w:rsidR="004564D8" w:rsidRPr="008B062D" w:rsidRDefault="004564D8" w:rsidP="00A5296C">
      <w:pPr>
        <w:pStyle w:val="SingleTxtG"/>
        <w:ind w:left="2268" w:hanging="1134"/>
        <w:rPr>
          <w:lang w:val="fr-FR" w:eastAsia="en-GB"/>
        </w:rPr>
      </w:pPr>
      <w:r w:rsidRPr="008B062D">
        <w:rPr>
          <w:lang w:val="fr-FR" w:eastAsia="en-GB"/>
        </w:rPr>
        <w:t>7.2.1.1</w:t>
      </w:r>
      <w:r w:rsidRPr="008B062D">
        <w:rPr>
          <w:lang w:val="fr-FR" w:eastAsia="en-GB"/>
        </w:rPr>
        <w:tab/>
        <w:t>Le dispositif catadioptrique doit être coloré en rouge dans la masse.</w:t>
      </w:r>
    </w:p>
    <w:p w:rsidR="004564D8" w:rsidRDefault="004564D8" w:rsidP="00A5296C">
      <w:pPr>
        <w:pStyle w:val="SingleTxtG"/>
        <w:ind w:left="2268" w:hanging="1134"/>
        <w:rPr>
          <w:bCs/>
          <w:lang w:val="fr-FR"/>
        </w:rPr>
      </w:pPr>
      <w:r w:rsidRPr="008B062D">
        <w:rPr>
          <w:bCs/>
          <w:lang w:val="fr-FR"/>
        </w:rPr>
        <w:t>7.2.1.2</w:t>
      </w:r>
      <w:r w:rsidRPr="008B062D">
        <w:rPr>
          <w:bCs/>
          <w:lang w:val="fr-FR"/>
        </w:rPr>
        <w:tab/>
        <w:t>La couleur du dispositif catadioptrique (couleur nocturne) doit être contrôlée selon la méthode décrite au paragraphe 2.1 de l</w:t>
      </w:r>
      <w:r w:rsidR="00971BFE">
        <w:rPr>
          <w:bCs/>
          <w:lang w:val="fr-FR"/>
        </w:rPr>
        <w:t>’</w:t>
      </w:r>
      <w:r w:rsidRPr="008B062D">
        <w:rPr>
          <w:bCs/>
          <w:lang w:val="fr-FR"/>
        </w:rPr>
        <w:t>annexe 5 et les coordonnées trichromatiques du flux lumineux réfléchi rouge doivent être comprises dans les limites ci-après:</w:t>
      </w:r>
    </w:p>
    <w:tbl>
      <w:tblPr>
        <w:tblW w:w="6237" w:type="dxa"/>
        <w:tblInd w:w="2268" w:type="dxa"/>
        <w:tblLayout w:type="fixed"/>
        <w:tblCellMar>
          <w:left w:w="0" w:type="dxa"/>
          <w:right w:w="0" w:type="dxa"/>
        </w:tblCellMar>
        <w:tblLook w:val="04A0" w:firstRow="1" w:lastRow="0" w:firstColumn="1" w:lastColumn="0" w:noHBand="0" w:noVBand="1"/>
      </w:tblPr>
      <w:tblGrid>
        <w:gridCol w:w="1248"/>
        <w:gridCol w:w="1248"/>
        <w:gridCol w:w="1247"/>
        <w:gridCol w:w="1247"/>
        <w:gridCol w:w="1247"/>
      </w:tblGrid>
      <w:tr w:rsidR="008A2998" w:rsidRPr="00AE4213" w:rsidTr="00AE4213">
        <w:tc>
          <w:tcPr>
            <w:tcW w:w="1474" w:type="dxa"/>
            <w:tcBorders>
              <w:top w:val="single" w:sz="4" w:space="0" w:color="auto"/>
              <w:left w:val="single" w:sz="4" w:space="0" w:color="auto"/>
              <w:bottom w:val="single" w:sz="12" w:space="0" w:color="auto"/>
              <w:right w:val="single" w:sz="4" w:space="0" w:color="auto"/>
            </w:tcBorders>
            <w:shd w:val="clear" w:color="auto" w:fill="auto"/>
            <w:vAlign w:val="bottom"/>
          </w:tcPr>
          <w:p w:rsidR="008A2998" w:rsidRPr="00AE4213" w:rsidRDefault="008A2998" w:rsidP="00AE4213">
            <w:pPr>
              <w:spacing w:before="60" w:after="60" w:line="220" w:lineRule="atLeast"/>
              <w:ind w:right="113"/>
              <w:jc w:val="center"/>
              <w:rPr>
                <w:i/>
                <w:sz w:val="16"/>
              </w:rPr>
            </w:pPr>
            <w:r w:rsidRPr="00AE4213">
              <w:rPr>
                <w:i/>
                <w:sz w:val="16"/>
              </w:rPr>
              <w:t>Point</w:t>
            </w:r>
          </w:p>
        </w:tc>
        <w:tc>
          <w:tcPr>
            <w:tcW w:w="1474" w:type="dxa"/>
            <w:tcBorders>
              <w:top w:val="single" w:sz="4" w:space="0" w:color="auto"/>
              <w:left w:val="single" w:sz="4" w:space="0" w:color="auto"/>
              <w:bottom w:val="single" w:sz="12" w:space="0" w:color="auto"/>
              <w:right w:val="single" w:sz="4" w:space="0" w:color="auto"/>
            </w:tcBorders>
            <w:shd w:val="clear" w:color="auto" w:fill="auto"/>
            <w:vAlign w:val="bottom"/>
          </w:tcPr>
          <w:p w:rsidR="008A2998" w:rsidRPr="00AE4213" w:rsidRDefault="008A2998" w:rsidP="00AE4213">
            <w:pPr>
              <w:spacing w:before="60" w:after="60" w:line="220" w:lineRule="atLeast"/>
              <w:ind w:right="113"/>
              <w:jc w:val="center"/>
              <w:rPr>
                <w:i/>
                <w:sz w:val="16"/>
              </w:rPr>
            </w:pPr>
            <w:r w:rsidRPr="00AE4213">
              <w:rPr>
                <w:i/>
                <w:sz w:val="16"/>
              </w:rPr>
              <w:t>1</w:t>
            </w:r>
          </w:p>
        </w:tc>
        <w:tc>
          <w:tcPr>
            <w:tcW w:w="1474" w:type="dxa"/>
            <w:tcBorders>
              <w:top w:val="single" w:sz="4" w:space="0" w:color="auto"/>
              <w:left w:val="single" w:sz="4" w:space="0" w:color="auto"/>
              <w:bottom w:val="single" w:sz="12" w:space="0" w:color="auto"/>
              <w:right w:val="single" w:sz="4" w:space="0" w:color="auto"/>
            </w:tcBorders>
            <w:shd w:val="clear" w:color="auto" w:fill="auto"/>
            <w:vAlign w:val="bottom"/>
          </w:tcPr>
          <w:p w:rsidR="008A2998" w:rsidRPr="00AE4213" w:rsidRDefault="008A2998" w:rsidP="00AE4213">
            <w:pPr>
              <w:spacing w:before="60" w:after="60" w:line="220" w:lineRule="atLeast"/>
              <w:ind w:right="113"/>
              <w:jc w:val="center"/>
              <w:rPr>
                <w:i/>
                <w:sz w:val="16"/>
              </w:rPr>
            </w:pPr>
            <w:r w:rsidRPr="00AE4213">
              <w:rPr>
                <w:i/>
                <w:sz w:val="16"/>
              </w:rPr>
              <w:t>2</w:t>
            </w:r>
          </w:p>
        </w:tc>
        <w:tc>
          <w:tcPr>
            <w:tcW w:w="1474" w:type="dxa"/>
            <w:tcBorders>
              <w:top w:val="single" w:sz="4" w:space="0" w:color="auto"/>
              <w:left w:val="single" w:sz="4" w:space="0" w:color="auto"/>
              <w:bottom w:val="single" w:sz="12" w:space="0" w:color="auto"/>
              <w:right w:val="single" w:sz="4" w:space="0" w:color="auto"/>
            </w:tcBorders>
            <w:shd w:val="clear" w:color="auto" w:fill="auto"/>
            <w:vAlign w:val="bottom"/>
          </w:tcPr>
          <w:p w:rsidR="008A2998" w:rsidRPr="00AE4213" w:rsidRDefault="008A2998" w:rsidP="00AE4213">
            <w:pPr>
              <w:spacing w:before="60" w:after="60" w:line="220" w:lineRule="atLeast"/>
              <w:ind w:right="113"/>
              <w:jc w:val="center"/>
              <w:rPr>
                <w:i/>
                <w:sz w:val="16"/>
              </w:rPr>
            </w:pPr>
            <w:r w:rsidRPr="00AE4213">
              <w:rPr>
                <w:i/>
                <w:sz w:val="16"/>
              </w:rPr>
              <w:t>3</w:t>
            </w:r>
          </w:p>
        </w:tc>
        <w:tc>
          <w:tcPr>
            <w:tcW w:w="1474" w:type="dxa"/>
            <w:tcBorders>
              <w:top w:val="single" w:sz="4" w:space="0" w:color="auto"/>
              <w:left w:val="single" w:sz="4" w:space="0" w:color="auto"/>
              <w:bottom w:val="single" w:sz="12" w:space="0" w:color="auto"/>
              <w:right w:val="single" w:sz="4" w:space="0" w:color="auto"/>
            </w:tcBorders>
            <w:shd w:val="clear" w:color="auto" w:fill="auto"/>
            <w:vAlign w:val="bottom"/>
          </w:tcPr>
          <w:p w:rsidR="008A2998" w:rsidRPr="00AE4213" w:rsidRDefault="008A2998" w:rsidP="00AE4213">
            <w:pPr>
              <w:spacing w:before="60" w:after="60" w:line="220" w:lineRule="atLeast"/>
              <w:ind w:right="113"/>
              <w:jc w:val="center"/>
              <w:rPr>
                <w:i/>
                <w:sz w:val="16"/>
              </w:rPr>
            </w:pPr>
            <w:r w:rsidRPr="00AE4213">
              <w:rPr>
                <w:i/>
                <w:sz w:val="16"/>
              </w:rPr>
              <w:t>4</w:t>
            </w:r>
          </w:p>
        </w:tc>
      </w:tr>
      <w:tr w:rsidR="008A2998" w:rsidRPr="00AE4213" w:rsidTr="00AE4213">
        <w:tc>
          <w:tcPr>
            <w:tcW w:w="1474" w:type="dxa"/>
            <w:tcBorders>
              <w:left w:val="single" w:sz="4" w:space="0" w:color="auto"/>
              <w:bottom w:val="single" w:sz="4" w:space="0" w:color="auto"/>
              <w:right w:val="single" w:sz="4" w:space="0" w:color="auto"/>
            </w:tcBorders>
            <w:shd w:val="clear" w:color="auto" w:fill="auto"/>
          </w:tcPr>
          <w:p w:rsidR="008A2998" w:rsidRPr="00AE4213" w:rsidRDefault="008A2998" w:rsidP="00AE4213">
            <w:pPr>
              <w:spacing w:before="60" w:after="60" w:line="220" w:lineRule="atLeast"/>
              <w:ind w:right="113"/>
              <w:jc w:val="center"/>
              <w:rPr>
                <w:sz w:val="18"/>
                <w:szCs w:val="18"/>
              </w:rPr>
            </w:pPr>
            <w:r w:rsidRPr="00AE4213">
              <w:rPr>
                <w:sz w:val="18"/>
                <w:szCs w:val="18"/>
              </w:rPr>
              <w:t>x</w:t>
            </w:r>
          </w:p>
        </w:tc>
        <w:tc>
          <w:tcPr>
            <w:tcW w:w="1474" w:type="dxa"/>
            <w:tcBorders>
              <w:left w:val="single" w:sz="4" w:space="0" w:color="auto"/>
              <w:bottom w:val="single" w:sz="4" w:space="0" w:color="auto"/>
              <w:right w:val="single" w:sz="4" w:space="0" w:color="auto"/>
            </w:tcBorders>
            <w:shd w:val="clear" w:color="auto" w:fill="auto"/>
          </w:tcPr>
          <w:p w:rsidR="008A2998" w:rsidRPr="00AE4213" w:rsidRDefault="006A0A34" w:rsidP="00AE4213">
            <w:pPr>
              <w:spacing w:before="60" w:after="60" w:line="220" w:lineRule="atLeast"/>
              <w:ind w:right="113"/>
              <w:jc w:val="center"/>
              <w:rPr>
                <w:sz w:val="18"/>
                <w:szCs w:val="18"/>
              </w:rPr>
            </w:pPr>
            <w:r w:rsidRPr="00AE4213">
              <w:rPr>
                <w:sz w:val="18"/>
                <w:szCs w:val="18"/>
              </w:rPr>
              <w:t>0,712</w:t>
            </w:r>
          </w:p>
        </w:tc>
        <w:tc>
          <w:tcPr>
            <w:tcW w:w="1474" w:type="dxa"/>
            <w:tcBorders>
              <w:left w:val="single" w:sz="4" w:space="0" w:color="auto"/>
              <w:bottom w:val="single" w:sz="4" w:space="0" w:color="auto"/>
              <w:right w:val="single" w:sz="4" w:space="0" w:color="auto"/>
            </w:tcBorders>
            <w:shd w:val="clear" w:color="auto" w:fill="auto"/>
          </w:tcPr>
          <w:p w:rsidR="008A2998" w:rsidRPr="00AE4213" w:rsidRDefault="006A0A34" w:rsidP="00AE4213">
            <w:pPr>
              <w:spacing w:before="60" w:after="60" w:line="220" w:lineRule="atLeast"/>
              <w:ind w:right="113"/>
              <w:jc w:val="center"/>
              <w:rPr>
                <w:sz w:val="18"/>
                <w:szCs w:val="18"/>
              </w:rPr>
            </w:pPr>
            <w:r w:rsidRPr="00AE4213">
              <w:rPr>
                <w:sz w:val="18"/>
                <w:szCs w:val="18"/>
              </w:rPr>
              <w:t>0,735</w:t>
            </w:r>
          </w:p>
        </w:tc>
        <w:tc>
          <w:tcPr>
            <w:tcW w:w="1474" w:type="dxa"/>
            <w:tcBorders>
              <w:left w:val="single" w:sz="4" w:space="0" w:color="auto"/>
              <w:bottom w:val="single" w:sz="4" w:space="0" w:color="auto"/>
              <w:right w:val="single" w:sz="4" w:space="0" w:color="auto"/>
            </w:tcBorders>
            <w:shd w:val="clear" w:color="auto" w:fill="auto"/>
          </w:tcPr>
          <w:p w:rsidR="008A2998" w:rsidRPr="00AE4213" w:rsidRDefault="006A0A34" w:rsidP="00AE4213">
            <w:pPr>
              <w:spacing w:before="60" w:after="60" w:line="220" w:lineRule="atLeast"/>
              <w:ind w:right="113"/>
              <w:jc w:val="center"/>
              <w:rPr>
                <w:sz w:val="18"/>
                <w:szCs w:val="18"/>
              </w:rPr>
            </w:pPr>
            <w:r w:rsidRPr="00AE4213">
              <w:rPr>
                <w:sz w:val="18"/>
                <w:szCs w:val="18"/>
              </w:rPr>
              <w:t>0,589</w:t>
            </w:r>
          </w:p>
        </w:tc>
        <w:tc>
          <w:tcPr>
            <w:tcW w:w="1474" w:type="dxa"/>
            <w:tcBorders>
              <w:left w:val="single" w:sz="4" w:space="0" w:color="auto"/>
              <w:bottom w:val="single" w:sz="4" w:space="0" w:color="auto"/>
              <w:right w:val="single" w:sz="4" w:space="0" w:color="auto"/>
            </w:tcBorders>
            <w:shd w:val="clear" w:color="auto" w:fill="auto"/>
          </w:tcPr>
          <w:p w:rsidR="008A2998" w:rsidRPr="00AE4213" w:rsidRDefault="006A0A34" w:rsidP="00AE4213">
            <w:pPr>
              <w:spacing w:before="60" w:after="60" w:line="220" w:lineRule="atLeast"/>
              <w:ind w:right="113"/>
              <w:jc w:val="center"/>
              <w:rPr>
                <w:sz w:val="18"/>
                <w:szCs w:val="18"/>
              </w:rPr>
            </w:pPr>
            <w:r w:rsidRPr="00AE4213">
              <w:rPr>
                <w:sz w:val="18"/>
                <w:szCs w:val="18"/>
              </w:rPr>
              <w:t>0,625</w:t>
            </w:r>
          </w:p>
        </w:tc>
      </w:tr>
      <w:tr w:rsidR="008A2998" w:rsidRPr="00AE4213" w:rsidTr="00AE4213">
        <w:tc>
          <w:tcPr>
            <w:tcW w:w="1474" w:type="dxa"/>
            <w:tcBorders>
              <w:top w:val="single" w:sz="4" w:space="0" w:color="auto"/>
              <w:left w:val="single" w:sz="4" w:space="0" w:color="auto"/>
              <w:bottom w:val="single" w:sz="12" w:space="0" w:color="auto"/>
              <w:right w:val="single" w:sz="4" w:space="0" w:color="auto"/>
            </w:tcBorders>
            <w:shd w:val="clear" w:color="auto" w:fill="auto"/>
          </w:tcPr>
          <w:p w:rsidR="008A2998" w:rsidRPr="00AE4213" w:rsidRDefault="008A2998" w:rsidP="00AE4213">
            <w:pPr>
              <w:spacing w:before="60" w:after="60" w:line="220" w:lineRule="atLeast"/>
              <w:ind w:right="113"/>
              <w:jc w:val="center"/>
              <w:rPr>
                <w:sz w:val="18"/>
                <w:szCs w:val="18"/>
              </w:rPr>
            </w:pPr>
            <w:r w:rsidRPr="00AE4213">
              <w:rPr>
                <w:sz w:val="18"/>
                <w:szCs w:val="18"/>
              </w:rPr>
              <w:t>y</w:t>
            </w:r>
          </w:p>
        </w:tc>
        <w:tc>
          <w:tcPr>
            <w:tcW w:w="1474" w:type="dxa"/>
            <w:tcBorders>
              <w:top w:val="single" w:sz="4" w:space="0" w:color="auto"/>
              <w:left w:val="single" w:sz="4" w:space="0" w:color="auto"/>
              <w:bottom w:val="single" w:sz="12" w:space="0" w:color="auto"/>
              <w:right w:val="single" w:sz="4" w:space="0" w:color="auto"/>
            </w:tcBorders>
            <w:shd w:val="clear" w:color="auto" w:fill="auto"/>
          </w:tcPr>
          <w:p w:rsidR="008A2998" w:rsidRPr="00AE4213" w:rsidRDefault="006A0A34" w:rsidP="00AE4213">
            <w:pPr>
              <w:spacing w:before="60" w:after="60" w:line="220" w:lineRule="atLeast"/>
              <w:ind w:right="113"/>
              <w:jc w:val="center"/>
              <w:rPr>
                <w:sz w:val="18"/>
                <w:szCs w:val="18"/>
              </w:rPr>
            </w:pPr>
            <w:r w:rsidRPr="00AE4213">
              <w:rPr>
                <w:sz w:val="18"/>
                <w:szCs w:val="18"/>
              </w:rPr>
              <w:t>0,258</w:t>
            </w:r>
          </w:p>
        </w:tc>
        <w:tc>
          <w:tcPr>
            <w:tcW w:w="1474" w:type="dxa"/>
            <w:tcBorders>
              <w:top w:val="single" w:sz="4" w:space="0" w:color="auto"/>
              <w:left w:val="single" w:sz="4" w:space="0" w:color="auto"/>
              <w:bottom w:val="single" w:sz="12" w:space="0" w:color="auto"/>
              <w:right w:val="single" w:sz="4" w:space="0" w:color="auto"/>
            </w:tcBorders>
            <w:shd w:val="clear" w:color="auto" w:fill="auto"/>
          </w:tcPr>
          <w:p w:rsidR="008A2998" w:rsidRPr="00AE4213" w:rsidRDefault="006A0A34" w:rsidP="00AE4213">
            <w:pPr>
              <w:spacing w:before="60" w:after="60" w:line="220" w:lineRule="atLeast"/>
              <w:ind w:right="113"/>
              <w:jc w:val="center"/>
              <w:rPr>
                <w:sz w:val="18"/>
                <w:szCs w:val="18"/>
              </w:rPr>
            </w:pPr>
            <w:r w:rsidRPr="00AE4213">
              <w:rPr>
                <w:sz w:val="18"/>
                <w:szCs w:val="18"/>
              </w:rPr>
              <w:t>0,265</w:t>
            </w:r>
          </w:p>
        </w:tc>
        <w:tc>
          <w:tcPr>
            <w:tcW w:w="1474" w:type="dxa"/>
            <w:tcBorders>
              <w:top w:val="single" w:sz="4" w:space="0" w:color="auto"/>
              <w:left w:val="single" w:sz="4" w:space="0" w:color="auto"/>
              <w:bottom w:val="single" w:sz="12" w:space="0" w:color="auto"/>
              <w:right w:val="single" w:sz="4" w:space="0" w:color="auto"/>
            </w:tcBorders>
            <w:shd w:val="clear" w:color="auto" w:fill="auto"/>
          </w:tcPr>
          <w:p w:rsidR="008A2998" w:rsidRPr="00AE4213" w:rsidRDefault="006A0A34" w:rsidP="00AE4213">
            <w:pPr>
              <w:spacing w:before="60" w:after="60" w:line="220" w:lineRule="atLeast"/>
              <w:ind w:right="113"/>
              <w:jc w:val="center"/>
              <w:rPr>
                <w:sz w:val="18"/>
                <w:szCs w:val="18"/>
              </w:rPr>
            </w:pPr>
            <w:r w:rsidRPr="00AE4213">
              <w:rPr>
                <w:sz w:val="18"/>
                <w:szCs w:val="18"/>
              </w:rPr>
              <w:t>0,376</w:t>
            </w:r>
          </w:p>
        </w:tc>
        <w:tc>
          <w:tcPr>
            <w:tcW w:w="1474" w:type="dxa"/>
            <w:tcBorders>
              <w:top w:val="single" w:sz="4" w:space="0" w:color="auto"/>
              <w:left w:val="single" w:sz="4" w:space="0" w:color="auto"/>
              <w:bottom w:val="single" w:sz="12" w:space="0" w:color="auto"/>
              <w:right w:val="single" w:sz="4" w:space="0" w:color="auto"/>
            </w:tcBorders>
            <w:shd w:val="clear" w:color="auto" w:fill="auto"/>
          </w:tcPr>
          <w:p w:rsidR="008A2998" w:rsidRPr="00AE4213" w:rsidRDefault="006A0A34" w:rsidP="00AE4213">
            <w:pPr>
              <w:spacing w:before="60" w:after="60" w:line="220" w:lineRule="atLeast"/>
              <w:ind w:right="113"/>
              <w:jc w:val="center"/>
              <w:rPr>
                <w:sz w:val="18"/>
                <w:szCs w:val="18"/>
              </w:rPr>
            </w:pPr>
            <w:r w:rsidRPr="00AE4213">
              <w:rPr>
                <w:sz w:val="18"/>
                <w:szCs w:val="18"/>
              </w:rPr>
              <w:t>0,375</w:t>
            </w:r>
          </w:p>
        </w:tc>
      </w:tr>
    </w:tbl>
    <w:p w:rsidR="004564D8" w:rsidRPr="008B062D" w:rsidRDefault="004564D8" w:rsidP="003A7E05">
      <w:pPr>
        <w:pStyle w:val="SingleTxtG"/>
        <w:keepNext/>
        <w:spacing w:before="240"/>
        <w:ind w:left="2268" w:hanging="1134"/>
        <w:jc w:val="left"/>
        <w:rPr>
          <w:lang w:val="fr-FR" w:eastAsia="en-GB"/>
        </w:rPr>
      </w:pPr>
      <w:r w:rsidRPr="008B062D">
        <w:rPr>
          <w:lang w:val="fr-FR" w:eastAsia="en-GB"/>
        </w:rPr>
        <w:t>7.2.2</w:t>
      </w:r>
      <w:r w:rsidRPr="008B062D">
        <w:rPr>
          <w:lang w:val="fr-FR" w:eastAsia="en-GB"/>
        </w:rPr>
        <w:tab/>
        <w:t>Matériaux fluorescents</w:t>
      </w:r>
    </w:p>
    <w:p w:rsidR="004564D8" w:rsidRPr="008B062D" w:rsidRDefault="004564D8" w:rsidP="00A5296C">
      <w:pPr>
        <w:pStyle w:val="SingleTxtG"/>
        <w:ind w:left="2268" w:hanging="1134"/>
        <w:rPr>
          <w:lang w:val="fr-FR" w:eastAsia="en-GB"/>
        </w:rPr>
      </w:pPr>
      <w:r w:rsidRPr="008B062D">
        <w:rPr>
          <w:lang w:val="fr-FR" w:eastAsia="en-GB"/>
        </w:rPr>
        <w:t xml:space="preserve">7.2.2.1 </w:t>
      </w:r>
      <w:r w:rsidRPr="008B062D">
        <w:rPr>
          <w:lang w:val="fr-FR" w:eastAsia="en-GB"/>
        </w:rPr>
        <w:tab/>
        <w:t>Les matériaux fluorescents doivent être, soit colorés dans la masse, soit constitués par des revêtements indépendants appliqués sur la surface du triangle.</w:t>
      </w:r>
    </w:p>
    <w:p w:rsidR="004564D8" w:rsidRDefault="004564D8" w:rsidP="00A5296C">
      <w:pPr>
        <w:pStyle w:val="SingleTxtG"/>
        <w:ind w:left="2268" w:hanging="1134"/>
        <w:rPr>
          <w:lang w:val="fr-FR" w:eastAsia="en-GB"/>
        </w:rPr>
      </w:pPr>
      <w:r w:rsidRPr="008B062D">
        <w:rPr>
          <w:lang w:val="fr-FR" w:eastAsia="en-GB"/>
        </w:rPr>
        <w:t>7.2.2.2</w:t>
      </w:r>
      <w:r w:rsidRPr="008B062D">
        <w:rPr>
          <w:lang w:val="fr-FR" w:eastAsia="en-GB"/>
        </w:rPr>
        <w:tab/>
        <w:t>La couleur des matériaux fluorescents (couleur diurne) d</w:t>
      </w:r>
      <w:r w:rsidR="00971BFE">
        <w:rPr>
          <w:lang w:val="fr-FR" w:eastAsia="en-GB"/>
        </w:rPr>
        <w:t>’</w:t>
      </w:r>
      <w:r w:rsidRPr="008B062D">
        <w:rPr>
          <w:lang w:val="fr-FR" w:eastAsia="en-GB"/>
        </w:rPr>
        <w:t>un triangle de présignalisation de type 1 ou de type 2 doit être contrôlée selon la méthode décrite au paragraphe 2.2 de l</w:t>
      </w:r>
      <w:r w:rsidR="00971BFE">
        <w:rPr>
          <w:lang w:val="fr-FR" w:eastAsia="en-GB"/>
        </w:rPr>
        <w:t>’</w:t>
      </w:r>
      <w:r w:rsidRPr="008B062D">
        <w:rPr>
          <w:lang w:val="fr-FR" w:eastAsia="en-GB"/>
        </w:rPr>
        <w:t>annexe 5 et la couleur du matériau à l</w:t>
      </w:r>
      <w:r w:rsidR="00971BFE">
        <w:rPr>
          <w:lang w:val="fr-FR" w:eastAsia="en-GB"/>
        </w:rPr>
        <w:t>’</w:t>
      </w:r>
      <w:r w:rsidRPr="008B062D">
        <w:rPr>
          <w:lang w:val="fr-FR" w:eastAsia="en-GB"/>
        </w:rPr>
        <w:t>état neuf doit se situer dans une zone dont les angles sont déterminés par les coordonnées suivantes:</w:t>
      </w:r>
    </w:p>
    <w:tbl>
      <w:tblPr>
        <w:tblW w:w="6237" w:type="dxa"/>
        <w:tblInd w:w="2268" w:type="dxa"/>
        <w:tblLayout w:type="fixed"/>
        <w:tblCellMar>
          <w:left w:w="0" w:type="dxa"/>
          <w:right w:w="0" w:type="dxa"/>
        </w:tblCellMar>
        <w:tblLook w:val="04A0" w:firstRow="1" w:lastRow="0" w:firstColumn="1" w:lastColumn="0" w:noHBand="0" w:noVBand="1"/>
      </w:tblPr>
      <w:tblGrid>
        <w:gridCol w:w="1248"/>
        <w:gridCol w:w="1248"/>
        <w:gridCol w:w="1247"/>
        <w:gridCol w:w="1247"/>
        <w:gridCol w:w="1247"/>
      </w:tblGrid>
      <w:tr w:rsidR="003A7E05" w:rsidRPr="00AE4213" w:rsidTr="00AE4213">
        <w:tc>
          <w:tcPr>
            <w:tcW w:w="1474" w:type="dxa"/>
            <w:tcBorders>
              <w:top w:val="single" w:sz="4" w:space="0" w:color="auto"/>
              <w:left w:val="single" w:sz="4" w:space="0" w:color="auto"/>
              <w:bottom w:val="single" w:sz="12" w:space="0" w:color="auto"/>
              <w:right w:val="single" w:sz="4" w:space="0" w:color="auto"/>
            </w:tcBorders>
            <w:shd w:val="clear" w:color="auto" w:fill="auto"/>
            <w:vAlign w:val="bottom"/>
          </w:tcPr>
          <w:p w:rsidR="003A7E05" w:rsidRPr="00AE4213" w:rsidRDefault="003A7E05" w:rsidP="00AE4213">
            <w:pPr>
              <w:spacing w:before="60" w:after="60" w:line="220" w:lineRule="atLeast"/>
              <w:ind w:right="113"/>
              <w:jc w:val="center"/>
              <w:rPr>
                <w:i/>
                <w:sz w:val="16"/>
              </w:rPr>
            </w:pPr>
            <w:r w:rsidRPr="00AE4213">
              <w:rPr>
                <w:i/>
                <w:sz w:val="16"/>
              </w:rPr>
              <w:t>Point</w:t>
            </w:r>
          </w:p>
        </w:tc>
        <w:tc>
          <w:tcPr>
            <w:tcW w:w="1474" w:type="dxa"/>
            <w:tcBorders>
              <w:top w:val="single" w:sz="4" w:space="0" w:color="auto"/>
              <w:left w:val="single" w:sz="4" w:space="0" w:color="auto"/>
              <w:bottom w:val="single" w:sz="12" w:space="0" w:color="auto"/>
              <w:right w:val="single" w:sz="4" w:space="0" w:color="auto"/>
            </w:tcBorders>
            <w:shd w:val="clear" w:color="auto" w:fill="auto"/>
            <w:vAlign w:val="bottom"/>
          </w:tcPr>
          <w:p w:rsidR="003A7E05" w:rsidRPr="00AE4213" w:rsidRDefault="003A7E05" w:rsidP="00AE4213">
            <w:pPr>
              <w:spacing w:before="60" w:after="60" w:line="220" w:lineRule="atLeast"/>
              <w:ind w:right="113"/>
              <w:jc w:val="center"/>
              <w:rPr>
                <w:i/>
                <w:sz w:val="16"/>
              </w:rPr>
            </w:pPr>
            <w:r w:rsidRPr="00AE4213">
              <w:rPr>
                <w:i/>
                <w:sz w:val="16"/>
              </w:rPr>
              <w:t>1</w:t>
            </w:r>
          </w:p>
        </w:tc>
        <w:tc>
          <w:tcPr>
            <w:tcW w:w="1474" w:type="dxa"/>
            <w:tcBorders>
              <w:top w:val="single" w:sz="4" w:space="0" w:color="auto"/>
              <w:left w:val="single" w:sz="4" w:space="0" w:color="auto"/>
              <w:bottom w:val="single" w:sz="12" w:space="0" w:color="auto"/>
              <w:right w:val="single" w:sz="4" w:space="0" w:color="auto"/>
            </w:tcBorders>
            <w:shd w:val="clear" w:color="auto" w:fill="auto"/>
            <w:vAlign w:val="bottom"/>
          </w:tcPr>
          <w:p w:rsidR="003A7E05" w:rsidRPr="00AE4213" w:rsidRDefault="003A7E05" w:rsidP="00AE4213">
            <w:pPr>
              <w:spacing w:before="60" w:after="60" w:line="220" w:lineRule="atLeast"/>
              <w:ind w:right="113"/>
              <w:jc w:val="center"/>
              <w:rPr>
                <w:i/>
                <w:sz w:val="16"/>
              </w:rPr>
            </w:pPr>
            <w:r w:rsidRPr="00AE4213">
              <w:rPr>
                <w:i/>
                <w:sz w:val="16"/>
              </w:rPr>
              <w:t>2</w:t>
            </w:r>
          </w:p>
        </w:tc>
        <w:tc>
          <w:tcPr>
            <w:tcW w:w="1474" w:type="dxa"/>
            <w:tcBorders>
              <w:top w:val="single" w:sz="4" w:space="0" w:color="auto"/>
              <w:left w:val="single" w:sz="4" w:space="0" w:color="auto"/>
              <w:bottom w:val="single" w:sz="12" w:space="0" w:color="auto"/>
              <w:right w:val="single" w:sz="4" w:space="0" w:color="auto"/>
            </w:tcBorders>
            <w:shd w:val="clear" w:color="auto" w:fill="auto"/>
            <w:vAlign w:val="bottom"/>
          </w:tcPr>
          <w:p w:rsidR="003A7E05" w:rsidRPr="00AE4213" w:rsidRDefault="003A7E05" w:rsidP="00AE4213">
            <w:pPr>
              <w:spacing w:before="60" w:after="60" w:line="220" w:lineRule="atLeast"/>
              <w:ind w:right="113"/>
              <w:jc w:val="center"/>
              <w:rPr>
                <w:i/>
                <w:sz w:val="16"/>
              </w:rPr>
            </w:pPr>
            <w:r w:rsidRPr="00AE4213">
              <w:rPr>
                <w:i/>
                <w:sz w:val="16"/>
              </w:rPr>
              <w:t>3</w:t>
            </w:r>
          </w:p>
        </w:tc>
        <w:tc>
          <w:tcPr>
            <w:tcW w:w="1474" w:type="dxa"/>
            <w:tcBorders>
              <w:top w:val="single" w:sz="4" w:space="0" w:color="auto"/>
              <w:left w:val="single" w:sz="4" w:space="0" w:color="auto"/>
              <w:bottom w:val="single" w:sz="12" w:space="0" w:color="auto"/>
              <w:right w:val="single" w:sz="4" w:space="0" w:color="auto"/>
            </w:tcBorders>
            <w:shd w:val="clear" w:color="auto" w:fill="auto"/>
            <w:vAlign w:val="bottom"/>
          </w:tcPr>
          <w:p w:rsidR="003A7E05" w:rsidRPr="00AE4213" w:rsidRDefault="003A7E05" w:rsidP="00AE4213">
            <w:pPr>
              <w:spacing w:before="60" w:after="60" w:line="220" w:lineRule="atLeast"/>
              <w:ind w:right="113"/>
              <w:jc w:val="center"/>
              <w:rPr>
                <w:i/>
                <w:sz w:val="16"/>
              </w:rPr>
            </w:pPr>
            <w:r w:rsidRPr="00AE4213">
              <w:rPr>
                <w:i/>
                <w:sz w:val="16"/>
              </w:rPr>
              <w:t>4</w:t>
            </w:r>
          </w:p>
        </w:tc>
      </w:tr>
      <w:tr w:rsidR="003A7E05" w:rsidRPr="00AE4213" w:rsidTr="00AE4213">
        <w:tc>
          <w:tcPr>
            <w:tcW w:w="1474" w:type="dxa"/>
            <w:tcBorders>
              <w:left w:val="single" w:sz="4" w:space="0" w:color="auto"/>
              <w:bottom w:val="single" w:sz="4" w:space="0" w:color="auto"/>
              <w:right w:val="single" w:sz="4" w:space="0" w:color="auto"/>
            </w:tcBorders>
            <w:shd w:val="clear" w:color="auto" w:fill="auto"/>
          </w:tcPr>
          <w:p w:rsidR="003A7E05" w:rsidRPr="002D4DE9" w:rsidRDefault="003A7E05" w:rsidP="00AE4213">
            <w:pPr>
              <w:spacing w:before="60" w:after="60" w:line="220" w:lineRule="atLeast"/>
              <w:ind w:right="113"/>
              <w:jc w:val="center"/>
              <w:rPr>
                <w:sz w:val="18"/>
                <w:szCs w:val="18"/>
              </w:rPr>
            </w:pPr>
            <w:r w:rsidRPr="002D4DE9">
              <w:rPr>
                <w:sz w:val="18"/>
                <w:szCs w:val="18"/>
              </w:rPr>
              <w:t>x</w:t>
            </w:r>
          </w:p>
        </w:tc>
        <w:tc>
          <w:tcPr>
            <w:tcW w:w="1474" w:type="dxa"/>
            <w:tcBorders>
              <w:left w:val="single" w:sz="4" w:space="0" w:color="auto"/>
              <w:bottom w:val="single" w:sz="4" w:space="0" w:color="auto"/>
              <w:right w:val="single" w:sz="4" w:space="0" w:color="auto"/>
            </w:tcBorders>
            <w:shd w:val="clear" w:color="auto" w:fill="auto"/>
          </w:tcPr>
          <w:p w:rsidR="003A7E05" w:rsidRPr="002D4DE9" w:rsidRDefault="003A7E05" w:rsidP="00AE4213">
            <w:pPr>
              <w:spacing w:before="60" w:after="60" w:line="220" w:lineRule="atLeast"/>
              <w:ind w:right="113"/>
              <w:jc w:val="center"/>
              <w:rPr>
                <w:sz w:val="18"/>
                <w:szCs w:val="18"/>
              </w:rPr>
            </w:pPr>
            <w:r w:rsidRPr="002D4DE9">
              <w:rPr>
                <w:sz w:val="18"/>
                <w:szCs w:val="18"/>
              </w:rPr>
              <w:t>0,570</w:t>
            </w:r>
          </w:p>
        </w:tc>
        <w:tc>
          <w:tcPr>
            <w:tcW w:w="1474" w:type="dxa"/>
            <w:tcBorders>
              <w:left w:val="single" w:sz="4" w:space="0" w:color="auto"/>
              <w:bottom w:val="single" w:sz="4" w:space="0" w:color="auto"/>
              <w:right w:val="single" w:sz="4" w:space="0" w:color="auto"/>
            </w:tcBorders>
            <w:shd w:val="clear" w:color="auto" w:fill="auto"/>
          </w:tcPr>
          <w:p w:rsidR="003A7E05" w:rsidRPr="002D4DE9" w:rsidRDefault="003A7E05" w:rsidP="00AE4213">
            <w:pPr>
              <w:spacing w:before="60" w:after="60" w:line="220" w:lineRule="atLeast"/>
              <w:ind w:right="113"/>
              <w:jc w:val="center"/>
              <w:rPr>
                <w:sz w:val="18"/>
                <w:szCs w:val="18"/>
              </w:rPr>
            </w:pPr>
            <w:r w:rsidRPr="002D4DE9">
              <w:rPr>
                <w:sz w:val="18"/>
                <w:szCs w:val="18"/>
              </w:rPr>
              <w:t>0,506</w:t>
            </w:r>
          </w:p>
        </w:tc>
        <w:tc>
          <w:tcPr>
            <w:tcW w:w="1474" w:type="dxa"/>
            <w:tcBorders>
              <w:left w:val="single" w:sz="4" w:space="0" w:color="auto"/>
              <w:bottom w:val="single" w:sz="4" w:space="0" w:color="auto"/>
              <w:right w:val="single" w:sz="4" w:space="0" w:color="auto"/>
            </w:tcBorders>
            <w:shd w:val="clear" w:color="auto" w:fill="auto"/>
          </w:tcPr>
          <w:p w:rsidR="003A7E05" w:rsidRPr="002D4DE9" w:rsidRDefault="003A7E05" w:rsidP="00AE4213">
            <w:pPr>
              <w:spacing w:before="60" w:after="60" w:line="220" w:lineRule="atLeast"/>
              <w:ind w:right="113"/>
              <w:jc w:val="center"/>
              <w:rPr>
                <w:sz w:val="18"/>
                <w:szCs w:val="18"/>
              </w:rPr>
            </w:pPr>
            <w:r w:rsidRPr="002D4DE9">
              <w:rPr>
                <w:sz w:val="18"/>
                <w:szCs w:val="18"/>
              </w:rPr>
              <w:t>0,595</w:t>
            </w:r>
          </w:p>
        </w:tc>
        <w:tc>
          <w:tcPr>
            <w:tcW w:w="1474" w:type="dxa"/>
            <w:tcBorders>
              <w:left w:val="single" w:sz="4" w:space="0" w:color="auto"/>
              <w:bottom w:val="single" w:sz="4" w:space="0" w:color="auto"/>
              <w:right w:val="single" w:sz="4" w:space="0" w:color="auto"/>
            </w:tcBorders>
            <w:shd w:val="clear" w:color="auto" w:fill="auto"/>
          </w:tcPr>
          <w:p w:rsidR="003A7E05" w:rsidRPr="002D4DE9" w:rsidRDefault="003A7E05" w:rsidP="00AE4213">
            <w:pPr>
              <w:spacing w:before="60" w:after="60" w:line="220" w:lineRule="atLeast"/>
              <w:ind w:right="113"/>
              <w:jc w:val="center"/>
              <w:rPr>
                <w:sz w:val="18"/>
                <w:szCs w:val="18"/>
              </w:rPr>
            </w:pPr>
            <w:r w:rsidRPr="002D4DE9">
              <w:rPr>
                <w:sz w:val="18"/>
                <w:szCs w:val="18"/>
              </w:rPr>
              <w:t>0,690</w:t>
            </w:r>
          </w:p>
        </w:tc>
      </w:tr>
      <w:tr w:rsidR="003A7E05" w:rsidRPr="00AE4213" w:rsidTr="00AE4213">
        <w:tc>
          <w:tcPr>
            <w:tcW w:w="1474" w:type="dxa"/>
            <w:tcBorders>
              <w:top w:val="single" w:sz="4" w:space="0" w:color="auto"/>
              <w:left w:val="single" w:sz="4" w:space="0" w:color="auto"/>
              <w:bottom w:val="single" w:sz="12" w:space="0" w:color="auto"/>
              <w:right w:val="single" w:sz="4" w:space="0" w:color="auto"/>
            </w:tcBorders>
            <w:shd w:val="clear" w:color="auto" w:fill="auto"/>
          </w:tcPr>
          <w:p w:rsidR="003A7E05" w:rsidRPr="002D4DE9" w:rsidRDefault="003A7E05" w:rsidP="00AE4213">
            <w:pPr>
              <w:spacing w:before="60" w:after="60" w:line="220" w:lineRule="atLeast"/>
              <w:ind w:right="113"/>
              <w:jc w:val="center"/>
              <w:rPr>
                <w:sz w:val="18"/>
                <w:szCs w:val="18"/>
              </w:rPr>
            </w:pPr>
            <w:r w:rsidRPr="002D4DE9">
              <w:rPr>
                <w:sz w:val="18"/>
                <w:szCs w:val="18"/>
              </w:rPr>
              <w:t>y</w:t>
            </w:r>
          </w:p>
        </w:tc>
        <w:tc>
          <w:tcPr>
            <w:tcW w:w="1474" w:type="dxa"/>
            <w:tcBorders>
              <w:top w:val="single" w:sz="4" w:space="0" w:color="auto"/>
              <w:left w:val="single" w:sz="4" w:space="0" w:color="auto"/>
              <w:bottom w:val="single" w:sz="12" w:space="0" w:color="auto"/>
              <w:right w:val="single" w:sz="4" w:space="0" w:color="auto"/>
            </w:tcBorders>
            <w:shd w:val="clear" w:color="auto" w:fill="auto"/>
          </w:tcPr>
          <w:p w:rsidR="003A7E05" w:rsidRPr="002D4DE9" w:rsidRDefault="003A7E05" w:rsidP="00AE4213">
            <w:pPr>
              <w:spacing w:before="60" w:after="60" w:line="220" w:lineRule="atLeast"/>
              <w:ind w:right="113"/>
              <w:jc w:val="center"/>
              <w:rPr>
                <w:sz w:val="18"/>
                <w:szCs w:val="18"/>
              </w:rPr>
            </w:pPr>
            <w:r w:rsidRPr="002D4DE9">
              <w:rPr>
                <w:sz w:val="18"/>
                <w:szCs w:val="18"/>
              </w:rPr>
              <w:t>0,430</w:t>
            </w:r>
          </w:p>
        </w:tc>
        <w:tc>
          <w:tcPr>
            <w:tcW w:w="1474" w:type="dxa"/>
            <w:tcBorders>
              <w:top w:val="single" w:sz="4" w:space="0" w:color="auto"/>
              <w:left w:val="single" w:sz="4" w:space="0" w:color="auto"/>
              <w:bottom w:val="single" w:sz="12" w:space="0" w:color="auto"/>
              <w:right w:val="single" w:sz="4" w:space="0" w:color="auto"/>
            </w:tcBorders>
            <w:shd w:val="clear" w:color="auto" w:fill="auto"/>
          </w:tcPr>
          <w:p w:rsidR="003A7E05" w:rsidRPr="002D4DE9" w:rsidRDefault="003A7E05" w:rsidP="00AE4213">
            <w:pPr>
              <w:spacing w:before="60" w:after="60" w:line="220" w:lineRule="atLeast"/>
              <w:ind w:right="113"/>
              <w:jc w:val="center"/>
              <w:rPr>
                <w:sz w:val="18"/>
                <w:szCs w:val="18"/>
              </w:rPr>
            </w:pPr>
            <w:r w:rsidRPr="002D4DE9">
              <w:rPr>
                <w:sz w:val="18"/>
                <w:szCs w:val="18"/>
              </w:rPr>
              <w:t>0,404</w:t>
            </w:r>
          </w:p>
        </w:tc>
        <w:tc>
          <w:tcPr>
            <w:tcW w:w="1474" w:type="dxa"/>
            <w:tcBorders>
              <w:top w:val="single" w:sz="4" w:space="0" w:color="auto"/>
              <w:left w:val="single" w:sz="4" w:space="0" w:color="auto"/>
              <w:bottom w:val="single" w:sz="12" w:space="0" w:color="auto"/>
              <w:right w:val="single" w:sz="4" w:space="0" w:color="auto"/>
            </w:tcBorders>
            <w:shd w:val="clear" w:color="auto" w:fill="auto"/>
          </w:tcPr>
          <w:p w:rsidR="003A7E05" w:rsidRPr="002D4DE9" w:rsidRDefault="003A7E05" w:rsidP="00AE4213">
            <w:pPr>
              <w:spacing w:before="60" w:after="60" w:line="220" w:lineRule="atLeast"/>
              <w:ind w:right="113"/>
              <w:jc w:val="center"/>
              <w:rPr>
                <w:sz w:val="18"/>
                <w:szCs w:val="18"/>
              </w:rPr>
            </w:pPr>
            <w:r w:rsidRPr="002D4DE9">
              <w:rPr>
                <w:sz w:val="18"/>
                <w:szCs w:val="18"/>
              </w:rPr>
              <w:t>0,315</w:t>
            </w:r>
          </w:p>
        </w:tc>
        <w:tc>
          <w:tcPr>
            <w:tcW w:w="1474" w:type="dxa"/>
            <w:tcBorders>
              <w:top w:val="single" w:sz="4" w:space="0" w:color="auto"/>
              <w:left w:val="single" w:sz="4" w:space="0" w:color="auto"/>
              <w:bottom w:val="single" w:sz="12" w:space="0" w:color="auto"/>
              <w:right w:val="single" w:sz="4" w:space="0" w:color="auto"/>
            </w:tcBorders>
            <w:shd w:val="clear" w:color="auto" w:fill="auto"/>
          </w:tcPr>
          <w:p w:rsidR="003A7E05" w:rsidRPr="002D4DE9" w:rsidRDefault="003A7E05" w:rsidP="00AE4213">
            <w:pPr>
              <w:spacing w:before="60" w:after="60" w:line="220" w:lineRule="atLeast"/>
              <w:ind w:right="113"/>
              <w:jc w:val="center"/>
              <w:rPr>
                <w:sz w:val="18"/>
                <w:szCs w:val="18"/>
              </w:rPr>
            </w:pPr>
            <w:r w:rsidRPr="002D4DE9">
              <w:rPr>
                <w:sz w:val="18"/>
                <w:szCs w:val="18"/>
              </w:rPr>
              <w:t>0,310</w:t>
            </w:r>
          </w:p>
        </w:tc>
      </w:tr>
    </w:tbl>
    <w:p w:rsidR="004564D8" w:rsidRPr="008B062D" w:rsidRDefault="004564D8" w:rsidP="003A7E05">
      <w:pPr>
        <w:pStyle w:val="SingleTxtG"/>
        <w:spacing w:before="240"/>
        <w:ind w:left="2268" w:hanging="1134"/>
        <w:rPr>
          <w:lang w:val="fr-FR" w:eastAsia="en-GB"/>
        </w:rPr>
      </w:pPr>
      <w:r w:rsidRPr="008B062D">
        <w:rPr>
          <w:lang w:val="fr-FR" w:eastAsia="en-GB"/>
        </w:rPr>
        <w:t>7.2.2.3</w:t>
      </w:r>
      <w:r w:rsidRPr="008B062D">
        <w:rPr>
          <w:lang w:val="fr-FR" w:eastAsia="en-GB"/>
        </w:rPr>
        <w:tab/>
        <w:t>Le facteur de luminance des matériaux fluorescents doit être contrôlé selon la méthode décrite au paragraphe 3 de l</w:t>
      </w:r>
      <w:r w:rsidR="00971BFE">
        <w:rPr>
          <w:lang w:val="fr-FR" w:eastAsia="en-GB"/>
        </w:rPr>
        <w:t>’</w:t>
      </w:r>
      <w:r w:rsidRPr="008B062D">
        <w:rPr>
          <w:lang w:val="fr-FR" w:eastAsia="en-GB"/>
        </w:rPr>
        <w:t>annexe 5.</w:t>
      </w:r>
    </w:p>
    <w:p w:rsidR="004564D8" w:rsidRPr="008B062D" w:rsidRDefault="004564D8" w:rsidP="00C45193">
      <w:pPr>
        <w:pStyle w:val="SingleTxtG"/>
        <w:keepNext/>
        <w:ind w:left="2268"/>
        <w:rPr>
          <w:lang w:val="fr-FR" w:eastAsia="en-GB"/>
        </w:rPr>
      </w:pPr>
      <w:r w:rsidRPr="008B062D">
        <w:rPr>
          <w:lang w:val="fr-FR" w:eastAsia="en-GB"/>
        </w:rPr>
        <w:tab/>
        <w:t>Le facteur de luminance, qui comprend la luminance produite par réflexion et par fluorescence, ne doit pas être:</w:t>
      </w:r>
    </w:p>
    <w:p w:rsidR="004564D8" w:rsidRPr="008B062D" w:rsidRDefault="004564D8" w:rsidP="0090573E">
      <w:pPr>
        <w:pStyle w:val="SingleTxtG"/>
        <w:ind w:left="2835" w:hanging="567"/>
        <w:rPr>
          <w:lang w:val="fr-FR" w:eastAsia="en-GB"/>
        </w:rPr>
      </w:pPr>
      <w:r w:rsidRPr="008B062D">
        <w:rPr>
          <w:lang w:val="fr-FR" w:eastAsia="en-GB"/>
        </w:rPr>
        <w:t>a)</w:t>
      </w:r>
      <w:r w:rsidRPr="008B062D">
        <w:rPr>
          <w:lang w:val="fr-FR" w:eastAsia="en-GB"/>
        </w:rPr>
        <w:tab/>
        <w:t>Inférieur à 30 % pour les triangles de présignalisation de type 1; et</w:t>
      </w:r>
    </w:p>
    <w:p w:rsidR="004564D8" w:rsidRPr="008B062D" w:rsidRDefault="004564D8" w:rsidP="0090573E">
      <w:pPr>
        <w:pStyle w:val="SingleTxtG"/>
        <w:ind w:left="2835" w:hanging="567"/>
        <w:rPr>
          <w:lang w:val="fr-FR" w:eastAsia="en-GB"/>
        </w:rPr>
      </w:pPr>
      <w:r w:rsidRPr="008B062D">
        <w:rPr>
          <w:lang w:val="fr-FR" w:eastAsia="en-GB"/>
        </w:rPr>
        <w:t>b)</w:t>
      </w:r>
      <w:r w:rsidRPr="008B062D">
        <w:rPr>
          <w:lang w:val="fr-FR" w:eastAsia="en-GB"/>
        </w:rPr>
        <w:tab/>
        <w:t>Inférieur à 25 % pour les triangles de présignalisation de type 2.</w:t>
      </w:r>
    </w:p>
    <w:p w:rsidR="004564D8" w:rsidRPr="008B062D" w:rsidRDefault="004564D8" w:rsidP="00A5296C">
      <w:pPr>
        <w:pStyle w:val="SingleTxtG"/>
        <w:ind w:left="2268" w:hanging="1134"/>
        <w:rPr>
          <w:lang w:val="fr-FR"/>
        </w:rPr>
      </w:pPr>
      <w:r w:rsidRPr="008B062D">
        <w:rPr>
          <w:lang w:val="fr-FR"/>
        </w:rPr>
        <w:t>7.2.3</w:t>
      </w:r>
      <w:r w:rsidRPr="008B062D">
        <w:rPr>
          <w:lang w:val="fr-FR"/>
        </w:rPr>
        <w:tab/>
        <w:t xml:space="preserve">La plus grande valeur mesurée de la coordonnée trichromatique </w:t>
      </w:r>
      <w:r w:rsidR="00707796">
        <w:rPr>
          <w:lang w:val="fr-FR"/>
        </w:rPr>
        <w:t>conformément au paragraphe </w:t>
      </w:r>
      <w:r w:rsidRPr="008B062D">
        <w:rPr>
          <w:lang w:val="fr-FR"/>
        </w:rPr>
        <w:t xml:space="preserve">7.2.1.2 (couleur nocturne) doit être inférieure ou égale à la plus grande valeur mesurée de la coordonnée trichromatique </w:t>
      </w:r>
      <w:r w:rsidR="00707796">
        <w:rPr>
          <w:lang w:val="fr-FR"/>
        </w:rPr>
        <w:t>conformément au paragraphe </w:t>
      </w:r>
      <w:r w:rsidRPr="008B062D">
        <w:rPr>
          <w:lang w:val="fr-FR"/>
        </w:rPr>
        <w:t>7.2.2.2 (couleur diurne).</w:t>
      </w:r>
    </w:p>
    <w:p w:rsidR="004564D8" w:rsidRPr="008B062D" w:rsidRDefault="004564D8" w:rsidP="00707796">
      <w:pPr>
        <w:pStyle w:val="SingleTxtG"/>
        <w:keepNext/>
        <w:ind w:left="2268" w:hanging="1134"/>
        <w:jc w:val="left"/>
        <w:rPr>
          <w:lang w:val="fr-FR" w:eastAsia="en-GB"/>
        </w:rPr>
      </w:pPr>
      <w:r w:rsidRPr="008B062D">
        <w:rPr>
          <w:lang w:val="fr-FR" w:eastAsia="en-GB"/>
        </w:rPr>
        <w:t xml:space="preserve">7.3 </w:t>
      </w:r>
      <w:r w:rsidRPr="008B062D">
        <w:rPr>
          <w:lang w:val="fr-FR" w:eastAsia="en-GB"/>
        </w:rPr>
        <w:tab/>
        <w:t>Spécifications photométriques</w:t>
      </w:r>
    </w:p>
    <w:p w:rsidR="004564D8" w:rsidRPr="008B062D" w:rsidRDefault="004564D8" w:rsidP="00707796">
      <w:pPr>
        <w:pStyle w:val="SingleTxtG"/>
        <w:keepNext/>
        <w:ind w:left="2268" w:hanging="1134"/>
        <w:jc w:val="left"/>
        <w:rPr>
          <w:lang w:val="fr-FR"/>
        </w:rPr>
      </w:pPr>
      <w:r w:rsidRPr="008B062D">
        <w:rPr>
          <w:lang w:val="fr-FR"/>
        </w:rPr>
        <w:t>7.3.1</w:t>
      </w:r>
      <w:r w:rsidRPr="008B062D">
        <w:rPr>
          <w:lang w:val="fr-FR"/>
        </w:rPr>
        <w:tab/>
        <w:t>Dispositif catadioptrique et matériau catadioptrique fluorescent</w:t>
      </w:r>
    </w:p>
    <w:p w:rsidR="004564D8" w:rsidRDefault="004564D8" w:rsidP="004564D8">
      <w:pPr>
        <w:suppressAutoHyphens w:val="0"/>
        <w:spacing w:after="120"/>
        <w:ind w:left="2268" w:right="1134" w:hanging="1134"/>
        <w:jc w:val="both"/>
        <w:rPr>
          <w:rFonts w:eastAsia="MS Mincho"/>
          <w:lang w:val="fr-FR" w:eastAsia="ja-JP"/>
        </w:rPr>
      </w:pPr>
      <w:r w:rsidRPr="008B062D">
        <w:rPr>
          <w:rFonts w:eastAsia="MS Mincho"/>
          <w:lang w:val="fr-FR" w:eastAsia="ja-JP"/>
        </w:rPr>
        <w:t>7.3.1.1</w:t>
      </w:r>
      <w:r w:rsidRPr="008B062D">
        <w:rPr>
          <w:rFonts w:eastAsia="MS Mincho"/>
          <w:lang w:val="fr-FR" w:eastAsia="ja-JP"/>
        </w:rPr>
        <w:tab/>
        <w:t>Les valeurs du CIL des optiques catadioptriques et des matériaux catadioptriques fluorescents doivent au moins être égales à celles du tableau ci-dessous, exprimées en millicandelas par lux pour les angles de divergence et d</w:t>
      </w:r>
      <w:r w:rsidR="00971BFE">
        <w:rPr>
          <w:rFonts w:eastAsia="MS Mincho"/>
          <w:lang w:val="fr-FR" w:eastAsia="ja-JP"/>
        </w:rPr>
        <w:t>’</w:t>
      </w:r>
      <w:r w:rsidRPr="008B062D">
        <w:rPr>
          <w:rFonts w:eastAsia="MS Mincho"/>
          <w:lang w:val="fr-FR" w:eastAsia="ja-JP"/>
        </w:rPr>
        <w:t>éclairage mentionnés:</w:t>
      </w:r>
    </w:p>
    <w:tbl>
      <w:tblPr>
        <w:tblW w:w="6237" w:type="dxa"/>
        <w:tblInd w:w="2268" w:type="dxa"/>
        <w:tblLayout w:type="fixed"/>
        <w:tblCellMar>
          <w:left w:w="0" w:type="dxa"/>
          <w:right w:w="0" w:type="dxa"/>
        </w:tblCellMar>
        <w:tblLook w:val="04A0" w:firstRow="1" w:lastRow="0" w:firstColumn="1" w:lastColumn="0" w:noHBand="0" w:noVBand="1"/>
      </w:tblPr>
      <w:tblGrid>
        <w:gridCol w:w="2108"/>
        <w:gridCol w:w="1032"/>
        <w:gridCol w:w="1032"/>
        <w:gridCol w:w="1032"/>
        <w:gridCol w:w="1033"/>
      </w:tblGrid>
      <w:tr w:rsidR="00A8480E" w:rsidRPr="00AE4213" w:rsidTr="00AE4213">
        <w:tc>
          <w:tcPr>
            <w:tcW w:w="2108" w:type="dxa"/>
            <w:tcBorders>
              <w:top w:val="single" w:sz="4" w:space="0" w:color="auto"/>
              <w:left w:val="single" w:sz="4" w:space="0" w:color="auto"/>
              <w:bottom w:val="single" w:sz="12" w:space="0" w:color="auto"/>
              <w:right w:val="single" w:sz="4" w:space="0" w:color="auto"/>
            </w:tcBorders>
            <w:shd w:val="clear" w:color="auto" w:fill="auto"/>
            <w:vAlign w:val="bottom"/>
          </w:tcPr>
          <w:p w:rsidR="00A8480E" w:rsidRPr="00AE4213" w:rsidRDefault="00A8480E" w:rsidP="00AE4213">
            <w:pPr>
              <w:spacing w:before="60" w:after="60" w:line="220" w:lineRule="atLeast"/>
              <w:ind w:right="113"/>
              <w:jc w:val="center"/>
              <w:rPr>
                <w:i/>
                <w:sz w:val="16"/>
              </w:rPr>
            </w:pPr>
          </w:p>
        </w:tc>
        <w:tc>
          <w:tcPr>
            <w:tcW w:w="4129" w:type="dxa"/>
            <w:gridSpan w:val="4"/>
            <w:tcBorders>
              <w:top w:val="single" w:sz="4" w:space="0" w:color="auto"/>
              <w:left w:val="single" w:sz="4" w:space="0" w:color="auto"/>
              <w:bottom w:val="single" w:sz="12" w:space="0" w:color="auto"/>
              <w:right w:val="single" w:sz="4" w:space="0" w:color="auto"/>
            </w:tcBorders>
            <w:shd w:val="clear" w:color="auto" w:fill="auto"/>
            <w:vAlign w:val="bottom"/>
          </w:tcPr>
          <w:p w:rsidR="00A8480E" w:rsidRPr="00AE4213" w:rsidRDefault="00A8480E" w:rsidP="00AE4213">
            <w:pPr>
              <w:spacing w:before="60" w:after="60" w:line="220" w:lineRule="atLeast"/>
              <w:ind w:right="113"/>
              <w:jc w:val="center"/>
              <w:rPr>
                <w:i/>
                <w:sz w:val="16"/>
              </w:rPr>
            </w:pPr>
            <w:r w:rsidRPr="00AE4213">
              <w:rPr>
                <w:i/>
                <w:sz w:val="16"/>
              </w:rPr>
              <w:t>Angles d</w:t>
            </w:r>
            <w:r w:rsidR="00971BFE">
              <w:rPr>
                <w:i/>
                <w:sz w:val="16"/>
              </w:rPr>
              <w:t>’</w:t>
            </w:r>
            <w:r w:rsidRPr="00AE4213">
              <w:rPr>
                <w:i/>
                <w:sz w:val="16"/>
              </w:rPr>
              <w:t xml:space="preserve">éclairage </w:t>
            </w:r>
            <w:r w:rsidRPr="00AE4213">
              <w:rPr>
                <w:rFonts w:eastAsia="MS Mincho"/>
                <w:i/>
                <w:lang w:val="fr-FR" w:eastAsia="ja-JP"/>
              </w:rPr>
              <w:t>β</w:t>
            </w:r>
          </w:p>
        </w:tc>
      </w:tr>
      <w:tr w:rsidR="008661F7" w:rsidRPr="00AE4213" w:rsidTr="00AE4213">
        <w:tc>
          <w:tcPr>
            <w:tcW w:w="2108" w:type="dxa"/>
            <w:tcBorders>
              <w:left w:val="single" w:sz="4" w:space="0" w:color="auto"/>
              <w:bottom w:val="single" w:sz="4" w:space="0" w:color="auto"/>
              <w:right w:val="single" w:sz="4" w:space="0" w:color="auto"/>
            </w:tcBorders>
            <w:shd w:val="clear" w:color="auto" w:fill="auto"/>
          </w:tcPr>
          <w:p w:rsidR="001D4618" w:rsidRPr="00AE4213" w:rsidRDefault="001D4618" w:rsidP="00AE4213">
            <w:pPr>
              <w:spacing w:before="60" w:after="60" w:line="220" w:lineRule="atLeast"/>
              <w:ind w:left="57" w:right="57"/>
              <w:rPr>
                <w:sz w:val="18"/>
                <w:szCs w:val="18"/>
              </w:rPr>
            </w:pPr>
            <w:r w:rsidRPr="00AE4213">
              <w:rPr>
                <w:sz w:val="18"/>
                <w:szCs w:val="18"/>
              </w:rPr>
              <w:t>Vertical</w:t>
            </w:r>
            <w:r w:rsidR="00DF50F5" w:rsidRPr="00AE4213">
              <w:rPr>
                <w:sz w:val="18"/>
                <w:szCs w:val="18"/>
              </w:rPr>
              <w:t xml:space="preserve"> V (</w:t>
            </w:r>
            <w:r w:rsidR="00DF50F5" w:rsidRPr="00AE4213">
              <w:rPr>
                <w:sz w:val="18"/>
                <w:szCs w:val="18"/>
              </w:rPr>
              <w:sym w:font="Symbol" w:char="F062"/>
            </w:r>
            <w:r w:rsidR="00DF50F5" w:rsidRPr="00AE4213">
              <w:rPr>
                <w:sz w:val="18"/>
                <w:szCs w:val="18"/>
                <w:vertAlign w:val="subscript"/>
              </w:rPr>
              <w:t>1</w:t>
            </w:r>
            <w:r w:rsidR="00DF50F5" w:rsidRPr="00AE4213">
              <w:rPr>
                <w:sz w:val="18"/>
                <w:szCs w:val="18"/>
              </w:rPr>
              <w:t>)</w:t>
            </w:r>
          </w:p>
        </w:tc>
        <w:tc>
          <w:tcPr>
            <w:tcW w:w="1032" w:type="dxa"/>
            <w:tcBorders>
              <w:left w:val="single" w:sz="4" w:space="0" w:color="auto"/>
              <w:bottom w:val="single" w:sz="4" w:space="0" w:color="auto"/>
              <w:right w:val="single" w:sz="4" w:space="0" w:color="auto"/>
            </w:tcBorders>
            <w:shd w:val="clear" w:color="auto" w:fill="auto"/>
          </w:tcPr>
          <w:p w:rsidR="001D4618" w:rsidRPr="00AE4213" w:rsidRDefault="00A8480E" w:rsidP="00AE4213">
            <w:pPr>
              <w:spacing w:before="60" w:after="60" w:line="220" w:lineRule="atLeast"/>
              <w:ind w:right="113"/>
              <w:jc w:val="center"/>
              <w:rPr>
                <w:sz w:val="18"/>
                <w:szCs w:val="18"/>
              </w:rPr>
            </w:pPr>
            <w:r w:rsidRPr="00AE4213">
              <w:rPr>
                <w:sz w:val="18"/>
                <w:szCs w:val="18"/>
              </w:rPr>
              <w:t>0°</w:t>
            </w:r>
          </w:p>
        </w:tc>
        <w:tc>
          <w:tcPr>
            <w:tcW w:w="1032" w:type="dxa"/>
            <w:tcBorders>
              <w:left w:val="single" w:sz="4" w:space="0" w:color="auto"/>
              <w:bottom w:val="single" w:sz="4" w:space="0" w:color="auto"/>
              <w:right w:val="single" w:sz="4" w:space="0" w:color="auto"/>
            </w:tcBorders>
            <w:shd w:val="clear" w:color="auto" w:fill="auto"/>
          </w:tcPr>
          <w:p w:rsidR="001D4618" w:rsidRPr="00AE4213" w:rsidRDefault="00A8480E" w:rsidP="00AE4213">
            <w:pPr>
              <w:spacing w:before="60" w:after="60" w:line="220" w:lineRule="atLeast"/>
              <w:ind w:right="113"/>
              <w:jc w:val="center"/>
              <w:rPr>
                <w:sz w:val="18"/>
                <w:szCs w:val="18"/>
              </w:rPr>
            </w:pPr>
            <w:r w:rsidRPr="00AE4213">
              <w:rPr>
                <w:sz w:val="18"/>
                <w:szCs w:val="18"/>
              </w:rPr>
              <w:sym w:font="Symbol" w:char="F0B1"/>
            </w:r>
            <w:r w:rsidRPr="00AE4213">
              <w:rPr>
                <w:sz w:val="18"/>
                <w:szCs w:val="18"/>
              </w:rPr>
              <w:t>20°</w:t>
            </w:r>
          </w:p>
        </w:tc>
        <w:tc>
          <w:tcPr>
            <w:tcW w:w="1032" w:type="dxa"/>
            <w:tcBorders>
              <w:left w:val="single" w:sz="4" w:space="0" w:color="auto"/>
              <w:bottom w:val="single" w:sz="4" w:space="0" w:color="auto"/>
              <w:right w:val="single" w:sz="4" w:space="0" w:color="auto"/>
            </w:tcBorders>
            <w:shd w:val="clear" w:color="auto" w:fill="auto"/>
          </w:tcPr>
          <w:p w:rsidR="001D4618" w:rsidRPr="00AE4213" w:rsidRDefault="00A8480E" w:rsidP="00AE4213">
            <w:pPr>
              <w:spacing w:before="60" w:after="60" w:line="220" w:lineRule="atLeast"/>
              <w:ind w:right="113"/>
              <w:jc w:val="center"/>
              <w:rPr>
                <w:sz w:val="18"/>
                <w:szCs w:val="18"/>
              </w:rPr>
            </w:pPr>
            <w:r w:rsidRPr="00AE4213">
              <w:rPr>
                <w:sz w:val="18"/>
                <w:szCs w:val="18"/>
              </w:rPr>
              <w:t>0°</w:t>
            </w:r>
          </w:p>
        </w:tc>
        <w:tc>
          <w:tcPr>
            <w:tcW w:w="1033" w:type="dxa"/>
            <w:tcBorders>
              <w:left w:val="single" w:sz="4" w:space="0" w:color="auto"/>
              <w:bottom w:val="single" w:sz="4" w:space="0" w:color="auto"/>
              <w:right w:val="single" w:sz="4" w:space="0" w:color="auto"/>
            </w:tcBorders>
            <w:shd w:val="clear" w:color="auto" w:fill="auto"/>
          </w:tcPr>
          <w:p w:rsidR="001D4618" w:rsidRPr="00AE4213" w:rsidRDefault="00A8480E" w:rsidP="00AE4213">
            <w:pPr>
              <w:spacing w:before="60" w:after="60" w:line="220" w:lineRule="atLeast"/>
              <w:ind w:right="113"/>
              <w:jc w:val="center"/>
              <w:rPr>
                <w:sz w:val="18"/>
                <w:szCs w:val="18"/>
              </w:rPr>
            </w:pPr>
            <w:r w:rsidRPr="00AE4213">
              <w:rPr>
                <w:sz w:val="18"/>
                <w:szCs w:val="18"/>
              </w:rPr>
              <w:t>0°</w:t>
            </w:r>
          </w:p>
        </w:tc>
      </w:tr>
      <w:tr w:rsidR="008661F7" w:rsidRPr="00AE4213" w:rsidTr="00AE4213">
        <w:tc>
          <w:tcPr>
            <w:tcW w:w="2108" w:type="dxa"/>
            <w:tcBorders>
              <w:left w:val="single" w:sz="4" w:space="0" w:color="auto"/>
              <w:bottom w:val="single" w:sz="4" w:space="0" w:color="auto"/>
              <w:right w:val="single" w:sz="4" w:space="0" w:color="auto"/>
            </w:tcBorders>
            <w:shd w:val="clear" w:color="auto" w:fill="auto"/>
          </w:tcPr>
          <w:p w:rsidR="001D4618" w:rsidRPr="00AE4213" w:rsidRDefault="00DF50F5" w:rsidP="00AE4213">
            <w:pPr>
              <w:spacing w:before="60" w:after="60" w:line="220" w:lineRule="atLeast"/>
              <w:ind w:left="57" w:right="57"/>
              <w:rPr>
                <w:sz w:val="18"/>
                <w:szCs w:val="18"/>
              </w:rPr>
            </w:pPr>
            <w:r w:rsidRPr="00AE4213">
              <w:rPr>
                <w:sz w:val="18"/>
                <w:szCs w:val="18"/>
              </w:rPr>
              <w:t>Horizontal H (</w:t>
            </w:r>
            <w:r w:rsidRPr="00AE4213">
              <w:rPr>
                <w:sz w:val="18"/>
                <w:szCs w:val="18"/>
              </w:rPr>
              <w:sym w:font="Symbol" w:char="F062"/>
            </w:r>
            <w:r w:rsidRPr="00AE4213">
              <w:rPr>
                <w:sz w:val="18"/>
                <w:szCs w:val="18"/>
                <w:vertAlign w:val="subscript"/>
              </w:rPr>
              <w:t>2</w:t>
            </w:r>
            <w:r w:rsidRPr="00AE4213">
              <w:rPr>
                <w:sz w:val="18"/>
                <w:szCs w:val="18"/>
              </w:rPr>
              <w:t>)</w:t>
            </w:r>
          </w:p>
        </w:tc>
        <w:tc>
          <w:tcPr>
            <w:tcW w:w="1032" w:type="dxa"/>
            <w:tcBorders>
              <w:left w:val="single" w:sz="4" w:space="0" w:color="auto"/>
              <w:bottom w:val="single" w:sz="4" w:space="0" w:color="auto"/>
              <w:right w:val="single" w:sz="4" w:space="0" w:color="auto"/>
            </w:tcBorders>
            <w:shd w:val="clear" w:color="auto" w:fill="auto"/>
          </w:tcPr>
          <w:p w:rsidR="001D4618" w:rsidRPr="00AE4213" w:rsidRDefault="00A8480E" w:rsidP="00AE4213">
            <w:pPr>
              <w:spacing w:before="60" w:after="60" w:line="220" w:lineRule="atLeast"/>
              <w:ind w:right="113"/>
              <w:jc w:val="center"/>
              <w:rPr>
                <w:sz w:val="18"/>
                <w:szCs w:val="18"/>
              </w:rPr>
            </w:pPr>
            <w:r w:rsidRPr="00AE4213">
              <w:rPr>
                <w:sz w:val="18"/>
                <w:szCs w:val="18"/>
              </w:rPr>
              <w:t>0°</w:t>
            </w:r>
            <w:r w:rsidR="006B1DFA" w:rsidRPr="00AE4213">
              <w:rPr>
                <w:sz w:val="18"/>
                <w:szCs w:val="18"/>
              </w:rPr>
              <w:t xml:space="preserve"> ou </w:t>
            </w:r>
            <w:r w:rsidR="006B1DFA" w:rsidRPr="00AE4213">
              <w:rPr>
                <w:sz w:val="18"/>
                <w:szCs w:val="18"/>
              </w:rPr>
              <w:sym w:font="Symbol" w:char="F0B1"/>
            </w:r>
            <w:r w:rsidR="006B1DFA" w:rsidRPr="00AE4213">
              <w:rPr>
                <w:sz w:val="18"/>
                <w:szCs w:val="18"/>
              </w:rPr>
              <w:t>5°</w:t>
            </w:r>
          </w:p>
        </w:tc>
        <w:tc>
          <w:tcPr>
            <w:tcW w:w="1032" w:type="dxa"/>
            <w:tcBorders>
              <w:left w:val="single" w:sz="4" w:space="0" w:color="auto"/>
              <w:bottom w:val="single" w:sz="4" w:space="0" w:color="auto"/>
              <w:right w:val="single" w:sz="4" w:space="0" w:color="auto"/>
            </w:tcBorders>
            <w:shd w:val="clear" w:color="auto" w:fill="auto"/>
          </w:tcPr>
          <w:p w:rsidR="001D4618" w:rsidRPr="00AE4213" w:rsidRDefault="00A8480E" w:rsidP="00AE4213">
            <w:pPr>
              <w:spacing w:before="60" w:after="60" w:line="220" w:lineRule="atLeast"/>
              <w:ind w:right="113"/>
              <w:jc w:val="center"/>
              <w:rPr>
                <w:sz w:val="18"/>
                <w:szCs w:val="18"/>
              </w:rPr>
            </w:pPr>
            <w:r w:rsidRPr="00AE4213">
              <w:rPr>
                <w:sz w:val="18"/>
                <w:szCs w:val="18"/>
              </w:rPr>
              <w:t>0°</w:t>
            </w:r>
          </w:p>
        </w:tc>
        <w:tc>
          <w:tcPr>
            <w:tcW w:w="1032" w:type="dxa"/>
            <w:tcBorders>
              <w:left w:val="single" w:sz="4" w:space="0" w:color="auto"/>
              <w:bottom w:val="single" w:sz="4" w:space="0" w:color="auto"/>
              <w:right w:val="single" w:sz="4" w:space="0" w:color="auto"/>
            </w:tcBorders>
            <w:shd w:val="clear" w:color="auto" w:fill="auto"/>
          </w:tcPr>
          <w:p w:rsidR="001D4618" w:rsidRPr="00AE4213" w:rsidRDefault="006B1DFA" w:rsidP="00AE4213">
            <w:pPr>
              <w:spacing w:before="60" w:after="60" w:line="220" w:lineRule="atLeast"/>
              <w:ind w:right="113"/>
              <w:jc w:val="center"/>
              <w:rPr>
                <w:sz w:val="18"/>
                <w:szCs w:val="18"/>
              </w:rPr>
            </w:pPr>
            <w:r w:rsidRPr="00AE4213">
              <w:rPr>
                <w:sz w:val="18"/>
                <w:szCs w:val="18"/>
              </w:rPr>
              <w:sym w:font="Symbol" w:char="F0B1"/>
            </w:r>
            <w:r w:rsidRPr="00AE4213">
              <w:rPr>
                <w:sz w:val="18"/>
                <w:szCs w:val="18"/>
              </w:rPr>
              <w:t>3</w:t>
            </w:r>
            <w:r w:rsidR="00A8480E" w:rsidRPr="00AE4213">
              <w:rPr>
                <w:sz w:val="18"/>
                <w:szCs w:val="18"/>
              </w:rPr>
              <w:t>0°</w:t>
            </w:r>
          </w:p>
        </w:tc>
        <w:tc>
          <w:tcPr>
            <w:tcW w:w="1033" w:type="dxa"/>
            <w:tcBorders>
              <w:left w:val="single" w:sz="4" w:space="0" w:color="auto"/>
              <w:bottom w:val="single" w:sz="4" w:space="0" w:color="auto"/>
              <w:right w:val="single" w:sz="4" w:space="0" w:color="auto"/>
            </w:tcBorders>
            <w:shd w:val="clear" w:color="auto" w:fill="auto"/>
          </w:tcPr>
          <w:p w:rsidR="001D4618" w:rsidRPr="00AE4213" w:rsidRDefault="006B1DFA" w:rsidP="00AE4213">
            <w:pPr>
              <w:spacing w:before="60" w:after="60" w:line="220" w:lineRule="atLeast"/>
              <w:ind w:right="113"/>
              <w:jc w:val="center"/>
              <w:rPr>
                <w:sz w:val="18"/>
                <w:szCs w:val="18"/>
              </w:rPr>
            </w:pPr>
            <w:r w:rsidRPr="00AE4213">
              <w:rPr>
                <w:sz w:val="18"/>
                <w:szCs w:val="18"/>
              </w:rPr>
              <w:sym w:font="Symbol" w:char="F0B1"/>
            </w:r>
            <w:r w:rsidRPr="00AE4213">
              <w:rPr>
                <w:sz w:val="18"/>
                <w:szCs w:val="18"/>
              </w:rPr>
              <w:t>4</w:t>
            </w:r>
            <w:r w:rsidR="00A8480E" w:rsidRPr="00AE4213">
              <w:rPr>
                <w:sz w:val="18"/>
                <w:szCs w:val="18"/>
              </w:rPr>
              <w:t>0°</w:t>
            </w:r>
          </w:p>
        </w:tc>
      </w:tr>
      <w:tr w:rsidR="008661F7" w:rsidRPr="00AE4213" w:rsidTr="00AE4213">
        <w:tc>
          <w:tcPr>
            <w:tcW w:w="2108" w:type="dxa"/>
            <w:tcBorders>
              <w:left w:val="single" w:sz="4" w:space="0" w:color="auto"/>
              <w:bottom w:val="single" w:sz="4" w:space="0" w:color="auto"/>
              <w:right w:val="single" w:sz="4" w:space="0" w:color="auto"/>
            </w:tcBorders>
            <w:shd w:val="clear" w:color="auto" w:fill="auto"/>
          </w:tcPr>
          <w:p w:rsidR="001D4618" w:rsidRPr="00AE4213" w:rsidRDefault="00DF50F5" w:rsidP="00AE4213">
            <w:pPr>
              <w:spacing w:before="60" w:after="60" w:line="220" w:lineRule="atLeast"/>
              <w:ind w:left="57" w:right="57"/>
              <w:rPr>
                <w:sz w:val="18"/>
                <w:szCs w:val="18"/>
              </w:rPr>
            </w:pPr>
            <w:r w:rsidRPr="00AE4213">
              <w:rPr>
                <w:sz w:val="18"/>
                <w:szCs w:val="18"/>
              </w:rPr>
              <w:t>Angles de divergence 20</w:t>
            </w:r>
            <w:r w:rsidR="008E4A63">
              <w:rPr>
                <w:sz w:val="18"/>
                <w:szCs w:val="18"/>
              </w:rPr>
              <w:t>'</w:t>
            </w:r>
            <w:r w:rsidR="002C3C52" w:rsidRPr="00AE4213">
              <w:rPr>
                <w:sz w:val="18"/>
                <w:szCs w:val="18"/>
              </w:rPr>
              <w:t xml:space="preserve"> </w:t>
            </w:r>
          </w:p>
        </w:tc>
        <w:tc>
          <w:tcPr>
            <w:tcW w:w="1032" w:type="dxa"/>
            <w:tcBorders>
              <w:left w:val="single" w:sz="4" w:space="0" w:color="auto"/>
              <w:bottom w:val="single" w:sz="4" w:space="0" w:color="auto"/>
              <w:right w:val="single" w:sz="4" w:space="0" w:color="auto"/>
            </w:tcBorders>
            <w:shd w:val="clear" w:color="auto" w:fill="auto"/>
          </w:tcPr>
          <w:p w:rsidR="001D4618" w:rsidRPr="00AE4213" w:rsidRDefault="006B1DFA" w:rsidP="00AE4213">
            <w:pPr>
              <w:spacing w:before="60" w:after="60" w:line="220" w:lineRule="atLeast"/>
              <w:ind w:right="113"/>
              <w:jc w:val="center"/>
              <w:rPr>
                <w:sz w:val="18"/>
                <w:szCs w:val="18"/>
              </w:rPr>
            </w:pPr>
            <w:r w:rsidRPr="00AE4213">
              <w:rPr>
                <w:sz w:val="18"/>
                <w:szCs w:val="18"/>
              </w:rPr>
              <w:t>8 000</w:t>
            </w:r>
          </w:p>
        </w:tc>
        <w:tc>
          <w:tcPr>
            <w:tcW w:w="1032" w:type="dxa"/>
            <w:tcBorders>
              <w:left w:val="single" w:sz="4" w:space="0" w:color="auto"/>
              <w:bottom w:val="single" w:sz="4" w:space="0" w:color="auto"/>
              <w:right w:val="single" w:sz="4" w:space="0" w:color="auto"/>
            </w:tcBorders>
            <w:shd w:val="clear" w:color="auto" w:fill="auto"/>
          </w:tcPr>
          <w:p w:rsidR="001D4618" w:rsidRPr="00AE4213" w:rsidRDefault="006B1DFA" w:rsidP="00AE4213">
            <w:pPr>
              <w:spacing w:before="60" w:after="60" w:line="220" w:lineRule="atLeast"/>
              <w:ind w:right="113"/>
              <w:jc w:val="center"/>
              <w:rPr>
                <w:sz w:val="18"/>
                <w:szCs w:val="18"/>
              </w:rPr>
            </w:pPr>
            <w:r w:rsidRPr="00AE4213">
              <w:rPr>
                <w:sz w:val="18"/>
                <w:szCs w:val="18"/>
              </w:rPr>
              <w:t>4 000</w:t>
            </w:r>
          </w:p>
        </w:tc>
        <w:tc>
          <w:tcPr>
            <w:tcW w:w="1032" w:type="dxa"/>
            <w:tcBorders>
              <w:left w:val="single" w:sz="4" w:space="0" w:color="auto"/>
              <w:bottom w:val="single" w:sz="4" w:space="0" w:color="auto"/>
              <w:right w:val="single" w:sz="4" w:space="0" w:color="auto"/>
            </w:tcBorders>
            <w:shd w:val="clear" w:color="auto" w:fill="auto"/>
          </w:tcPr>
          <w:p w:rsidR="001D4618" w:rsidRPr="00AE4213" w:rsidRDefault="006B1DFA" w:rsidP="00AE4213">
            <w:pPr>
              <w:spacing w:before="60" w:after="60" w:line="220" w:lineRule="atLeast"/>
              <w:ind w:right="113"/>
              <w:jc w:val="center"/>
              <w:rPr>
                <w:sz w:val="18"/>
                <w:szCs w:val="18"/>
              </w:rPr>
            </w:pPr>
            <w:r w:rsidRPr="00AE4213">
              <w:rPr>
                <w:sz w:val="18"/>
                <w:szCs w:val="18"/>
              </w:rPr>
              <w:t>1 700</w:t>
            </w:r>
          </w:p>
        </w:tc>
        <w:tc>
          <w:tcPr>
            <w:tcW w:w="1033" w:type="dxa"/>
            <w:tcBorders>
              <w:left w:val="single" w:sz="4" w:space="0" w:color="auto"/>
              <w:bottom w:val="single" w:sz="4" w:space="0" w:color="auto"/>
              <w:right w:val="single" w:sz="4" w:space="0" w:color="auto"/>
            </w:tcBorders>
            <w:shd w:val="clear" w:color="auto" w:fill="auto"/>
          </w:tcPr>
          <w:p w:rsidR="001D4618" w:rsidRPr="00AE4213" w:rsidRDefault="006B1DFA" w:rsidP="00AE4213">
            <w:pPr>
              <w:spacing w:before="60" w:after="60" w:line="220" w:lineRule="atLeast"/>
              <w:ind w:right="113"/>
              <w:jc w:val="center"/>
              <w:rPr>
                <w:sz w:val="18"/>
                <w:szCs w:val="18"/>
              </w:rPr>
            </w:pPr>
            <w:r w:rsidRPr="00AE4213">
              <w:rPr>
                <w:sz w:val="18"/>
                <w:szCs w:val="18"/>
              </w:rPr>
              <w:t>600</w:t>
            </w:r>
          </w:p>
        </w:tc>
      </w:tr>
      <w:tr w:rsidR="008661F7" w:rsidRPr="00AE4213" w:rsidTr="008E4A63">
        <w:tc>
          <w:tcPr>
            <w:tcW w:w="2108" w:type="dxa"/>
            <w:tcBorders>
              <w:top w:val="single" w:sz="4" w:space="0" w:color="auto"/>
              <w:left w:val="single" w:sz="4" w:space="0" w:color="auto"/>
              <w:bottom w:val="single" w:sz="12" w:space="0" w:color="auto"/>
              <w:right w:val="single" w:sz="4" w:space="0" w:color="auto"/>
            </w:tcBorders>
            <w:shd w:val="clear" w:color="auto" w:fill="auto"/>
            <w:vAlign w:val="bottom"/>
          </w:tcPr>
          <w:p w:rsidR="001D4618" w:rsidRPr="00AE4213" w:rsidRDefault="00DF50F5" w:rsidP="00AE4213">
            <w:pPr>
              <w:spacing w:before="60" w:after="60" w:line="220" w:lineRule="atLeast"/>
              <w:ind w:left="57" w:right="57"/>
              <w:rPr>
                <w:sz w:val="18"/>
                <w:szCs w:val="18"/>
              </w:rPr>
            </w:pPr>
            <w:r w:rsidRPr="00AE4213">
              <w:rPr>
                <w:sz w:val="18"/>
                <w:szCs w:val="18"/>
              </w:rPr>
              <w:t>Angles de divergence 1°30</w:t>
            </w:r>
            <w:r w:rsidR="008E4A63">
              <w:rPr>
                <w:sz w:val="18"/>
                <w:szCs w:val="18"/>
              </w:rPr>
              <w:t>'</w:t>
            </w:r>
          </w:p>
        </w:tc>
        <w:tc>
          <w:tcPr>
            <w:tcW w:w="1032" w:type="dxa"/>
            <w:tcBorders>
              <w:top w:val="single" w:sz="4" w:space="0" w:color="auto"/>
              <w:left w:val="single" w:sz="4" w:space="0" w:color="auto"/>
              <w:bottom w:val="single" w:sz="12" w:space="0" w:color="auto"/>
              <w:right w:val="single" w:sz="4" w:space="0" w:color="auto"/>
            </w:tcBorders>
            <w:shd w:val="clear" w:color="auto" w:fill="auto"/>
            <w:vAlign w:val="bottom"/>
          </w:tcPr>
          <w:p w:rsidR="001D4618" w:rsidRPr="00AE4213" w:rsidRDefault="006B1DFA" w:rsidP="00AE4213">
            <w:pPr>
              <w:spacing w:before="60" w:after="60" w:line="220" w:lineRule="atLeast"/>
              <w:ind w:right="113"/>
              <w:jc w:val="center"/>
              <w:rPr>
                <w:sz w:val="18"/>
                <w:szCs w:val="18"/>
              </w:rPr>
            </w:pPr>
            <w:r w:rsidRPr="00AE4213">
              <w:rPr>
                <w:sz w:val="18"/>
                <w:szCs w:val="18"/>
              </w:rPr>
              <w:t>600</w:t>
            </w:r>
          </w:p>
        </w:tc>
        <w:tc>
          <w:tcPr>
            <w:tcW w:w="1032" w:type="dxa"/>
            <w:tcBorders>
              <w:top w:val="single" w:sz="4" w:space="0" w:color="auto"/>
              <w:left w:val="single" w:sz="4" w:space="0" w:color="auto"/>
              <w:bottom w:val="single" w:sz="12" w:space="0" w:color="auto"/>
              <w:right w:val="single" w:sz="4" w:space="0" w:color="auto"/>
            </w:tcBorders>
            <w:shd w:val="clear" w:color="auto" w:fill="auto"/>
            <w:vAlign w:val="bottom"/>
          </w:tcPr>
          <w:p w:rsidR="001D4618" w:rsidRPr="00AE4213" w:rsidRDefault="006B1DFA" w:rsidP="00AE4213">
            <w:pPr>
              <w:spacing w:before="60" w:after="60" w:line="220" w:lineRule="atLeast"/>
              <w:ind w:right="113"/>
              <w:jc w:val="center"/>
              <w:rPr>
                <w:sz w:val="18"/>
                <w:szCs w:val="18"/>
              </w:rPr>
            </w:pPr>
            <w:r w:rsidRPr="00AE4213">
              <w:rPr>
                <w:sz w:val="18"/>
                <w:szCs w:val="18"/>
              </w:rPr>
              <w:t>200</w:t>
            </w:r>
          </w:p>
        </w:tc>
        <w:tc>
          <w:tcPr>
            <w:tcW w:w="1032" w:type="dxa"/>
            <w:tcBorders>
              <w:top w:val="single" w:sz="4" w:space="0" w:color="auto"/>
              <w:left w:val="single" w:sz="4" w:space="0" w:color="auto"/>
              <w:bottom w:val="single" w:sz="12" w:space="0" w:color="auto"/>
              <w:right w:val="single" w:sz="4" w:space="0" w:color="auto"/>
            </w:tcBorders>
            <w:shd w:val="clear" w:color="auto" w:fill="auto"/>
            <w:vAlign w:val="bottom"/>
          </w:tcPr>
          <w:p w:rsidR="001D4618" w:rsidRPr="00AE4213" w:rsidRDefault="006B1DFA" w:rsidP="00AE4213">
            <w:pPr>
              <w:spacing w:before="60" w:after="60" w:line="220" w:lineRule="atLeast"/>
              <w:ind w:right="113"/>
              <w:jc w:val="center"/>
              <w:rPr>
                <w:sz w:val="18"/>
                <w:szCs w:val="18"/>
              </w:rPr>
            </w:pPr>
            <w:r w:rsidRPr="00AE4213">
              <w:rPr>
                <w:sz w:val="18"/>
                <w:szCs w:val="18"/>
              </w:rPr>
              <w:t>100</w:t>
            </w:r>
          </w:p>
        </w:tc>
        <w:tc>
          <w:tcPr>
            <w:tcW w:w="1033" w:type="dxa"/>
            <w:tcBorders>
              <w:top w:val="single" w:sz="4" w:space="0" w:color="auto"/>
              <w:left w:val="single" w:sz="4" w:space="0" w:color="auto"/>
              <w:bottom w:val="single" w:sz="12" w:space="0" w:color="auto"/>
              <w:right w:val="single" w:sz="4" w:space="0" w:color="auto"/>
            </w:tcBorders>
            <w:shd w:val="clear" w:color="auto" w:fill="auto"/>
            <w:vAlign w:val="bottom"/>
          </w:tcPr>
          <w:p w:rsidR="001D4618" w:rsidRPr="00AE4213" w:rsidRDefault="006B1DFA" w:rsidP="00AE4213">
            <w:pPr>
              <w:spacing w:before="60" w:after="60" w:line="220" w:lineRule="atLeast"/>
              <w:ind w:right="113"/>
              <w:jc w:val="center"/>
              <w:rPr>
                <w:sz w:val="18"/>
                <w:szCs w:val="18"/>
              </w:rPr>
            </w:pPr>
            <w:r w:rsidRPr="00AE4213">
              <w:rPr>
                <w:sz w:val="18"/>
                <w:szCs w:val="18"/>
              </w:rPr>
              <w:t>50</w:t>
            </w:r>
          </w:p>
        </w:tc>
      </w:tr>
    </w:tbl>
    <w:p w:rsidR="004564D8" w:rsidRPr="008B062D" w:rsidRDefault="004564D8" w:rsidP="004564D8">
      <w:pPr>
        <w:rPr>
          <w:sz w:val="12"/>
          <w:szCs w:val="12"/>
          <w:lang w:val="fr-FR" w:eastAsia="en-GB"/>
        </w:rPr>
      </w:pPr>
    </w:p>
    <w:p w:rsidR="004564D8" w:rsidRPr="008B062D" w:rsidRDefault="004564D8" w:rsidP="00A5296C">
      <w:pPr>
        <w:pStyle w:val="SingleTxtG"/>
        <w:ind w:left="2268" w:hanging="1134"/>
        <w:rPr>
          <w:lang w:val="fr-FR" w:eastAsia="en-GB"/>
        </w:rPr>
      </w:pPr>
      <w:r w:rsidRPr="008B062D">
        <w:rPr>
          <w:lang w:val="fr-FR" w:eastAsia="en-GB"/>
        </w:rPr>
        <w:t>7.3.1.2</w:t>
      </w:r>
      <w:r w:rsidRPr="008B062D">
        <w:rPr>
          <w:lang w:val="fr-FR" w:eastAsia="en-GB"/>
        </w:rPr>
        <w:tab/>
        <w:t>Les CIL mesurés sur des tranches quelconques de 50</w:t>
      </w:r>
      <w:r w:rsidR="000B784D">
        <w:rPr>
          <w:lang w:val="fr-FR" w:eastAsia="en-GB"/>
        </w:rPr>
        <w:t> </w:t>
      </w:r>
      <w:r w:rsidRPr="008B062D">
        <w:rPr>
          <w:lang w:val="fr-FR" w:eastAsia="en-GB"/>
        </w:rPr>
        <w:t>mm de longueur du dispositif catadioptrique doivent être tels que le rapport de la valeur maximale sur la v</w:t>
      </w:r>
      <w:r w:rsidR="000B784D">
        <w:rPr>
          <w:lang w:val="fr-FR" w:eastAsia="en-GB"/>
        </w:rPr>
        <w:t>aleur minimale soit inférieur à </w:t>
      </w:r>
      <w:r w:rsidRPr="008B062D">
        <w:rPr>
          <w:lang w:val="fr-FR" w:eastAsia="en-GB"/>
        </w:rPr>
        <w:t>3. Ces tranches sont prises dans les parties comprises entre les deux perpendiculaires abaissées des sommets du triangle intérieur sur les côtés dudit triangle. Cette exigence s</w:t>
      </w:r>
      <w:r w:rsidR="00971BFE">
        <w:rPr>
          <w:lang w:val="fr-FR" w:eastAsia="en-GB"/>
        </w:rPr>
        <w:t>’</w:t>
      </w:r>
      <w:r w:rsidRPr="008B062D">
        <w:rPr>
          <w:lang w:val="fr-FR" w:eastAsia="en-GB"/>
        </w:rPr>
        <w:t>applique pour la divergence de 20</w:t>
      </w:r>
      <w:r w:rsidR="002552AF">
        <w:rPr>
          <w:sz w:val="18"/>
          <w:szCs w:val="18"/>
        </w:rPr>
        <w:t>'</w:t>
      </w:r>
      <w:r w:rsidRPr="008B062D">
        <w:rPr>
          <w:lang w:val="fr-FR" w:eastAsia="en-GB"/>
        </w:rPr>
        <w:t xml:space="preserve"> et pour les angles d</w:t>
      </w:r>
      <w:r w:rsidR="00971BFE">
        <w:rPr>
          <w:lang w:val="fr-FR" w:eastAsia="en-GB"/>
        </w:rPr>
        <w:t>’</w:t>
      </w:r>
      <w:r w:rsidR="00DC0CB7">
        <w:rPr>
          <w:lang w:val="fr-FR" w:eastAsia="en-GB"/>
        </w:rPr>
        <w:t>éclairage V = 0°, H </w:t>
      </w:r>
      <w:r w:rsidRPr="008B062D">
        <w:rPr>
          <w:lang w:val="fr-FR" w:eastAsia="en-GB"/>
        </w:rPr>
        <w:t xml:space="preserve">= 0° ou </w:t>
      </w:r>
      <w:r w:rsidR="00DC0CB7">
        <w:rPr>
          <w:sz w:val="18"/>
          <w:szCs w:val="18"/>
        </w:rPr>
        <w:sym w:font="Symbol" w:char="F0B1"/>
      </w:r>
      <w:r w:rsidR="00DC0CB7">
        <w:rPr>
          <w:lang w:val="fr-FR" w:eastAsia="en-GB"/>
        </w:rPr>
        <w:t>5° et V = </w:t>
      </w:r>
      <w:r w:rsidR="00DC0CB7">
        <w:rPr>
          <w:sz w:val="18"/>
          <w:szCs w:val="18"/>
        </w:rPr>
        <w:sym w:font="Symbol" w:char="F0B1"/>
      </w:r>
      <w:r w:rsidR="00DC0CB7">
        <w:rPr>
          <w:lang w:val="fr-FR" w:eastAsia="en-GB"/>
        </w:rPr>
        <w:t>20°, H = </w:t>
      </w:r>
      <w:r w:rsidRPr="008B062D">
        <w:rPr>
          <w:lang w:val="fr-FR" w:eastAsia="en-GB"/>
        </w:rPr>
        <w:t>0°.</w:t>
      </w:r>
    </w:p>
    <w:p w:rsidR="004564D8" w:rsidRPr="008B062D" w:rsidRDefault="004564D8" w:rsidP="00A5296C">
      <w:pPr>
        <w:pStyle w:val="SingleTxtG"/>
        <w:ind w:left="2268" w:hanging="1134"/>
        <w:rPr>
          <w:lang w:val="fr-FR" w:eastAsia="en-GB"/>
        </w:rPr>
      </w:pPr>
      <w:r w:rsidRPr="008B062D">
        <w:rPr>
          <w:lang w:val="fr-FR" w:eastAsia="en-GB"/>
        </w:rPr>
        <w:t xml:space="preserve">7.3.1.3 </w:t>
      </w:r>
      <w:r w:rsidRPr="008B062D">
        <w:rPr>
          <w:lang w:val="fr-FR" w:eastAsia="en-GB"/>
        </w:rPr>
        <w:tab/>
        <w:t>On tolérera une hétérogénéité de la luminance pour les angles d</w:t>
      </w:r>
      <w:r w:rsidR="00971BFE">
        <w:rPr>
          <w:lang w:val="fr-FR" w:eastAsia="en-GB"/>
        </w:rPr>
        <w:t>’</w:t>
      </w:r>
      <w:r w:rsidRPr="008B062D">
        <w:rPr>
          <w:lang w:val="fr-FR" w:eastAsia="en-GB"/>
        </w:rPr>
        <w:t xml:space="preserve">éclairage de </w:t>
      </w:r>
      <w:r w:rsidR="00DC0CB7">
        <w:rPr>
          <w:lang w:val="fr-FR" w:eastAsia="en-GB"/>
        </w:rPr>
        <w:t>V = 0°, H </w:t>
      </w:r>
      <w:r w:rsidRPr="008B062D">
        <w:rPr>
          <w:lang w:val="fr-FR" w:eastAsia="en-GB"/>
        </w:rPr>
        <w:t xml:space="preserve">= </w:t>
      </w:r>
      <w:r w:rsidR="00DC0CB7">
        <w:rPr>
          <w:sz w:val="18"/>
          <w:szCs w:val="18"/>
        </w:rPr>
        <w:sym w:font="Symbol" w:char="F0B1"/>
      </w:r>
      <w:r w:rsidRPr="008B062D">
        <w:rPr>
          <w:lang w:val="fr-FR" w:eastAsia="en-GB"/>
        </w:rPr>
        <w:t>30°, et</w:t>
      </w:r>
      <w:r w:rsidR="00DC0CB7">
        <w:rPr>
          <w:lang w:val="fr-FR" w:eastAsia="en-GB"/>
        </w:rPr>
        <w:t xml:space="preserve"> V = </w:t>
      </w:r>
      <w:r w:rsidRPr="008B062D">
        <w:rPr>
          <w:lang w:val="fr-FR" w:eastAsia="en-GB"/>
        </w:rPr>
        <w:t xml:space="preserve">0°, H = </w:t>
      </w:r>
      <w:r w:rsidR="001215B8">
        <w:rPr>
          <w:sz w:val="18"/>
          <w:szCs w:val="18"/>
        </w:rPr>
        <w:sym w:font="Symbol" w:char="F0B1"/>
      </w:r>
      <w:r w:rsidRPr="008B062D">
        <w:rPr>
          <w:lang w:val="fr-FR" w:eastAsia="en-GB"/>
        </w:rPr>
        <w:t>40° à condition que la forme triangulaire reste nettement perceptible, pour une divergence de 20</w:t>
      </w:r>
      <w:r w:rsidR="002552AF">
        <w:rPr>
          <w:sz w:val="18"/>
          <w:szCs w:val="18"/>
        </w:rPr>
        <w:t>'</w:t>
      </w:r>
      <w:r w:rsidRPr="008B062D">
        <w:rPr>
          <w:lang w:val="fr-FR" w:eastAsia="en-GB"/>
        </w:rPr>
        <w:t xml:space="preserve"> et un éclairement de 1 lux environ.</w:t>
      </w:r>
    </w:p>
    <w:p w:rsidR="004564D8" w:rsidRPr="008B062D" w:rsidRDefault="004564D8" w:rsidP="00A5296C">
      <w:pPr>
        <w:pStyle w:val="SingleTxtG"/>
        <w:ind w:left="2268" w:hanging="1134"/>
        <w:rPr>
          <w:lang w:val="fr-FR" w:eastAsia="en-GB"/>
        </w:rPr>
      </w:pPr>
      <w:r w:rsidRPr="008B062D">
        <w:rPr>
          <w:lang w:val="fr-FR" w:eastAsia="en-GB"/>
        </w:rPr>
        <w:t>7.3.1.4</w:t>
      </w:r>
      <w:r w:rsidRPr="008B062D">
        <w:rPr>
          <w:lang w:val="fr-FR" w:eastAsia="en-GB"/>
        </w:rPr>
        <w:tab/>
        <w:t>Les mesures mentionnées ci-dessus seront effectuées selon l</w:t>
      </w:r>
      <w:r w:rsidR="00DC0CB7">
        <w:rPr>
          <w:lang w:val="fr-FR" w:eastAsia="en-GB"/>
        </w:rPr>
        <w:t>a méthode décrite au paragraphe </w:t>
      </w:r>
      <w:r w:rsidRPr="008B062D">
        <w:rPr>
          <w:lang w:val="fr-FR" w:eastAsia="en-GB"/>
        </w:rPr>
        <w:t>4 de l</w:t>
      </w:r>
      <w:r w:rsidR="00971BFE">
        <w:rPr>
          <w:lang w:val="fr-FR" w:eastAsia="en-GB"/>
        </w:rPr>
        <w:t>’</w:t>
      </w:r>
      <w:r w:rsidRPr="008B062D">
        <w:rPr>
          <w:lang w:val="fr-FR" w:eastAsia="en-GB"/>
        </w:rPr>
        <w:t>annexe 5 du présent Règlement.</w:t>
      </w:r>
    </w:p>
    <w:p w:rsidR="004564D8" w:rsidRPr="008B062D" w:rsidRDefault="004564D8" w:rsidP="004564D8">
      <w:pPr>
        <w:pStyle w:val="HChG"/>
        <w:ind w:left="2268"/>
        <w:rPr>
          <w:lang w:val="fr-FR"/>
        </w:rPr>
      </w:pPr>
      <w:bookmarkStart w:id="10" w:name="_Toc386120410"/>
      <w:r>
        <w:rPr>
          <w:lang w:val="fr-FR"/>
        </w:rPr>
        <w:t>8.</w:t>
      </w:r>
      <w:r w:rsidRPr="008B062D">
        <w:rPr>
          <w:lang w:val="fr-FR"/>
        </w:rPr>
        <w:tab/>
      </w:r>
      <w:r w:rsidRPr="008B062D">
        <w:rPr>
          <w:lang w:val="fr-FR"/>
        </w:rPr>
        <w:tab/>
      </w:r>
      <w:bookmarkEnd w:id="10"/>
      <w:r w:rsidRPr="008B062D">
        <w:rPr>
          <w:lang w:val="fr-FR"/>
        </w:rPr>
        <w:t>Procédure à suivre pour les essais</w:t>
      </w:r>
    </w:p>
    <w:p w:rsidR="004564D8" w:rsidRPr="008B062D" w:rsidRDefault="004564D8" w:rsidP="004564D8">
      <w:pPr>
        <w:pStyle w:val="SingleTxtG"/>
        <w:ind w:left="2268"/>
        <w:rPr>
          <w:lang w:val="fr-FR" w:eastAsia="en-GB"/>
        </w:rPr>
      </w:pPr>
      <w:r w:rsidRPr="008B062D">
        <w:rPr>
          <w:lang w:val="fr-FR" w:eastAsia="en-GB"/>
        </w:rPr>
        <w:t>Tout triangle de présignalisation et son étui, s</w:t>
      </w:r>
      <w:r w:rsidR="00971BFE">
        <w:rPr>
          <w:lang w:val="fr-FR" w:eastAsia="en-GB"/>
        </w:rPr>
        <w:t>’</w:t>
      </w:r>
      <w:r w:rsidRPr="008B062D">
        <w:rPr>
          <w:lang w:val="fr-FR" w:eastAsia="en-GB"/>
        </w:rPr>
        <w:t>il existe, devront satisfaire aux vérifications et essais décrits à l</w:t>
      </w:r>
      <w:r w:rsidR="00971BFE">
        <w:rPr>
          <w:lang w:val="fr-FR" w:eastAsia="en-GB"/>
        </w:rPr>
        <w:t>’</w:t>
      </w:r>
      <w:r w:rsidRPr="008B062D">
        <w:rPr>
          <w:lang w:val="fr-FR" w:eastAsia="en-GB"/>
        </w:rPr>
        <w:t>annexe 5 du présent Règlement.</w:t>
      </w:r>
    </w:p>
    <w:p w:rsidR="004564D8" w:rsidRPr="008B062D" w:rsidRDefault="004564D8" w:rsidP="004564D8">
      <w:pPr>
        <w:pStyle w:val="HChG"/>
        <w:ind w:left="2268"/>
        <w:rPr>
          <w:lang w:val="fr-FR"/>
        </w:rPr>
      </w:pPr>
      <w:bookmarkStart w:id="11" w:name="_Toc386120411"/>
      <w:r>
        <w:rPr>
          <w:lang w:val="fr-FR"/>
        </w:rPr>
        <w:t>9.</w:t>
      </w:r>
      <w:r w:rsidRPr="008B062D">
        <w:rPr>
          <w:lang w:val="fr-FR"/>
        </w:rPr>
        <w:tab/>
      </w:r>
      <w:bookmarkEnd w:id="11"/>
      <w:r w:rsidRPr="004B77E4">
        <w:rPr>
          <w:spacing w:val="-2"/>
          <w:lang w:val="fr-FR"/>
        </w:rPr>
        <w:t>Modifications du type de triangle de présignalisation et extension de l</w:t>
      </w:r>
      <w:r w:rsidR="00971BFE">
        <w:rPr>
          <w:spacing w:val="-2"/>
          <w:lang w:val="fr-FR"/>
        </w:rPr>
        <w:t>’</w:t>
      </w:r>
      <w:r w:rsidRPr="004B77E4">
        <w:rPr>
          <w:spacing w:val="-2"/>
          <w:lang w:val="fr-FR"/>
        </w:rPr>
        <w:t>homologation</w:t>
      </w:r>
    </w:p>
    <w:p w:rsidR="004564D8" w:rsidRPr="008B062D" w:rsidRDefault="004564D8" w:rsidP="004B77E4">
      <w:pPr>
        <w:pStyle w:val="SingleTxtG"/>
        <w:keepNext/>
        <w:ind w:left="2268" w:hanging="1134"/>
        <w:rPr>
          <w:lang w:val="fr-FR" w:eastAsia="en-GB"/>
        </w:rPr>
      </w:pPr>
      <w:r w:rsidRPr="008B062D">
        <w:rPr>
          <w:lang w:val="fr-FR" w:eastAsia="en-GB"/>
        </w:rPr>
        <w:t>9.1</w:t>
      </w:r>
      <w:r w:rsidRPr="008B062D">
        <w:rPr>
          <w:lang w:val="fr-FR" w:eastAsia="en-GB"/>
        </w:rPr>
        <w:tab/>
        <w:t>Toute modification du type de triangle sera portée à la connaissance de l</w:t>
      </w:r>
      <w:r w:rsidR="00971BFE">
        <w:rPr>
          <w:lang w:val="fr-FR" w:eastAsia="en-GB"/>
        </w:rPr>
        <w:t>’</w:t>
      </w:r>
      <w:r w:rsidRPr="008B062D">
        <w:rPr>
          <w:lang w:val="fr-FR" w:eastAsia="en-GB"/>
        </w:rPr>
        <w:t>autorité d</w:t>
      </w:r>
      <w:r w:rsidR="00971BFE">
        <w:rPr>
          <w:lang w:val="fr-FR" w:eastAsia="en-GB"/>
        </w:rPr>
        <w:t>’</w:t>
      </w:r>
      <w:r w:rsidRPr="008B062D">
        <w:rPr>
          <w:lang w:val="fr-FR" w:eastAsia="en-GB"/>
        </w:rPr>
        <w:t>homologation de type qui a accordé l</w:t>
      </w:r>
      <w:r w:rsidR="00971BFE">
        <w:rPr>
          <w:lang w:val="fr-FR" w:eastAsia="en-GB"/>
        </w:rPr>
        <w:t>’</w:t>
      </w:r>
      <w:r w:rsidRPr="008B062D">
        <w:rPr>
          <w:lang w:val="fr-FR" w:eastAsia="en-GB"/>
        </w:rPr>
        <w:t>homologation. L</w:t>
      </w:r>
      <w:r w:rsidR="00971BFE">
        <w:rPr>
          <w:lang w:val="fr-FR" w:eastAsia="en-GB"/>
        </w:rPr>
        <w:t>’</w:t>
      </w:r>
      <w:r w:rsidR="004B77E4">
        <w:rPr>
          <w:lang w:val="fr-FR" w:eastAsia="en-GB"/>
        </w:rPr>
        <w:t>autorité pourra alors:</w:t>
      </w:r>
    </w:p>
    <w:p w:rsidR="004564D8" w:rsidRPr="008B062D" w:rsidRDefault="004564D8" w:rsidP="00A5296C">
      <w:pPr>
        <w:pStyle w:val="SingleTxtG"/>
        <w:ind w:left="2268" w:hanging="1134"/>
        <w:rPr>
          <w:lang w:val="fr-FR" w:eastAsia="en-GB"/>
        </w:rPr>
      </w:pPr>
      <w:r w:rsidRPr="008B062D">
        <w:rPr>
          <w:lang w:val="fr-FR" w:eastAsia="en-GB"/>
        </w:rPr>
        <w:t>9.1.1</w:t>
      </w:r>
      <w:r w:rsidRPr="008B062D">
        <w:rPr>
          <w:lang w:val="fr-FR" w:eastAsia="en-GB"/>
        </w:rPr>
        <w:tab/>
      </w:r>
      <w:r w:rsidR="004B77E4">
        <w:rPr>
          <w:lang w:val="fr-FR" w:eastAsia="en-GB"/>
        </w:rPr>
        <w:t>S</w:t>
      </w:r>
      <w:r w:rsidRPr="008B062D">
        <w:rPr>
          <w:lang w:val="fr-FR" w:eastAsia="en-GB"/>
        </w:rPr>
        <w:t>oit considérer que les modifications apportées ne risquent pas d</w:t>
      </w:r>
      <w:r w:rsidR="00971BFE">
        <w:rPr>
          <w:lang w:val="fr-FR" w:eastAsia="en-GB"/>
        </w:rPr>
        <w:t>’</w:t>
      </w:r>
      <w:r w:rsidRPr="008B062D">
        <w:rPr>
          <w:lang w:val="fr-FR" w:eastAsia="en-GB"/>
        </w:rPr>
        <w:t>avoir une influence défavorable notable et, en tout cas, que ce triangle sat</w:t>
      </w:r>
      <w:r w:rsidR="004B77E4">
        <w:rPr>
          <w:lang w:val="fr-FR" w:eastAsia="en-GB"/>
        </w:rPr>
        <w:t>isfait encore aux prescriptions;</w:t>
      </w:r>
    </w:p>
    <w:p w:rsidR="004564D8" w:rsidRPr="008B062D" w:rsidRDefault="004564D8" w:rsidP="00A5296C">
      <w:pPr>
        <w:pStyle w:val="SingleTxtG"/>
        <w:ind w:left="2268" w:hanging="1134"/>
        <w:rPr>
          <w:lang w:val="fr-FR" w:eastAsia="en-GB"/>
        </w:rPr>
      </w:pPr>
      <w:r w:rsidRPr="008B062D">
        <w:rPr>
          <w:lang w:val="fr-FR" w:eastAsia="en-GB"/>
        </w:rPr>
        <w:t>9.1.2</w:t>
      </w:r>
      <w:r w:rsidRPr="008B062D">
        <w:rPr>
          <w:lang w:val="fr-FR" w:eastAsia="en-GB"/>
        </w:rPr>
        <w:tab/>
      </w:r>
      <w:r w:rsidR="004B77E4">
        <w:rPr>
          <w:lang w:val="fr-FR" w:eastAsia="en-GB"/>
        </w:rPr>
        <w:t>S</w:t>
      </w:r>
      <w:r w:rsidRPr="008B062D">
        <w:rPr>
          <w:lang w:val="fr-FR" w:eastAsia="en-GB"/>
        </w:rPr>
        <w:t>oit exiger un nouveau procès-verbal du service technique chargé des essais.</w:t>
      </w:r>
    </w:p>
    <w:p w:rsidR="004564D8" w:rsidRPr="008B062D" w:rsidRDefault="004564D8" w:rsidP="00A5296C">
      <w:pPr>
        <w:pStyle w:val="SingleTxtG"/>
        <w:ind w:left="2268" w:hanging="1134"/>
        <w:rPr>
          <w:lang w:val="fr-FR" w:eastAsia="en-GB"/>
        </w:rPr>
      </w:pPr>
      <w:r w:rsidRPr="008B062D">
        <w:rPr>
          <w:lang w:val="fr-FR" w:eastAsia="en-GB"/>
        </w:rPr>
        <w:t>9.2</w:t>
      </w:r>
      <w:r w:rsidRPr="008B062D">
        <w:rPr>
          <w:lang w:val="fr-FR" w:eastAsia="en-GB"/>
        </w:rPr>
        <w:tab/>
        <w:t>La confirmation de l</w:t>
      </w:r>
      <w:r w:rsidR="00971BFE">
        <w:rPr>
          <w:lang w:val="fr-FR" w:eastAsia="en-GB"/>
        </w:rPr>
        <w:t>’</w:t>
      </w:r>
      <w:r w:rsidRPr="008B062D">
        <w:rPr>
          <w:lang w:val="fr-FR" w:eastAsia="en-GB"/>
        </w:rPr>
        <w:t>homologation, avec l</w:t>
      </w:r>
      <w:r w:rsidR="00971BFE">
        <w:rPr>
          <w:lang w:val="fr-FR" w:eastAsia="en-GB"/>
        </w:rPr>
        <w:t>’</w:t>
      </w:r>
      <w:r w:rsidRPr="008B062D">
        <w:rPr>
          <w:lang w:val="fr-FR" w:eastAsia="en-GB"/>
        </w:rPr>
        <w:t>indication des modifications, ou le refus de l</w:t>
      </w:r>
      <w:r w:rsidR="00971BFE">
        <w:rPr>
          <w:lang w:val="fr-FR" w:eastAsia="en-GB"/>
        </w:rPr>
        <w:t>’</w:t>
      </w:r>
      <w:r w:rsidRPr="008B062D">
        <w:rPr>
          <w:lang w:val="fr-FR" w:eastAsia="en-GB"/>
        </w:rPr>
        <w:t>homologation, sera communiquée aux Parties à l</w:t>
      </w:r>
      <w:r w:rsidR="00971BFE">
        <w:rPr>
          <w:lang w:val="fr-FR" w:eastAsia="en-GB"/>
        </w:rPr>
        <w:t>’</w:t>
      </w:r>
      <w:r w:rsidRPr="008B062D">
        <w:rPr>
          <w:lang w:val="fr-FR" w:eastAsia="en-GB"/>
        </w:rPr>
        <w:t>Accord appliquant le présent Règlement, conformément à la p</w:t>
      </w:r>
      <w:r w:rsidR="004B77E4">
        <w:rPr>
          <w:lang w:val="fr-FR" w:eastAsia="en-GB"/>
        </w:rPr>
        <w:t>rocédure indiquée au paragraphe </w:t>
      </w:r>
      <w:r w:rsidRPr="008B062D">
        <w:rPr>
          <w:lang w:val="fr-FR" w:eastAsia="en-GB"/>
        </w:rPr>
        <w:t>5.3 ci-dessus.</w:t>
      </w:r>
    </w:p>
    <w:p w:rsidR="004564D8" w:rsidRPr="008B062D" w:rsidRDefault="004564D8" w:rsidP="00A5296C">
      <w:pPr>
        <w:pStyle w:val="SingleTxtG"/>
        <w:ind w:left="2268" w:hanging="1134"/>
        <w:rPr>
          <w:lang w:val="fr-FR" w:eastAsia="en-GB"/>
        </w:rPr>
      </w:pPr>
      <w:r w:rsidRPr="008B062D">
        <w:rPr>
          <w:lang w:val="fr-FR" w:eastAsia="en-GB"/>
        </w:rPr>
        <w:t>9.3</w:t>
      </w:r>
      <w:r w:rsidRPr="008B062D">
        <w:rPr>
          <w:lang w:val="fr-FR" w:eastAsia="en-GB"/>
        </w:rPr>
        <w:tab/>
        <w:t>L</w:t>
      </w:r>
      <w:r w:rsidR="00971BFE">
        <w:rPr>
          <w:lang w:val="fr-FR" w:eastAsia="en-GB"/>
        </w:rPr>
        <w:t>’</w:t>
      </w:r>
      <w:r w:rsidRPr="008B062D">
        <w:rPr>
          <w:lang w:val="fr-FR" w:eastAsia="en-GB"/>
        </w:rPr>
        <w:t>autorité d</w:t>
      </w:r>
      <w:r w:rsidR="00971BFE">
        <w:rPr>
          <w:lang w:val="fr-FR" w:eastAsia="en-GB"/>
        </w:rPr>
        <w:t>’</w:t>
      </w:r>
      <w:r w:rsidRPr="008B062D">
        <w:rPr>
          <w:lang w:val="fr-FR" w:eastAsia="en-GB"/>
        </w:rPr>
        <w:t>homologation de type ayant délivré l</w:t>
      </w:r>
      <w:r w:rsidR="00971BFE">
        <w:rPr>
          <w:lang w:val="fr-FR" w:eastAsia="en-GB"/>
        </w:rPr>
        <w:t>’</w:t>
      </w:r>
      <w:r w:rsidRPr="008B062D">
        <w:rPr>
          <w:lang w:val="fr-FR" w:eastAsia="en-GB"/>
        </w:rPr>
        <w:t>extension d</w:t>
      </w:r>
      <w:r w:rsidR="00971BFE">
        <w:rPr>
          <w:lang w:val="fr-FR" w:eastAsia="en-GB"/>
        </w:rPr>
        <w:t>’</w:t>
      </w:r>
      <w:r w:rsidRPr="008B062D">
        <w:rPr>
          <w:lang w:val="fr-FR" w:eastAsia="en-GB"/>
        </w:rPr>
        <w:t>homologation attribue un numéro de série à ladite extension et en notifie aux autres Parties à l</w:t>
      </w:r>
      <w:r w:rsidR="00971BFE">
        <w:rPr>
          <w:lang w:val="fr-FR" w:eastAsia="en-GB"/>
        </w:rPr>
        <w:t>’</w:t>
      </w:r>
      <w:r w:rsidR="004B77E4">
        <w:rPr>
          <w:lang w:val="fr-FR" w:eastAsia="en-GB"/>
        </w:rPr>
        <w:t>Accord de </w:t>
      </w:r>
      <w:r w:rsidRPr="008B062D">
        <w:rPr>
          <w:lang w:val="fr-FR" w:eastAsia="en-GB"/>
        </w:rPr>
        <w:t>1958 appliquant le présent Règlement, au moyen d</w:t>
      </w:r>
      <w:r w:rsidR="00971BFE">
        <w:rPr>
          <w:lang w:val="fr-FR" w:eastAsia="en-GB"/>
        </w:rPr>
        <w:t>’</w:t>
      </w:r>
      <w:r w:rsidRPr="008B062D">
        <w:rPr>
          <w:lang w:val="fr-FR" w:eastAsia="en-GB"/>
        </w:rPr>
        <w:t>une fiche de communication conforme au modèle de l</w:t>
      </w:r>
      <w:r w:rsidR="00971BFE">
        <w:rPr>
          <w:lang w:val="fr-FR" w:eastAsia="en-GB"/>
        </w:rPr>
        <w:t>’</w:t>
      </w:r>
      <w:r w:rsidRPr="008B062D">
        <w:rPr>
          <w:lang w:val="fr-FR" w:eastAsia="en-GB"/>
        </w:rPr>
        <w:t>annexe 1 du présent Règlement.</w:t>
      </w:r>
    </w:p>
    <w:p w:rsidR="004564D8" w:rsidRPr="008B062D" w:rsidRDefault="004564D8" w:rsidP="004564D8">
      <w:pPr>
        <w:pStyle w:val="HChG"/>
        <w:ind w:left="2268"/>
        <w:rPr>
          <w:lang w:val="fr-FR"/>
        </w:rPr>
      </w:pPr>
      <w:bookmarkStart w:id="12" w:name="_Toc386120412"/>
      <w:r>
        <w:rPr>
          <w:lang w:val="fr-FR"/>
        </w:rPr>
        <w:t>10.</w:t>
      </w:r>
      <w:r w:rsidRPr="008B062D">
        <w:rPr>
          <w:lang w:val="fr-FR"/>
        </w:rPr>
        <w:tab/>
      </w:r>
      <w:r w:rsidRPr="008B062D">
        <w:rPr>
          <w:lang w:val="fr-FR"/>
        </w:rPr>
        <w:tab/>
      </w:r>
      <w:bookmarkEnd w:id="12"/>
      <w:r w:rsidRPr="008B062D">
        <w:rPr>
          <w:lang w:val="fr-FR"/>
        </w:rPr>
        <w:t>Conformité de la production</w:t>
      </w:r>
    </w:p>
    <w:p w:rsidR="004564D8" w:rsidRPr="008B062D" w:rsidRDefault="004564D8" w:rsidP="004564D8">
      <w:pPr>
        <w:pStyle w:val="SingleTxtG"/>
        <w:ind w:left="2268"/>
        <w:rPr>
          <w:lang w:val="fr-FR" w:eastAsia="en-GB"/>
        </w:rPr>
      </w:pPr>
      <w:r w:rsidRPr="008B062D">
        <w:rPr>
          <w:lang w:val="fr-FR" w:eastAsia="en-GB"/>
        </w:rPr>
        <w:t>Les procédures de conformité de la production doivent être conformes à</w:t>
      </w:r>
      <w:r w:rsidR="00880EA6">
        <w:rPr>
          <w:lang w:val="fr-FR" w:eastAsia="en-GB"/>
        </w:rPr>
        <w:t> </w:t>
      </w:r>
      <w:r w:rsidRPr="008B062D">
        <w:rPr>
          <w:lang w:val="fr-FR" w:eastAsia="en-GB"/>
        </w:rPr>
        <w:t>celles de l</w:t>
      </w:r>
      <w:r w:rsidR="00971BFE">
        <w:rPr>
          <w:lang w:val="fr-FR" w:eastAsia="en-GB"/>
        </w:rPr>
        <w:t>’</w:t>
      </w:r>
      <w:r w:rsidR="00F30E6B">
        <w:rPr>
          <w:lang w:val="fr-FR" w:eastAsia="en-GB"/>
        </w:rPr>
        <w:t>a</w:t>
      </w:r>
      <w:r w:rsidRPr="008B062D">
        <w:rPr>
          <w:lang w:val="fr-FR" w:eastAsia="en-GB"/>
        </w:rPr>
        <w:t>ppendice 2 de l</w:t>
      </w:r>
      <w:r w:rsidR="00971BFE">
        <w:rPr>
          <w:lang w:val="fr-FR" w:eastAsia="en-GB"/>
        </w:rPr>
        <w:t>’</w:t>
      </w:r>
      <w:r w:rsidRPr="008B062D">
        <w:rPr>
          <w:lang w:val="fr-FR" w:eastAsia="en-GB"/>
        </w:rPr>
        <w:t>Accord (E/ECE/324-E/ECE/TRANS/505/</w:t>
      </w:r>
      <w:r w:rsidR="007142DB">
        <w:rPr>
          <w:lang w:val="fr-FR" w:eastAsia="en-GB"/>
        </w:rPr>
        <w:t xml:space="preserve"> </w:t>
      </w:r>
      <w:r w:rsidRPr="008B062D">
        <w:rPr>
          <w:lang w:val="fr-FR" w:eastAsia="en-GB"/>
        </w:rPr>
        <w:t>Rev.2), avec les prescriptions suivantes:</w:t>
      </w:r>
    </w:p>
    <w:p w:rsidR="004564D8" w:rsidRPr="008B062D" w:rsidRDefault="004564D8" w:rsidP="004564D8">
      <w:pPr>
        <w:suppressAutoHyphens w:val="0"/>
        <w:spacing w:after="120"/>
        <w:ind w:left="2268" w:right="1134" w:hanging="1134"/>
        <w:jc w:val="both"/>
        <w:rPr>
          <w:rFonts w:eastAsia="MS Mincho"/>
          <w:bCs/>
          <w:lang w:val="fr-FR" w:eastAsia="ja-JP"/>
        </w:rPr>
      </w:pPr>
      <w:r w:rsidRPr="008B062D">
        <w:rPr>
          <w:lang w:val="fr-FR"/>
        </w:rPr>
        <w:t>10.1</w:t>
      </w:r>
      <w:r w:rsidRPr="008B062D">
        <w:rPr>
          <w:lang w:val="fr-FR"/>
        </w:rPr>
        <w:tab/>
        <w:t>Les triangles de présignalisation homologués en vertu du présent Règlement doivent être fabriqués de façon à être conformes au type homologué en vertu du présent Règlement.</w:t>
      </w:r>
    </w:p>
    <w:p w:rsidR="004564D8" w:rsidRPr="008B062D" w:rsidRDefault="004564D8" w:rsidP="003E4C56">
      <w:pPr>
        <w:pStyle w:val="SingleTxtG"/>
        <w:keepNext/>
        <w:ind w:left="2268"/>
        <w:rPr>
          <w:rFonts w:eastAsia="MS Mincho"/>
          <w:bCs/>
          <w:lang w:val="fr-FR" w:eastAsia="ja-JP"/>
        </w:rPr>
      </w:pPr>
      <w:r w:rsidRPr="008B062D">
        <w:rPr>
          <w:rFonts w:eastAsia="MS Mincho"/>
          <w:bCs/>
          <w:lang w:val="fr-FR" w:eastAsia="ja-JP"/>
        </w:rPr>
        <w:t>Le respect des prescri</w:t>
      </w:r>
      <w:r w:rsidR="00BA4EDB">
        <w:rPr>
          <w:rFonts w:eastAsia="MS Mincho"/>
          <w:bCs/>
          <w:lang w:val="fr-FR" w:eastAsia="ja-JP"/>
        </w:rPr>
        <w:t>ptions énoncées aux paragraphes </w:t>
      </w:r>
      <w:r w:rsidRPr="008B062D">
        <w:rPr>
          <w:rFonts w:eastAsia="MS Mincho"/>
          <w:bCs/>
          <w:lang w:val="fr-FR" w:eastAsia="ja-JP"/>
        </w:rPr>
        <w:t>6, 7 et 8 ci-dessus doit être vérifié comme suit:</w:t>
      </w:r>
    </w:p>
    <w:p w:rsidR="004564D8" w:rsidRPr="008B062D" w:rsidRDefault="004564D8" w:rsidP="00DC10EF">
      <w:pPr>
        <w:pStyle w:val="SingleTxtG"/>
        <w:ind w:left="2268" w:hanging="1134"/>
        <w:rPr>
          <w:lang w:val="fr-FR" w:eastAsia="en-GB"/>
        </w:rPr>
      </w:pPr>
      <w:r w:rsidRPr="008B062D">
        <w:rPr>
          <w:lang w:val="fr-FR" w:eastAsia="en-GB"/>
        </w:rPr>
        <w:t>10.1.1</w:t>
      </w:r>
      <w:r w:rsidRPr="008B062D">
        <w:rPr>
          <w:lang w:val="fr-FR" w:eastAsia="en-GB"/>
        </w:rPr>
        <w:tab/>
        <w:t>En outre, la stabilité dans le temps des propriétés optiques et de la couleur des optiques catadioptriques des triangles de présignalisation en service, conformes à un type homologué, sera vérifiée. En cas de déficience systématique des optiques catadioptriques de triangles en service conformes à un type homologué, l</w:t>
      </w:r>
      <w:r w:rsidR="00971BFE">
        <w:rPr>
          <w:lang w:val="fr-FR" w:eastAsia="en-GB"/>
        </w:rPr>
        <w:t>’</w:t>
      </w:r>
      <w:r w:rsidRPr="008B062D">
        <w:rPr>
          <w:lang w:val="fr-FR" w:eastAsia="en-GB"/>
        </w:rPr>
        <w:t xml:space="preserve">homologation pourra être retirée. Par «déficience systématique», on entend le cas où un type de triangle de présignalisation homologué ne satisfait pas </w:t>
      </w:r>
      <w:r w:rsidR="003E4C56">
        <w:rPr>
          <w:lang w:val="fr-FR" w:eastAsia="en-GB"/>
        </w:rPr>
        <w:t>aux prescriptions du paragraphe </w:t>
      </w:r>
      <w:r w:rsidRPr="008B062D">
        <w:rPr>
          <w:lang w:val="fr-FR" w:eastAsia="en-GB"/>
        </w:rPr>
        <w:t>6.2 du présent Règlement.</w:t>
      </w:r>
    </w:p>
    <w:p w:rsidR="004564D8" w:rsidRPr="008B062D" w:rsidRDefault="004564D8" w:rsidP="00DC10EF">
      <w:pPr>
        <w:pStyle w:val="SingleTxtG"/>
        <w:ind w:left="2268" w:hanging="1134"/>
        <w:rPr>
          <w:lang w:val="fr-FR" w:eastAsia="en-GB"/>
        </w:rPr>
      </w:pPr>
      <w:r w:rsidRPr="008B062D">
        <w:rPr>
          <w:lang w:val="fr-FR" w:eastAsia="en-GB"/>
        </w:rPr>
        <w:t>10.1.2</w:t>
      </w:r>
      <w:r w:rsidRPr="008B062D">
        <w:rPr>
          <w:lang w:val="fr-FR" w:eastAsia="en-GB"/>
        </w:rPr>
        <w:tab/>
        <w:t>Les prescriptions minimales concernant les procédures de contrôle de la conformité de la production énoncées à l</w:t>
      </w:r>
      <w:r w:rsidR="00971BFE">
        <w:rPr>
          <w:lang w:val="fr-FR" w:eastAsia="en-GB"/>
        </w:rPr>
        <w:t>’</w:t>
      </w:r>
      <w:r w:rsidR="003E4C56">
        <w:rPr>
          <w:lang w:val="fr-FR" w:eastAsia="en-GB"/>
        </w:rPr>
        <w:t>annexe </w:t>
      </w:r>
      <w:r w:rsidRPr="008B062D">
        <w:rPr>
          <w:lang w:val="fr-FR" w:eastAsia="en-GB"/>
        </w:rPr>
        <w:t>7 du présent Règlement doivent être satisfaites.</w:t>
      </w:r>
    </w:p>
    <w:p w:rsidR="004564D8" w:rsidRPr="008B062D" w:rsidRDefault="004564D8" w:rsidP="00DC10EF">
      <w:pPr>
        <w:pStyle w:val="SingleTxtG"/>
        <w:ind w:left="2268" w:hanging="1134"/>
        <w:rPr>
          <w:lang w:val="fr-FR" w:eastAsia="en-GB"/>
        </w:rPr>
      </w:pPr>
      <w:r w:rsidRPr="008B062D">
        <w:rPr>
          <w:lang w:val="fr-FR" w:eastAsia="en-GB"/>
        </w:rPr>
        <w:t>10.1.3</w:t>
      </w:r>
      <w:r w:rsidRPr="008B062D">
        <w:rPr>
          <w:lang w:val="fr-FR" w:eastAsia="en-GB"/>
        </w:rPr>
        <w:tab/>
        <w:t>Les prescriptions minimales concernant l</w:t>
      </w:r>
      <w:r w:rsidR="00971BFE">
        <w:rPr>
          <w:lang w:val="fr-FR" w:eastAsia="en-GB"/>
        </w:rPr>
        <w:t>’</w:t>
      </w:r>
      <w:r w:rsidRPr="008B062D">
        <w:rPr>
          <w:lang w:val="fr-FR" w:eastAsia="en-GB"/>
        </w:rPr>
        <w:t>échantillonnage fait par un inspecteur énoncées à l</w:t>
      </w:r>
      <w:r w:rsidR="00971BFE">
        <w:rPr>
          <w:lang w:val="fr-FR" w:eastAsia="en-GB"/>
        </w:rPr>
        <w:t>’</w:t>
      </w:r>
      <w:r w:rsidR="003E4C56">
        <w:rPr>
          <w:lang w:val="fr-FR" w:eastAsia="en-GB"/>
        </w:rPr>
        <w:t>annexe </w:t>
      </w:r>
      <w:r w:rsidRPr="008B062D">
        <w:rPr>
          <w:lang w:val="fr-FR" w:eastAsia="en-GB"/>
        </w:rPr>
        <w:t>8 du présent Règlement doivent être satisfaites.</w:t>
      </w:r>
    </w:p>
    <w:p w:rsidR="004564D8" w:rsidRPr="008B062D" w:rsidRDefault="004564D8" w:rsidP="00DC10EF">
      <w:pPr>
        <w:pStyle w:val="SingleTxtG"/>
        <w:ind w:left="2268" w:hanging="1134"/>
        <w:rPr>
          <w:lang w:val="fr-FR" w:eastAsia="en-GB"/>
        </w:rPr>
      </w:pPr>
      <w:r w:rsidRPr="008B062D">
        <w:rPr>
          <w:lang w:val="fr-FR" w:eastAsia="en-GB"/>
        </w:rPr>
        <w:t xml:space="preserve">10.2 </w:t>
      </w:r>
      <w:r w:rsidRPr="008B062D">
        <w:rPr>
          <w:lang w:val="fr-FR" w:eastAsia="en-GB"/>
        </w:rPr>
        <w:tab/>
        <w:t>L</w:t>
      </w:r>
      <w:r w:rsidR="00971BFE">
        <w:rPr>
          <w:lang w:val="fr-FR" w:eastAsia="en-GB"/>
        </w:rPr>
        <w:t>’</w:t>
      </w:r>
      <w:r w:rsidRPr="008B062D">
        <w:rPr>
          <w:lang w:val="fr-FR" w:eastAsia="en-GB"/>
        </w:rPr>
        <w:t>autorité d</w:t>
      </w:r>
      <w:r w:rsidR="00971BFE">
        <w:rPr>
          <w:lang w:val="fr-FR" w:eastAsia="en-GB"/>
        </w:rPr>
        <w:t>’</w:t>
      </w:r>
      <w:r w:rsidRPr="008B062D">
        <w:rPr>
          <w:lang w:val="fr-FR" w:eastAsia="en-GB"/>
        </w:rPr>
        <w:t>homologation de type qui a délivré l</w:t>
      </w:r>
      <w:r w:rsidR="00971BFE">
        <w:rPr>
          <w:lang w:val="fr-FR" w:eastAsia="en-GB"/>
        </w:rPr>
        <w:t>’</w:t>
      </w:r>
      <w:r w:rsidRPr="008B062D">
        <w:rPr>
          <w:lang w:val="fr-FR" w:eastAsia="en-GB"/>
        </w:rPr>
        <w:t>homologation de type peut vérifier à tout moment les méthodes de contrôle de conformité appliquées dans chaque unité de production. La fréquence normale de ces vérifications doit être une tous les deux ans.</w:t>
      </w:r>
    </w:p>
    <w:p w:rsidR="004564D8" w:rsidRPr="008B062D" w:rsidRDefault="004564D8" w:rsidP="00965F8D">
      <w:pPr>
        <w:pStyle w:val="HChG"/>
        <w:ind w:left="2268"/>
        <w:rPr>
          <w:lang w:val="fr-FR"/>
        </w:rPr>
      </w:pPr>
      <w:bookmarkStart w:id="13" w:name="_Toc386120413"/>
      <w:r>
        <w:rPr>
          <w:lang w:val="fr-FR"/>
        </w:rPr>
        <w:t>11.</w:t>
      </w:r>
      <w:r w:rsidRPr="008B062D">
        <w:rPr>
          <w:lang w:val="fr-FR"/>
        </w:rPr>
        <w:tab/>
      </w:r>
      <w:r w:rsidRPr="008B062D">
        <w:rPr>
          <w:lang w:val="fr-FR"/>
        </w:rPr>
        <w:tab/>
      </w:r>
      <w:bookmarkEnd w:id="13"/>
      <w:r w:rsidRPr="008B062D">
        <w:rPr>
          <w:lang w:val="fr-FR"/>
        </w:rPr>
        <w:t>Sanctions pour non-conformité de la production</w:t>
      </w:r>
    </w:p>
    <w:p w:rsidR="004564D8" w:rsidRPr="008B062D" w:rsidRDefault="004564D8" w:rsidP="00DC10EF">
      <w:pPr>
        <w:pStyle w:val="SingleTxtG"/>
        <w:ind w:left="2268" w:hanging="1134"/>
        <w:rPr>
          <w:lang w:val="fr-FR" w:eastAsia="en-GB"/>
        </w:rPr>
      </w:pPr>
      <w:r w:rsidRPr="008B062D">
        <w:rPr>
          <w:lang w:val="fr-FR" w:eastAsia="en-GB"/>
        </w:rPr>
        <w:t>11.1</w:t>
      </w:r>
      <w:r w:rsidRPr="008B062D">
        <w:rPr>
          <w:lang w:val="fr-FR" w:eastAsia="en-GB"/>
        </w:rPr>
        <w:tab/>
        <w:t>L</w:t>
      </w:r>
      <w:r w:rsidR="00971BFE">
        <w:rPr>
          <w:lang w:val="fr-FR" w:eastAsia="en-GB"/>
        </w:rPr>
        <w:t>’</w:t>
      </w:r>
      <w:r w:rsidRPr="008B062D">
        <w:rPr>
          <w:lang w:val="fr-FR" w:eastAsia="en-GB"/>
        </w:rPr>
        <w:t>homologation délivrée pour un triangle de présignalisation peut être retirée si les conditions énoncées ci-dessus ne sont pas respectées.</w:t>
      </w:r>
    </w:p>
    <w:p w:rsidR="004564D8" w:rsidRPr="008B062D" w:rsidRDefault="004564D8" w:rsidP="00DC10EF">
      <w:pPr>
        <w:pStyle w:val="SingleTxtG"/>
        <w:ind w:left="2268" w:hanging="1134"/>
        <w:rPr>
          <w:lang w:val="fr-FR" w:eastAsia="en-GB"/>
        </w:rPr>
      </w:pPr>
      <w:r w:rsidRPr="008B062D">
        <w:rPr>
          <w:lang w:val="fr-FR" w:eastAsia="en-GB"/>
        </w:rPr>
        <w:t>11.2</w:t>
      </w:r>
      <w:r w:rsidRPr="008B062D">
        <w:rPr>
          <w:lang w:val="fr-FR" w:eastAsia="en-GB"/>
        </w:rPr>
        <w:tab/>
        <w:t>Au cas où une Partie contractante à l</w:t>
      </w:r>
      <w:r w:rsidR="00971BFE">
        <w:rPr>
          <w:lang w:val="fr-FR" w:eastAsia="en-GB"/>
        </w:rPr>
        <w:t>’</w:t>
      </w:r>
      <w:r w:rsidRPr="008B062D">
        <w:rPr>
          <w:lang w:val="fr-FR" w:eastAsia="en-GB"/>
        </w:rPr>
        <w:t>Accord retirerait une homologation qu</w:t>
      </w:r>
      <w:r w:rsidR="00971BFE">
        <w:rPr>
          <w:lang w:val="fr-FR" w:eastAsia="en-GB"/>
        </w:rPr>
        <w:t>’</w:t>
      </w:r>
      <w:r w:rsidRPr="008B062D">
        <w:rPr>
          <w:lang w:val="fr-FR" w:eastAsia="en-GB"/>
        </w:rPr>
        <w:t>elle a précédemment accordée, elle en informera aussitôt les autres Parties contractantes appliquant le présent Règlement, au moyen d</w:t>
      </w:r>
      <w:r w:rsidR="00971BFE">
        <w:rPr>
          <w:lang w:val="fr-FR" w:eastAsia="en-GB"/>
        </w:rPr>
        <w:t>’</w:t>
      </w:r>
      <w:r w:rsidRPr="008B062D">
        <w:rPr>
          <w:lang w:val="fr-FR" w:eastAsia="en-GB"/>
        </w:rPr>
        <w:t>une fiche de communication conforme au modèle figurant à l</w:t>
      </w:r>
      <w:r w:rsidR="00971BFE">
        <w:rPr>
          <w:lang w:val="fr-FR" w:eastAsia="en-GB"/>
        </w:rPr>
        <w:t>’</w:t>
      </w:r>
      <w:r w:rsidRPr="008B062D">
        <w:rPr>
          <w:lang w:val="fr-FR" w:eastAsia="en-GB"/>
        </w:rPr>
        <w:t>annexe 1 du présent Règlement.</w:t>
      </w:r>
    </w:p>
    <w:p w:rsidR="004564D8" w:rsidRPr="008B062D" w:rsidRDefault="004564D8" w:rsidP="004564D8">
      <w:pPr>
        <w:pStyle w:val="HChG"/>
        <w:ind w:left="2268"/>
        <w:rPr>
          <w:lang w:val="fr-FR"/>
        </w:rPr>
      </w:pPr>
      <w:bookmarkStart w:id="14" w:name="_Toc386120414"/>
      <w:r>
        <w:rPr>
          <w:lang w:val="fr-FR"/>
        </w:rPr>
        <w:t>12.</w:t>
      </w:r>
      <w:r w:rsidRPr="008B062D">
        <w:rPr>
          <w:lang w:val="fr-FR"/>
        </w:rPr>
        <w:tab/>
      </w:r>
      <w:r w:rsidRPr="008B062D">
        <w:rPr>
          <w:lang w:val="fr-FR"/>
        </w:rPr>
        <w:tab/>
      </w:r>
      <w:bookmarkEnd w:id="14"/>
      <w:r w:rsidRPr="008B062D">
        <w:rPr>
          <w:lang w:val="fr-FR"/>
        </w:rPr>
        <w:t>Arrêt définitif de la production</w:t>
      </w:r>
    </w:p>
    <w:p w:rsidR="004564D8" w:rsidRPr="008B062D" w:rsidRDefault="004564D8" w:rsidP="00E53B8C">
      <w:pPr>
        <w:pStyle w:val="SingleTxtG"/>
        <w:ind w:left="2268"/>
        <w:rPr>
          <w:lang w:val="fr-FR" w:eastAsia="en-GB"/>
        </w:rPr>
      </w:pPr>
      <w:r w:rsidRPr="008B062D">
        <w:rPr>
          <w:lang w:val="fr-FR" w:eastAsia="en-GB"/>
        </w:rPr>
        <w:t>Si le titulaire d</w:t>
      </w:r>
      <w:r w:rsidR="00971BFE">
        <w:rPr>
          <w:lang w:val="fr-FR" w:eastAsia="en-GB"/>
        </w:rPr>
        <w:t>’</w:t>
      </w:r>
      <w:r w:rsidRPr="008B062D">
        <w:rPr>
          <w:lang w:val="fr-FR" w:eastAsia="en-GB"/>
        </w:rPr>
        <w:t>une homologation arrête définitivement la production d</w:t>
      </w:r>
      <w:r w:rsidR="00971BFE">
        <w:rPr>
          <w:lang w:val="fr-FR" w:eastAsia="en-GB"/>
        </w:rPr>
        <w:t>’</w:t>
      </w:r>
      <w:r w:rsidRPr="008B062D">
        <w:rPr>
          <w:lang w:val="fr-FR" w:eastAsia="en-GB"/>
        </w:rPr>
        <w:t>un type de triangle faisant l</w:t>
      </w:r>
      <w:r w:rsidR="00971BFE">
        <w:rPr>
          <w:lang w:val="fr-FR" w:eastAsia="en-GB"/>
        </w:rPr>
        <w:t>’</w:t>
      </w:r>
      <w:r w:rsidRPr="008B062D">
        <w:rPr>
          <w:lang w:val="fr-FR" w:eastAsia="en-GB"/>
        </w:rPr>
        <w:t>objet du présent Règlement, il en informera l</w:t>
      </w:r>
      <w:r w:rsidR="00971BFE">
        <w:rPr>
          <w:lang w:val="fr-FR" w:eastAsia="en-GB"/>
        </w:rPr>
        <w:t>’</w:t>
      </w:r>
      <w:r w:rsidRPr="008B062D">
        <w:rPr>
          <w:lang w:val="fr-FR" w:eastAsia="en-GB"/>
        </w:rPr>
        <w:t>autorité d</w:t>
      </w:r>
      <w:r w:rsidR="00971BFE">
        <w:rPr>
          <w:lang w:val="fr-FR" w:eastAsia="en-GB"/>
        </w:rPr>
        <w:t>’</w:t>
      </w:r>
      <w:r w:rsidRPr="008B062D">
        <w:rPr>
          <w:lang w:val="fr-FR" w:eastAsia="en-GB"/>
        </w:rPr>
        <w:t>homologation de type qui a délivré l</w:t>
      </w:r>
      <w:r w:rsidR="00971BFE">
        <w:rPr>
          <w:lang w:val="fr-FR" w:eastAsia="en-GB"/>
        </w:rPr>
        <w:t>’</w:t>
      </w:r>
      <w:r w:rsidRPr="008B062D">
        <w:rPr>
          <w:lang w:val="fr-FR" w:eastAsia="en-GB"/>
        </w:rPr>
        <w:t>homologation. À la suite de cette communication, cette autorité en informera les autres Parties à l</w:t>
      </w:r>
      <w:r w:rsidR="00971BFE">
        <w:rPr>
          <w:lang w:val="fr-FR" w:eastAsia="en-GB"/>
        </w:rPr>
        <w:t>’</w:t>
      </w:r>
      <w:r w:rsidRPr="008B062D">
        <w:rPr>
          <w:lang w:val="fr-FR" w:eastAsia="en-GB"/>
        </w:rPr>
        <w:t>Accord appliquant le présent Règlement, au moyen d</w:t>
      </w:r>
      <w:r w:rsidR="00971BFE">
        <w:rPr>
          <w:lang w:val="fr-FR" w:eastAsia="en-GB"/>
        </w:rPr>
        <w:t>’</w:t>
      </w:r>
      <w:r w:rsidRPr="008B062D">
        <w:rPr>
          <w:lang w:val="fr-FR" w:eastAsia="en-GB"/>
        </w:rPr>
        <w:t>une fiche de communication conforme au modèle figurant à l</w:t>
      </w:r>
      <w:r w:rsidR="00971BFE">
        <w:rPr>
          <w:lang w:val="fr-FR" w:eastAsia="en-GB"/>
        </w:rPr>
        <w:t>’</w:t>
      </w:r>
      <w:r w:rsidRPr="008B062D">
        <w:rPr>
          <w:lang w:val="fr-FR" w:eastAsia="en-GB"/>
        </w:rPr>
        <w:t>annexe 1 du présent Règlement.</w:t>
      </w:r>
    </w:p>
    <w:p w:rsidR="004564D8" w:rsidRPr="008B062D" w:rsidRDefault="004564D8" w:rsidP="004564D8">
      <w:pPr>
        <w:pStyle w:val="HChG"/>
        <w:ind w:left="2268"/>
        <w:rPr>
          <w:lang w:val="fr-FR"/>
        </w:rPr>
      </w:pPr>
      <w:bookmarkStart w:id="15" w:name="_Toc386120415"/>
      <w:r>
        <w:rPr>
          <w:lang w:val="fr-FR"/>
        </w:rPr>
        <w:t>13.</w:t>
      </w:r>
      <w:r w:rsidRPr="008B062D">
        <w:rPr>
          <w:lang w:val="fr-FR"/>
        </w:rPr>
        <w:tab/>
        <w:t>Noms et adresses des services techniques chargés des essais d</w:t>
      </w:r>
      <w:r w:rsidR="00971BFE">
        <w:rPr>
          <w:lang w:val="fr-FR"/>
        </w:rPr>
        <w:t>’</w:t>
      </w:r>
      <w:r w:rsidRPr="008B062D">
        <w:rPr>
          <w:lang w:val="fr-FR"/>
        </w:rPr>
        <w:t>homologation et des autorités d</w:t>
      </w:r>
      <w:r w:rsidR="00971BFE">
        <w:rPr>
          <w:lang w:val="fr-FR"/>
        </w:rPr>
        <w:t>’</w:t>
      </w:r>
      <w:r w:rsidRPr="008B062D">
        <w:rPr>
          <w:lang w:val="fr-FR"/>
        </w:rPr>
        <w:t>homologation de typ</w:t>
      </w:r>
      <w:bookmarkEnd w:id="15"/>
      <w:r w:rsidRPr="008B062D">
        <w:rPr>
          <w:lang w:val="fr-FR"/>
        </w:rPr>
        <w:t>e</w:t>
      </w:r>
    </w:p>
    <w:p w:rsidR="004564D8" w:rsidRPr="008B062D" w:rsidRDefault="004564D8" w:rsidP="00E53B8C">
      <w:pPr>
        <w:pStyle w:val="SingleTxtG"/>
        <w:ind w:left="2268"/>
        <w:rPr>
          <w:lang w:val="fr-FR" w:eastAsia="en-GB"/>
        </w:rPr>
      </w:pPr>
      <w:r w:rsidRPr="008B062D">
        <w:rPr>
          <w:lang w:val="fr-FR" w:eastAsia="en-GB"/>
        </w:rPr>
        <w:t>Les Parties contractantes à l</w:t>
      </w:r>
      <w:r w:rsidR="00971BFE">
        <w:rPr>
          <w:lang w:val="fr-FR" w:eastAsia="en-GB"/>
        </w:rPr>
        <w:t>’</w:t>
      </w:r>
      <w:r w:rsidRPr="008B062D">
        <w:rPr>
          <w:lang w:val="fr-FR" w:eastAsia="en-GB"/>
        </w:rPr>
        <w:t>Accord appliquant le présent Règlement communiqueront au secrétariat de l</w:t>
      </w:r>
      <w:r w:rsidR="00971BFE">
        <w:rPr>
          <w:lang w:val="fr-FR" w:eastAsia="en-GB"/>
        </w:rPr>
        <w:t>’</w:t>
      </w:r>
      <w:r w:rsidRPr="008B062D">
        <w:rPr>
          <w:lang w:val="fr-FR" w:eastAsia="en-GB"/>
        </w:rPr>
        <w:t>Organisation des Nations Unies les noms et adresses des services techniques chargés des essais d</w:t>
      </w:r>
      <w:r w:rsidR="00971BFE">
        <w:rPr>
          <w:lang w:val="fr-FR" w:eastAsia="en-GB"/>
        </w:rPr>
        <w:t>’</w:t>
      </w:r>
      <w:r w:rsidRPr="008B062D">
        <w:rPr>
          <w:lang w:val="fr-FR" w:eastAsia="en-GB"/>
        </w:rPr>
        <w:t>homologation et des autorités d</w:t>
      </w:r>
      <w:r w:rsidR="00971BFE">
        <w:rPr>
          <w:lang w:val="fr-FR" w:eastAsia="en-GB"/>
        </w:rPr>
        <w:t>’</w:t>
      </w:r>
      <w:r w:rsidRPr="008B062D">
        <w:rPr>
          <w:lang w:val="fr-FR" w:eastAsia="en-GB"/>
        </w:rPr>
        <w:t>homologation de type qui délivrent l</w:t>
      </w:r>
      <w:r w:rsidR="00971BFE">
        <w:rPr>
          <w:lang w:val="fr-FR" w:eastAsia="en-GB"/>
        </w:rPr>
        <w:t>’</w:t>
      </w:r>
      <w:r w:rsidRPr="008B062D">
        <w:rPr>
          <w:lang w:val="fr-FR" w:eastAsia="en-GB"/>
        </w:rPr>
        <w:t>homologation et auxquels doivent être envoyées les fiches d</w:t>
      </w:r>
      <w:r w:rsidR="00971BFE">
        <w:rPr>
          <w:lang w:val="fr-FR" w:eastAsia="en-GB"/>
        </w:rPr>
        <w:t>’</w:t>
      </w:r>
      <w:r w:rsidRPr="008B062D">
        <w:rPr>
          <w:lang w:val="fr-FR" w:eastAsia="en-GB"/>
        </w:rPr>
        <w:t>homologation et de refus ou de retrait d</w:t>
      </w:r>
      <w:r w:rsidR="00971BFE">
        <w:rPr>
          <w:lang w:val="fr-FR" w:eastAsia="en-GB"/>
        </w:rPr>
        <w:t>’</w:t>
      </w:r>
      <w:r w:rsidRPr="008B062D">
        <w:rPr>
          <w:lang w:val="fr-FR" w:eastAsia="en-GB"/>
        </w:rPr>
        <w:t>homologation émises dans les autres pays.</w:t>
      </w:r>
    </w:p>
    <w:p w:rsidR="004564D8" w:rsidRPr="008B062D" w:rsidRDefault="004564D8" w:rsidP="004564D8">
      <w:pPr>
        <w:pStyle w:val="HChG"/>
        <w:ind w:left="2268"/>
        <w:rPr>
          <w:lang w:val="fr-FR"/>
        </w:rPr>
      </w:pPr>
      <w:bookmarkStart w:id="16" w:name="_Toc386120416"/>
      <w:r w:rsidRPr="008B062D">
        <w:rPr>
          <w:lang w:val="fr-FR"/>
        </w:rPr>
        <w:t>14.</w:t>
      </w:r>
      <w:r w:rsidRPr="008B062D">
        <w:rPr>
          <w:lang w:val="fr-FR"/>
        </w:rPr>
        <w:tab/>
      </w:r>
      <w:r w:rsidRPr="008B062D">
        <w:rPr>
          <w:lang w:val="fr-FR"/>
        </w:rPr>
        <w:tab/>
      </w:r>
      <w:bookmarkEnd w:id="16"/>
      <w:r w:rsidRPr="008B062D">
        <w:rPr>
          <w:lang w:val="fr-FR"/>
        </w:rPr>
        <w:t>Dispositions transitoires</w:t>
      </w:r>
    </w:p>
    <w:p w:rsidR="004564D8" w:rsidRPr="008B062D" w:rsidRDefault="004564D8" w:rsidP="00DC10EF">
      <w:pPr>
        <w:pStyle w:val="SingleTxtG"/>
        <w:ind w:left="2268" w:hanging="1134"/>
        <w:rPr>
          <w:lang w:val="fr-FR"/>
        </w:rPr>
      </w:pPr>
      <w:r w:rsidRPr="008B062D">
        <w:rPr>
          <w:lang w:val="fr-FR"/>
        </w:rPr>
        <w:t>14.1</w:t>
      </w:r>
      <w:r w:rsidRPr="008B062D">
        <w:rPr>
          <w:lang w:val="fr-FR"/>
        </w:rPr>
        <w:tab/>
        <w:t>À compter de la date d</w:t>
      </w:r>
      <w:r w:rsidR="00971BFE">
        <w:rPr>
          <w:lang w:val="fr-FR"/>
        </w:rPr>
        <w:t>’</w:t>
      </w:r>
      <w:r w:rsidRPr="008B062D">
        <w:rPr>
          <w:lang w:val="fr-FR"/>
        </w:rPr>
        <w:t>entrée en vigueur de la série 04 d</w:t>
      </w:r>
      <w:r w:rsidR="00971BFE">
        <w:rPr>
          <w:lang w:val="fr-FR"/>
        </w:rPr>
        <w:t>’</w:t>
      </w:r>
      <w:r w:rsidRPr="008B062D">
        <w:rPr>
          <w:lang w:val="fr-FR"/>
        </w:rPr>
        <w:t>amendements, aucune Partie contractante appliquant le présent Règlement ne doit refuser de délivrer une homologation en vertu du présent Règleme</w:t>
      </w:r>
      <w:r w:rsidR="003E4C56">
        <w:rPr>
          <w:lang w:val="fr-FR"/>
        </w:rPr>
        <w:t>nt tel que modifié par la série </w:t>
      </w:r>
      <w:r w:rsidRPr="008B062D">
        <w:rPr>
          <w:lang w:val="fr-FR"/>
        </w:rPr>
        <w:t>04 d</w:t>
      </w:r>
      <w:r w:rsidR="00971BFE">
        <w:rPr>
          <w:lang w:val="fr-FR"/>
        </w:rPr>
        <w:t>’</w:t>
      </w:r>
      <w:r w:rsidRPr="008B062D">
        <w:rPr>
          <w:lang w:val="fr-FR"/>
        </w:rPr>
        <w:t>amendements.</w:t>
      </w:r>
    </w:p>
    <w:p w:rsidR="004564D8" w:rsidRPr="008B062D" w:rsidRDefault="004564D8" w:rsidP="00DC10EF">
      <w:pPr>
        <w:pStyle w:val="SingleTxtG"/>
        <w:ind w:left="2268" w:hanging="1134"/>
        <w:rPr>
          <w:lang w:val="fr-FR"/>
        </w:rPr>
      </w:pPr>
      <w:r w:rsidRPr="008B062D">
        <w:rPr>
          <w:lang w:val="fr-FR"/>
        </w:rPr>
        <w:t>14.2</w:t>
      </w:r>
      <w:r w:rsidRPr="008B062D">
        <w:rPr>
          <w:lang w:val="fr-FR"/>
        </w:rPr>
        <w:tab/>
        <w:t>Au terme d</w:t>
      </w:r>
      <w:r w:rsidR="00971BFE">
        <w:rPr>
          <w:lang w:val="fr-FR"/>
        </w:rPr>
        <w:t>’</w:t>
      </w:r>
      <w:r w:rsidRPr="008B062D">
        <w:rPr>
          <w:lang w:val="fr-FR"/>
        </w:rPr>
        <w:t xml:space="preserve">un délai de </w:t>
      </w:r>
      <w:r w:rsidR="00827B39">
        <w:rPr>
          <w:lang w:val="fr-FR"/>
        </w:rPr>
        <w:t>36 mois</w:t>
      </w:r>
      <w:r w:rsidRPr="008B062D">
        <w:rPr>
          <w:lang w:val="fr-FR"/>
        </w:rPr>
        <w:t xml:space="preserve"> après la date d</w:t>
      </w:r>
      <w:r w:rsidR="00971BFE">
        <w:rPr>
          <w:lang w:val="fr-FR"/>
        </w:rPr>
        <w:t>’</w:t>
      </w:r>
      <w:r w:rsidR="003E4C56">
        <w:rPr>
          <w:lang w:val="fr-FR"/>
        </w:rPr>
        <w:t>entrée en vigueur de la série </w:t>
      </w:r>
      <w:r w:rsidRPr="008B062D">
        <w:rPr>
          <w:lang w:val="fr-FR"/>
        </w:rPr>
        <w:t>04 d</w:t>
      </w:r>
      <w:r w:rsidR="00971BFE">
        <w:rPr>
          <w:lang w:val="fr-FR"/>
        </w:rPr>
        <w:t>’</w:t>
      </w:r>
      <w:r w:rsidRPr="008B062D">
        <w:rPr>
          <w:lang w:val="fr-FR"/>
        </w:rPr>
        <w:t>amendements, les Parties contractantes appliquant le présent Règlement ne doivent délivrer des homologations que si le triangle de présignalisation satisfait aux prescriptions du présent Règleme</w:t>
      </w:r>
      <w:r w:rsidR="003E4C56">
        <w:rPr>
          <w:lang w:val="fr-FR"/>
        </w:rPr>
        <w:t>nt tel que modifié par la série </w:t>
      </w:r>
      <w:r w:rsidRPr="008B062D">
        <w:rPr>
          <w:lang w:val="fr-FR"/>
        </w:rPr>
        <w:t>04 d</w:t>
      </w:r>
      <w:r w:rsidR="00971BFE">
        <w:rPr>
          <w:lang w:val="fr-FR"/>
        </w:rPr>
        <w:t>’</w:t>
      </w:r>
      <w:r w:rsidRPr="008B062D">
        <w:rPr>
          <w:lang w:val="fr-FR"/>
        </w:rPr>
        <w:t>amendements.</w:t>
      </w:r>
    </w:p>
    <w:p w:rsidR="004564D8" w:rsidRPr="008B062D" w:rsidRDefault="004564D8" w:rsidP="00DC10EF">
      <w:pPr>
        <w:pStyle w:val="SingleTxtG"/>
        <w:ind w:left="2268" w:hanging="1134"/>
        <w:rPr>
          <w:lang w:val="fr-FR"/>
        </w:rPr>
      </w:pPr>
      <w:r w:rsidRPr="008B062D">
        <w:rPr>
          <w:lang w:val="fr-FR"/>
        </w:rPr>
        <w:t>14.3</w:t>
      </w:r>
      <w:r w:rsidRPr="008B062D">
        <w:rPr>
          <w:lang w:val="fr-FR"/>
        </w:rPr>
        <w:tab/>
        <w:t>Les homologations délivrées en vertu du présent Règlement avant la date d</w:t>
      </w:r>
      <w:r w:rsidR="00971BFE">
        <w:rPr>
          <w:lang w:val="fr-FR"/>
        </w:rPr>
        <w:t>’</w:t>
      </w:r>
      <w:r w:rsidR="003E4C56">
        <w:rPr>
          <w:lang w:val="fr-FR"/>
        </w:rPr>
        <w:t>entrée en vigueur de la série </w:t>
      </w:r>
      <w:r w:rsidRPr="008B062D">
        <w:rPr>
          <w:lang w:val="fr-FR"/>
        </w:rPr>
        <w:t>04 d</w:t>
      </w:r>
      <w:r w:rsidR="00971BFE">
        <w:rPr>
          <w:lang w:val="fr-FR"/>
        </w:rPr>
        <w:t>’</w:t>
      </w:r>
      <w:r w:rsidRPr="008B062D">
        <w:rPr>
          <w:lang w:val="fr-FR"/>
        </w:rPr>
        <w:t>amendements restent valables, sans limitation de durée.</w:t>
      </w:r>
    </w:p>
    <w:p w:rsidR="00722034" w:rsidRDefault="004564D8" w:rsidP="00DC10EF">
      <w:pPr>
        <w:pStyle w:val="SingleTxtG"/>
        <w:ind w:left="2268" w:hanging="1134"/>
        <w:rPr>
          <w:lang w:val="fr-FR"/>
        </w:rPr>
      </w:pPr>
      <w:r w:rsidRPr="008B062D">
        <w:rPr>
          <w:lang w:val="fr-FR"/>
        </w:rPr>
        <w:t>14.4</w:t>
      </w:r>
      <w:r w:rsidRPr="008B062D">
        <w:rPr>
          <w:lang w:val="fr-FR"/>
        </w:rPr>
        <w:tab/>
        <w:t>Les Parties contractantes appliquant le présent Règlement ne doivent pas refuser de délivrer des extensions pour les homologations accordées en vertu des précédentes séries d</w:t>
      </w:r>
      <w:r w:rsidR="00971BFE">
        <w:rPr>
          <w:lang w:val="fr-FR"/>
        </w:rPr>
        <w:t>’</w:t>
      </w:r>
      <w:r w:rsidRPr="008B062D">
        <w:rPr>
          <w:lang w:val="fr-FR"/>
        </w:rPr>
        <w:t>amendements au présent Règlement.</w:t>
      </w:r>
    </w:p>
    <w:p w:rsidR="0006300A" w:rsidRDefault="0006300A" w:rsidP="00DC10EF">
      <w:pPr>
        <w:pStyle w:val="SingleTxtG"/>
        <w:ind w:left="2268" w:hanging="1134"/>
        <w:rPr>
          <w:lang w:val="fr-FR"/>
        </w:rPr>
        <w:sectPr w:rsidR="0006300A" w:rsidSect="00E31F8D">
          <w:headerReference w:type="default" r:id="rId14"/>
          <w:footnotePr>
            <w:numRestart w:val="eachSect"/>
          </w:footnotePr>
          <w:endnotePr>
            <w:numFmt w:val="decimal"/>
          </w:endnotePr>
          <w:type w:val="oddPage"/>
          <w:pgSz w:w="11907" w:h="16840" w:code="9"/>
          <w:pgMar w:top="1701" w:right="1134" w:bottom="2268" w:left="1134" w:header="964" w:footer="1701" w:gutter="0"/>
          <w:cols w:space="720"/>
          <w:docGrid w:linePitch="272"/>
        </w:sectPr>
      </w:pPr>
    </w:p>
    <w:p w:rsidR="001645BA" w:rsidRDefault="001645BA" w:rsidP="001645BA">
      <w:pPr>
        <w:pStyle w:val="HChG"/>
      </w:pPr>
      <w:r>
        <w:t>Annexe 1</w:t>
      </w:r>
    </w:p>
    <w:p w:rsidR="001645BA" w:rsidRPr="00D96394" w:rsidRDefault="001645BA" w:rsidP="001645BA">
      <w:pPr>
        <w:pStyle w:val="HChG"/>
      </w:pPr>
      <w:r w:rsidRPr="00D96394">
        <w:tab/>
      </w:r>
      <w:r w:rsidRPr="00D96394">
        <w:tab/>
        <w:t>Communication</w:t>
      </w:r>
    </w:p>
    <w:p w:rsidR="001645BA" w:rsidRPr="00D96394" w:rsidRDefault="001645BA" w:rsidP="001645BA">
      <w:pPr>
        <w:pStyle w:val="SingleTxtG"/>
      </w:pPr>
      <w:r w:rsidRPr="00D96394">
        <w:t>(format maximal: A4 (210 x 297 mm))</w:t>
      </w:r>
    </w:p>
    <w:tbl>
      <w:tblPr>
        <w:tblW w:w="0" w:type="auto"/>
        <w:tblInd w:w="1134" w:type="dxa"/>
        <w:tblLayout w:type="fixed"/>
        <w:tblCellMar>
          <w:left w:w="0" w:type="dxa"/>
          <w:right w:w="0" w:type="dxa"/>
        </w:tblCellMar>
        <w:tblLook w:val="01E0" w:firstRow="1" w:lastRow="1" w:firstColumn="1" w:lastColumn="1" w:noHBand="0" w:noVBand="0"/>
      </w:tblPr>
      <w:tblGrid>
        <w:gridCol w:w="3402"/>
        <w:gridCol w:w="3969"/>
      </w:tblGrid>
      <w:tr w:rsidR="001645BA" w:rsidRPr="00AE4213" w:rsidTr="00AE4213">
        <w:tc>
          <w:tcPr>
            <w:tcW w:w="3402" w:type="dxa"/>
            <w:shd w:val="clear" w:color="auto" w:fill="auto"/>
          </w:tcPr>
          <w:bookmarkStart w:id="17" w:name="_MON_1420453160"/>
          <w:bookmarkEnd w:id="17"/>
          <w:bookmarkStart w:id="18" w:name="_MON_1420453756"/>
          <w:bookmarkEnd w:id="18"/>
          <w:p w:rsidR="001645BA" w:rsidRPr="00AE4213" w:rsidRDefault="001645BA" w:rsidP="00AE4213">
            <w:pPr>
              <w:pStyle w:val="SingleTxtG"/>
              <w:spacing w:after="0"/>
              <w:ind w:left="0"/>
            </w:pPr>
            <w:r w:rsidRPr="00AE4213">
              <w:object w:dxaOrig="1684" w:dyaOrig="1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84pt" o:ole="">
                  <v:imagedata r:id="rId15" o:title=""/>
                </v:shape>
                <o:OLEObject Type="Embed" ProgID="Word.Picture.8" ShapeID="_x0000_i1025" DrawAspect="Content" ObjectID="_1545491796" r:id="rId16"/>
              </w:object>
            </w:r>
            <w:r w:rsidR="00124BE7" w:rsidRPr="00AE4213">
              <w:rPr>
                <w:rStyle w:val="FootnoteReference"/>
                <w:color w:val="FFFFFF"/>
              </w:rPr>
              <w:footnoteReference w:id="3"/>
            </w:r>
          </w:p>
        </w:tc>
        <w:tc>
          <w:tcPr>
            <w:tcW w:w="3969" w:type="dxa"/>
            <w:shd w:val="clear" w:color="auto" w:fill="auto"/>
          </w:tcPr>
          <w:p w:rsidR="001645BA" w:rsidRPr="00AE4213" w:rsidRDefault="001645BA" w:rsidP="00AE4213">
            <w:pPr>
              <w:ind w:left="1701" w:hanging="1701"/>
            </w:pPr>
            <w:r w:rsidRPr="00AE4213">
              <w:t>Émanant de:</w:t>
            </w:r>
            <w:r w:rsidRPr="00AE4213">
              <w:tab/>
              <w:t>Nom de l</w:t>
            </w:r>
            <w:r w:rsidR="00971BFE">
              <w:t>’</w:t>
            </w:r>
            <w:r w:rsidRPr="00AE4213">
              <w:t>administration:</w:t>
            </w:r>
          </w:p>
          <w:p w:rsidR="001645BA" w:rsidRPr="00AE4213" w:rsidRDefault="001645BA" w:rsidP="00AE4213">
            <w:pPr>
              <w:pStyle w:val="SingleTxtG"/>
              <w:tabs>
                <w:tab w:val="right" w:leader="dot" w:pos="3686"/>
              </w:tabs>
              <w:spacing w:after="0"/>
              <w:ind w:left="1701" w:right="0"/>
            </w:pPr>
            <w:r w:rsidRPr="00AE4213">
              <w:tab/>
            </w:r>
          </w:p>
          <w:p w:rsidR="001645BA" w:rsidRPr="00AE4213" w:rsidRDefault="001645BA" w:rsidP="00AE4213">
            <w:pPr>
              <w:pStyle w:val="SingleTxtG"/>
              <w:tabs>
                <w:tab w:val="right" w:leader="dot" w:pos="3686"/>
              </w:tabs>
              <w:spacing w:after="0"/>
              <w:ind w:left="1701" w:right="0"/>
            </w:pPr>
            <w:r w:rsidRPr="00AE4213">
              <w:tab/>
            </w:r>
          </w:p>
          <w:p w:rsidR="001645BA" w:rsidRPr="00AE4213" w:rsidRDefault="001645BA" w:rsidP="00AE4213">
            <w:pPr>
              <w:pStyle w:val="SingleTxtG"/>
              <w:tabs>
                <w:tab w:val="right" w:leader="dot" w:pos="3686"/>
              </w:tabs>
              <w:spacing w:after="0"/>
              <w:ind w:left="1701" w:right="0"/>
            </w:pPr>
            <w:r w:rsidRPr="00AE4213">
              <w:tab/>
            </w:r>
          </w:p>
        </w:tc>
      </w:tr>
    </w:tbl>
    <w:p w:rsidR="001645BA" w:rsidRPr="00D96394" w:rsidRDefault="001645BA" w:rsidP="001645BA">
      <w:pPr>
        <w:pStyle w:val="SingleTxtG"/>
        <w:spacing w:before="120"/>
        <w:ind w:left="2552" w:hanging="1418"/>
        <w:jc w:val="left"/>
      </w:pPr>
      <w:r w:rsidRPr="00D96394">
        <w:t>concernant</w:t>
      </w:r>
      <w:r w:rsidRPr="00D96394">
        <w:rPr>
          <w:rStyle w:val="FootnoteReference"/>
        </w:rPr>
        <w:footnoteReference w:id="4"/>
      </w:r>
      <w:r w:rsidRPr="00D96394">
        <w:t>:</w:t>
      </w:r>
      <w:r w:rsidRPr="00D96394">
        <w:tab/>
      </w:r>
      <w:r>
        <w:t>Homologation accordée</w:t>
      </w:r>
      <w:r w:rsidRPr="00D96394">
        <w:br/>
      </w:r>
      <w:r>
        <w:t>Homologation étendue</w:t>
      </w:r>
      <w:r w:rsidRPr="00D96394">
        <w:br/>
      </w:r>
      <w:r>
        <w:t>H</w:t>
      </w:r>
      <w:r w:rsidRPr="00D96394">
        <w:t>omologation</w:t>
      </w:r>
      <w:r>
        <w:t xml:space="preserve"> refusée</w:t>
      </w:r>
      <w:r>
        <w:br/>
        <w:t>H</w:t>
      </w:r>
      <w:r w:rsidRPr="00D96394">
        <w:t>omologation</w:t>
      </w:r>
      <w:r>
        <w:t xml:space="preserve"> retirée</w:t>
      </w:r>
      <w:r w:rsidRPr="00D96394">
        <w:br/>
        <w:t>Arrêt définitif de la production</w:t>
      </w:r>
    </w:p>
    <w:p w:rsidR="001645BA" w:rsidRDefault="001645BA" w:rsidP="001645BA">
      <w:pPr>
        <w:pStyle w:val="SingleTxtG"/>
        <w:ind w:left="1701" w:hanging="567"/>
      </w:pPr>
      <w:r w:rsidRPr="00D96394">
        <w:t>d</w:t>
      </w:r>
      <w:r w:rsidR="00971BFE">
        <w:t>’</w:t>
      </w:r>
      <w:r w:rsidRPr="00D96394">
        <w:t xml:space="preserve">un type </w:t>
      </w:r>
      <w:r>
        <w:t>de triangle de présignalisation</w:t>
      </w:r>
      <w:r w:rsidRPr="00D96394">
        <w:t xml:space="preserve">, en application du Règlement </w:t>
      </w:r>
      <w:r w:rsidRPr="00D96394">
        <w:rPr>
          <w:rFonts w:eastAsia="MS Mincho"/>
        </w:rPr>
        <w:t>n</w:t>
      </w:r>
      <w:r w:rsidRPr="00D96394">
        <w:rPr>
          <w:rFonts w:eastAsia="MS Mincho"/>
          <w:vertAlign w:val="superscript"/>
        </w:rPr>
        <w:t>o</w:t>
      </w:r>
      <w:r w:rsidRPr="00D96394">
        <w:t> </w:t>
      </w:r>
      <w:r>
        <w:t>27</w:t>
      </w:r>
      <w:r w:rsidRPr="00D96394">
        <w:t>.</w:t>
      </w:r>
    </w:p>
    <w:p w:rsidR="001645BA" w:rsidRPr="00D96394" w:rsidRDefault="001645BA" w:rsidP="001645BA">
      <w:pPr>
        <w:pStyle w:val="SingleTxtG"/>
        <w:tabs>
          <w:tab w:val="right" w:leader="dot" w:pos="4253"/>
          <w:tab w:val="left" w:pos="4536"/>
          <w:tab w:val="right" w:leader="dot" w:pos="8505"/>
        </w:tabs>
        <w:jc w:val="left"/>
      </w:pPr>
      <w:r w:rsidRPr="00D96394">
        <w:t>N</w:t>
      </w:r>
      <w:r w:rsidRPr="00D96394">
        <w:rPr>
          <w:vertAlign w:val="superscript"/>
        </w:rPr>
        <w:t>o</w:t>
      </w:r>
      <w:r w:rsidRPr="00D96394">
        <w:t xml:space="preserve"> d</w:t>
      </w:r>
      <w:r w:rsidR="00971BFE">
        <w:t>’</w:t>
      </w:r>
      <w:r w:rsidRPr="00D96394">
        <w:t>homologation</w:t>
      </w:r>
      <w:r w:rsidR="00611C17">
        <w:t xml:space="preserve"> </w:t>
      </w:r>
      <w:r w:rsidRPr="00D96394">
        <w:tab/>
      </w:r>
      <w:r w:rsidRPr="00D96394">
        <w:tab/>
        <w:t>N</w:t>
      </w:r>
      <w:r w:rsidRPr="00D96394">
        <w:rPr>
          <w:vertAlign w:val="superscript"/>
        </w:rPr>
        <w:t>o</w:t>
      </w:r>
      <w:r w:rsidRPr="00D96394">
        <w:t xml:space="preserve"> d</w:t>
      </w:r>
      <w:r w:rsidR="00971BFE">
        <w:t>’</w:t>
      </w:r>
      <w:r w:rsidRPr="00D96394">
        <w:t>extension</w:t>
      </w:r>
      <w:r w:rsidR="00611C17">
        <w:t xml:space="preserve"> </w:t>
      </w:r>
      <w:r w:rsidRPr="00D96394">
        <w:tab/>
      </w:r>
    </w:p>
    <w:p w:rsidR="001645BA" w:rsidRPr="00D96394" w:rsidRDefault="001645BA" w:rsidP="001645BA">
      <w:pPr>
        <w:pStyle w:val="SingleTxtG"/>
        <w:tabs>
          <w:tab w:val="right" w:leader="dot" w:pos="8505"/>
        </w:tabs>
        <w:ind w:left="1701" w:hanging="567"/>
        <w:jc w:val="left"/>
      </w:pPr>
      <w:r w:rsidRPr="00D96394">
        <w:t>1.</w:t>
      </w:r>
      <w:r w:rsidRPr="00D96394">
        <w:tab/>
        <w:t xml:space="preserve">Marque de fabrique ou de commerce du </w:t>
      </w:r>
      <w:r w:rsidR="00611C17">
        <w:t xml:space="preserve">triangle de présignalisation </w:t>
      </w:r>
      <w:r w:rsidRPr="00D96394">
        <w:tab/>
      </w:r>
    </w:p>
    <w:p w:rsidR="001645BA" w:rsidRDefault="00611C17" w:rsidP="00611C17">
      <w:pPr>
        <w:pStyle w:val="SingleTxtG"/>
        <w:tabs>
          <w:tab w:val="right" w:leader="dot" w:pos="8505"/>
        </w:tabs>
        <w:ind w:left="1701" w:hanging="567"/>
        <w:jc w:val="left"/>
      </w:pPr>
      <w:r>
        <w:t>2.</w:t>
      </w:r>
      <w:r>
        <w:tab/>
        <w:t xml:space="preserve">Nom du fabricant </w:t>
      </w:r>
      <w:r>
        <w:tab/>
      </w:r>
      <w:r>
        <w:tab/>
      </w:r>
    </w:p>
    <w:p w:rsidR="00611C17" w:rsidRDefault="00611C17" w:rsidP="00611C17">
      <w:pPr>
        <w:pStyle w:val="SingleTxtG"/>
        <w:tabs>
          <w:tab w:val="right" w:leader="dot" w:pos="8505"/>
        </w:tabs>
        <w:ind w:left="1701" w:hanging="567"/>
        <w:jc w:val="left"/>
      </w:pPr>
      <w:r>
        <w:t>3.</w:t>
      </w:r>
      <w:r>
        <w:tab/>
        <w:t>Adresse</w:t>
      </w:r>
      <w:r>
        <w:tab/>
      </w:r>
    </w:p>
    <w:p w:rsidR="00611C17" w:rsidRDefault="00611C17" w:rsidP="00611C17">
      <w:pPr>
        <w:pStyle w:val="SingleTxtG"/>
        <w:tabs>
          <w:tab w:val="right" w:leader="dot" w:pos="8505"/>
        </w:tabs>
        <w:ind w:left="1701" w:hanging="567"/>
        <w:jc w:val="left"/>
      </w:pPr>
      <w:r>
        <w:t>4.</w:t>
      </w:r>
      <w:r>
        <w:tab/>
        <w:t>Le cas échéant, nom de son représentant</w:t>
      </w:r>
      <w:r>
        <w:tab/>
      </w:r>
    </w:p>
    <w:p w:rsidR="00611C17" w:rsidRDefault="00611C17" w:rsidP="00611C17">
      <w:pPr>
        <w:pStyle w:val="SingleTxtG"/>
        <w:tabs>
          <w:tab w:val="right" w:leader="dot" w:pos="8505"/>
        </w:tabs>
        <w:ind w:left="1701" w:hanging="567"/>
        <w:jc w:val="left"/>
      </w:pPr>
      <w:r>
        <w:t>5.</w:t>
      </w:r>
      <w:r>
        <w:tab/>
        <w:t>Adresse</w:t>
      </w:r>
      <w:r>
        <w:tab/>
      </w:r>
    </w:p>
    <w:p w:rsidR="00611C17" w:rsidRDefault="00611C17" w:rsidP="00611C17">
      <w:pPr>
        <w:pStyle w:val="SingleTxtG"/>
        <w:tabs>
          <w:tab w:val="right" w:leader="dot" w:pos="8505"/>
        </w:tabs>
        <w:ind w:left="1701" w:hanging="567"/>
        <w:jc w:val="left"/>
      </w:pPr>
      <w:r>
        <w:t>6.</w:t>
      </w:r>
      <w:r>
        <w:tab/>
        <w:t>Description sommaire du triangle de présignalisation</w:t>
      </w:r>
      <w:r>
        <w:tab/>
      </w:r>
    </w:p>
    <w:p w:rsidR="00C356E5" w:rsidRDefault="00C356E5" w:rsidP="00611C17">
      <w:pPr>
        <w:pStyle w:val="SingleTxtG"/>
        <w:tabs>
          <w:tab w:val="right" w:leader="dot" w:pos="8505"/>
        </w:tabs>
        <w:ind w:left="1701" w:hanging="567"/>
        <w:jc w:val="left"/>
      </w:pPr>
      <w:r>
        <w:tab/>
      </w:r>
      <w:r>
        <w:tab/>
      </w:r>
    </w:p>
    <w:p w:rsidR="00611C17" w:rsidRDefault="00611C17" w:rsidP="00611C17">
      <w:pPr>
        <w:pStyle w:val="SingleTxtG"/>
        <w:tabs>
          <w:tab w:val="right" w:leader="dot" w:pos="8505"/>
        </w:tabs>
        <w:ind w:left="1701" w:hanging="567"/>
        <w:jc w:val="left"/>
      </w:pPr>
      <w:r>
        <w:t>7.</w:t>
      </w:r>
      <w:r>
        <w:tab/>
        <w:t>Présenté à l</w:t>
      </w:r>
      <w:r w:rsidR="00971BFE">
        <w:t>’</w:t>
      </w:r>
      <w:r>
        <w:t>homologation le</w:t>
      </w:r>
      <w:r>
        <w:tab/>
      </w:r>
    </w:p>
    <w:p w:rsidR="00611C17" w:rsidRDefault="00611C17" w:rsidP="00611C17">
      <w:pPr>
        <w:pStyle w:val="SingleTxtG"/>
        <w:tabs>
          <w:tab w:val="right" w:leader="dot" w:pos="8505"/>
        </w:tabs>
        <w:ind w:left="1701" w:hanging="567"/>
        <w:jc w:val="left"/>
      </w:pPr>
      <w:r>
        <w:t>8.</w:t>
      </w:r>
      <w:r>
        <w:tab/>
        <w:t>Service technique chargé des essais d</w:t>
      </w:r>
      <w:r w:rsidR="00971BFE">
        <w:t>’</w:t>
      </w:r>
      <w:r>
        <w:t>homologation</w:t>
      </w:r>
      <w:r>
        <w:tab/>
      </w:r>
    </w:p>
    <w:p w:rsidR="00611C17" w:rsidRDefault="00611C17" w:rsidP="00611C17">
      <w:pPr>
        <w:pStyle w:val="SingleTxtG"/>
        <w:tabs>
          <w:tab w:val="right" w:leader="dot" w:pos="8505"/>
        </w:tabs>
        <w:ind w:left="1701" w:hanging="567"/>
        <w:jc w:val="left"/>
      </w:pPr>
      <w:r>
        <w:t>9.</w:t>
      </w:r>
      <w:r>
        <w:tab/>
        <w:t>Date du procès-verbal délivré par ce service</w:t>
      </w:r>
      <w:r>
        <w:tab/>
      </w:r>
    </w:p>
    <w:p w:rsidR="00611C17" w:rsidRDefault="00611C17" w:rsidP="00611C17">
      <w:pPr>
        <w:pStyle w:val="SingleTxtG"/>
        <w:tabs>
          <w:tab w:val="right" w:leader="dot" w:pos="8505"/>
        </w:tabs>
        <w:ind w:left="1701" w:hanging="567"/>
        <w:jc w:val="left"/>
      </w:pPr>
      <w:r>
        <w:t>10.</w:t>
      </w:r>
      <w:r>
        <w:tab/>
        <w:t>Numéro du procès-verbal délivré par ce service</w:t>
      </w:r>
      <w:r>
        <w:tab/>
      </w:r>
    </w:p>
    <w:p w:rsidR="00124BE7" w:rsidRDefault="00124BE7" w:rsidP="00611C17">
      <w:pPr>
        <w:pStyle w:val="SingleTxtG"/>
        <w:tabs>
          <w:tab w:val="right" w:leader="dot" w:pos="8505"/>
        </w:tabs>
        <w:ind w:left="1701" w:hanging="567"/>
        <w:jc w:val="left"/>
      </w:pPr>
      <w:r>
        <w:t>11.</w:t>
      </w:r>
      <w:r>
        <w:tab/>
        <w:t>L</w:t>
      </w:r>
      <w:r w:rsidR="00971BFE">
        <w:t>’</w:t>
      </w:r>
      <w:r>
        <w:t>homologation est accordée/refusée/retirée</w:t>
      </w:r>
      <w:r w:rsidRPr="005F076B">
        <w:rPr>
          <w:sz w:val="18"/>
          <w:szCs w:val="18"/>
          <w:vertAlign w:val="superscript"/>
        </w:rPr>
        <w:t>2</w:t>
      </w:r>
    </w:p>
    <w:p w:rsidR="00124BE7" w:rsidRDefault="00124BE7" w:rsidP="00611C17">
      <w:pPr>
        <w:pStyle w:val="SingleTxtG"/>
        <w:tabs>
          <w:tab w:val="right" w:leader="dot" w:pos="8505"/>
        </w:tabs>
        <w:ind w:left="1701" w:hanging="567"/>
        <w:jc w:val="left"/>
      </w:pPr>
      <w:r>
        <w:t>12.</w:t>
      </w:r>
      <w:r>
        <w:tab/>
      </w:r>
      <w:r w:rsidR="005F076B">
        <w:t>Remarques</w:t>
      </w:r>
      <w:r w:rsidR="005F076B">
        <w:tab/>
      </w:r>
      <w:r w:rsidR="005F076B">
        <w:tab/>
      </w:r>
    </w:p>
    <w:p w:rsidR="005F076B" w:rsidRDefault="005F076B" w:rsidP="00611C17">
      <w:pPr>
        <w:pStyle w:val="SingleTxtG"/>
        <w:tabs>
          <w:tab w:val="right" w:leader="dot" w:pos="8505"/>
        </w:tabs>
        <w:ind w:left="1701" w:hanging="567"/>
        <w:jc w:val="left"/>
      </w:pPr>
      <w:r>
        <w:t>13.</w:t>
      </w:r>
      <w:r>
        <w:tab/>
        <w:t>Lieu</w:t>
      </w:r>
      <w:r>
        <w:tab/>
      </w:r>
    </w:p>
    <w:p w:rsidR="005F076B" w:rsidRDefault="005F076B" w:rsidP="00611C17">
      <w:pPr>
        <w:pStyle w:val="SingleTxtG"/>
        <w:tabs>
          <w:tab w:val="right" w:leader="dot" w:pos="8505"/>
        </w:tabs>
        <w:ind w:left="1701" w:hanging="567"/>
        <w:jc w:val="left"/>
      </w:pPr>
      <w:r>
        <w:t>14.</w:t>
      </w:r>
      <w:r>
        <w:tab/>
        <w:t>Date</w:t>
      </w:r>
      <w:r>
        <w:tab/>
      </w:r>
      <w:r>
        <w:tab/>
      </w:r>
    </w:p>
    <w:p w:rsidR="005F076B" w:rsidRDefault="005F076B" w:rsidP="00611C17">
      <w:pPr>
        <w:pStyle w:val="SingleTxtG"/>
        <w:tabs>
          <w:tab w:val="right" w:leader="dot" w:pos="8505"/>
        </w:tabs>
        <w:ind w:left="1701" w:hanging="567"/>
        <w:jc w:val="left"/>
      </w:pPr>
      <w:r>
        <w:t>15.</w:t>
      </w:r>
      <w:r>
        <w:tab/>
        <w:t>Signature</w:t>
      </w:r>
      <w:r>
        <w:tab/>
      </w:r>
    </w:p>
    <w:p w:rsidR="005F076B" w:rsidRDefault="005F076B" w:rsidP="00EC7B78">
      <w:pPr>
        <w:pStyle w:val="SingleTxtG"/>
        <w:keepNext/>
        <w:keepLines/>
        <w:tabs>
          <w:tab w:val="right" w:leader="dot" w:pos="8505"/>
        </w:tabs>
        <w:ind w:left="1701" w:hanging="567"/>
        <w:jc w:val="left"/>
      </w:pPr>
      <w:r>
        <w:t>16.</w:t>
      </w:r>
      <w:r>
        <w:tab/>
        <w:t>Sont annexées à la présente communication les pièces suivantes qui portent le</w:t>
      </w:r>
      <w:r w:rsidR="00EC7B78">
        <w:t> </w:t>
      </w:r>
      <w:r>
        <w:t>numéro d</w:t>
      </w:r>
      <w:r w:rsidR="00971BFE">
        <w:t>’</w:t>
      </w:r>
      <w:r>
        <w:t>homologation indiqué ci-dessus</w:t>
      </w:r>
      <w:r w:rsidR="00EC7B78">
        <w:t>:</w:t>
      </w:r>
    </w:p>
    <w:p w:rsidR="00EC7B78" w:rsidRDefault="00977FC1" w:rsidP="00EC7B78">
      <w:pPr>
        <w:pStyle w:val="SingleTxtG"/>
        <w:keepNext/>
        <w:keepLines/>
        <w:tabs>
          <w:tab w:val="right" w:leader="dot" w:pos="8505"/>
        </w:tabs>
        <w:ind w:left="2268" w:hanging="567"/>
        <w:jc w:val="left"/>
      </w:pPr>
      <w:r>
        <w:t>… d</w:t>
      </w:r>
      <w:r w:rsidR="00EC7B78">
        <w:t>essins cotés;</w:t>
      </w:r>
    </w:p>
    <w:p w:rsidR="00722034" w:rsidRDefault="00977FC1" w:rsidP="00EC7B78">
      <w:pPr>
        <w:pStyle w:val="SingleTxtG"/>
        <w:keepNext/>
        <w:keepLines/>
        <w:tabs>
          <w:tab w:val="right" w:leader="dot" w:pos="8505"/>
        </w:tabs>
        <w:ind w:left="2268" w:hanging="567"/>
        <w:jc w:val="left"/>
      </w:pPr>
      <w:r>
        <w:t>… p</w:t>
      </w:r>
      <w:r w:rsidR="00EC7B78">
        <w:t>hotographies.</w:t>
      </w:r>
    </w:p>
    <w:p w:rsidR="00F77A88" w:rsidRDefault="00F77A88" w:rsidP="00D505B1">
      <w:pPr>
        <w:tabs>
          <w:tab w:val="right" w:pos="850"/>
          <w:tab w:val="right" w:leader="dot" w:pos="8787"/>
          <w:tab w:val="right" w:pos="9638"/>
        </w:tabs>
        <w:spacing w:after="120"/>
        <w:ind w:left="1134" w:hanging="1134"/>
        <w:sectPr w:rsidR="00F77A88" w:rsidSect="004B1660">
          <w:headerReference w:type="even" r:id="rId17"/>
          <w:headerReference w:type="default" r:id="rId18"/>
          <w:footnotePr>
            <w:numRestart w:val="eachSect"/>
          </w:footnotePr>
          <w:endnotePr>
            <w:numFmt w:val="decimal"/>
          </w:endnotePr>
          <w:pgSz w:w="11907" w:h="16840" w:code="9"/>
          <w:pgMar w:top="1701" w:right="1134" w:bottom="2268" w:left="1134" w:header="794" w:footer="1701" w:gutter="0"/>
          <w:cols w:space="720"/>
          <w:docGrid w:linePitch="272"/>
        </w:sectPr>
      </w:pPr>
    </w:p>
    <w:p w:rsidR="00172380" w:rsidRPr="00154165" w:rsidRDefault="00172380" w:rsidP="00172380">
      <w:pPr>
        <w:pStyle w:val="HChG"/>
        <w:spacing w:before="240"/>
      </w:pPr>
      <w:r w:rsidRPr="00150635">
        <w:t>Annexe 2</w:t>
      </w:r>
    </w:p>
    <w:p w:rsidR="00172380" w:rsidRPr="00150635" w:rsidRDefault="00172380" w:rsidP="00172380">
      <w:pPr>
        <w:pStyle w:val="HChG"/>
      </w:pPr>
      <w:r w:rsidRPr="00150635">
        <w:tab/>
      </w:r>
      <w:r w:rsidRPr="00150635">
        <w:tab/>
        <w:t>Exemples de marque d</w:t>
      </w:r>
      <w:r w:rsidR="00971BFE">
        <w:t>’</w:t>
      </w:r>
      <w:r w:rsidRPr="00150635">
        <w:t>homologation</w:t>
      </w:r>
    </w:p>
    <w:p w:rsidR="00172380" w:rsidRPr="00150635" w:rsidRDefault="00F64E2C" w:rsidP="00172380">
      <w:pPr>
        <w:pStyle w:val="SingleTxtG"/>
        <w:keepNext/>
        <w:spacing w:line="480" w:lineRule="auto"/>
      </w:pPr>
      <w:r>
        <w:rPr>
          <w:noProof/>
          <w:lang w:val="en-GB" w:eastAsia="en-GB"/>
        </w:rPr>
        <w:drawing>
          <wp:inline distT="0" distB="0" distL="0" distR="0" wp14:anchorId="04383F5E" wp14:editId="7CE3994A">
            <wp:extent cx="4641215" cy="1066800"/>
            <wp:effectExtent l="19050" t="19050" r="26035" b="190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1215" cy="1066800"/>
                    </a:xfrm>
                    <a:prstGeom prst="rect">
                      <a:avLst/>
                    </a:prstGeom>
                    <a:noFill/>
                    <a:ln w="6350" cmpd="sng">
                      <a:solidFill>
                        <a:srgbClr val="000000"/>
                      </a:solidFill>
                      <a:miter lim="800000"/>
                      <a:headEnd/>
                      <a:tailEnd/>
                    </a:ln>
                    <a:effectLst/>
                  </pic:spPr>
                </pic:pic>
              </a:graphicData>
            </a:graphic>
          </wp:inline>
        </w:drawing>
      </w:r>
    </w:p>
    <w:p w:rsidR="00172380" w:rsidRPr="00150635" w:rsidRDefault="00F64E2C" w:rsidP="00172380">
      <w:pPr>
        <w:pStyle w:val="SingleTxtG"/>
        <w:keepNext/>
      </w:pPr>
      <w:r>
        <w:rPr>
          <w:noProof/>
          <w:lang w:val="en-GB" w:eastAsia="en-GB"/>
        </w:rPr>
        <w:drawing>
          <wp:inline distT="0" distB="0" distL="0" distR="0" wp14:anchorId="427CA92A" wp14:editId="43727EB5">
            <wp:extent cx="4641215" cy="1399540"/>
            <wp:effectExtent l="19050" t="19050" r="26035" b="1016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41215" cy="1399540"/>
                    </a:xfrm>
                    <a:prstGeom prst="rect">
                      <a:avLst/>
                    </a:prstGeom>
                    <a:noFill/>
                    <a:ln w="6350" cmpd="sng">
                      <a:solidFill>
                        <a:srgbClr val="000000"/>
                      </a:solidFill>
                      <a:miter lim="800000"/>
                      <a:headEnd/>
                      <a:tailEnd/>
                    </a:ln>
                    <a:effectLst/>
                  </pic:spPr>
                </pic:pic>
              </a:graphicData>
            </a:graphic>
          </wp:inline>
        </w:drawing>
      </w:r>
    </w:p>
    <w:p w:rsidR="00264CD6" w:rsidRDefault="00172380" w:rsidP="00172380">
      <w:pPr>
        <w:pStyle w:val="SingleTxtG"/>
        <w:jc w:val="right"/>
      </w:pPr>
      <w:r w:rsidRPr="00150635">
        <w:t xml:space="preserve">a </w:t>
      </w:r>
      <w:r w:rsidRPr="00150635">
        <w:sym w:font="Symbol" w:char="F0B3"/>
      </w:r>
      <w:r w:rsidRPr="00150635">
        <w:t xml:space="preserve"> 8 mm</w:t>
      </w:r>
    </w:p>
    <w:p w:rsidR="00643E04" w:rsidRDefault="00643E04" w:rsidP="00643E04">
      <w:pPr>
        <w:pStyle w:val="SingleTxtG"/>
        <w:ind w:firstLine="567"/>
        <w:rPr>
          <w:lang w:val="fr-FR"/>
        </w:rPr>
      </w:pPr>
      <w:r w:rsidRPr="008B062D">
        <w:rPr>
          <w:lang w:val="fr-FR"/>
        </w:rPr>
        <w:t>Un triangle de présignalisation portant l</w:t>
      </w:r>
      <w:r w:rsidR="00971BFE">
        <w:rPr>
          <w:lang w:val="fr-FR"/>
        </w:rPr>
        <w:t>’</w:t>
      </w:r>
      <w:r w:rsidRPr="008B062D">
        <w:rPr>
          <w:lang w:val="fr-FR"/>
        </w:rPr>
        <w:t>une des marques d</w:t>
      </w:r>
      <w:r w:rsidR="00971BFE">
        <w:rPr>
          <w:lang w:val="fr-FR"/>
        </w:rPr>
        <w:t>’</w:t>
      </w:r>
      <w:r w:rsidRPr="008B062D">
        <w:rPr>
          <w:lang w:val="fr-FR"/>
        </w:rPr>
        <w:t>homologation ci-dessus a été homologué aux Pays-Bas (E4) sous le numéro 04216. Les deux premiers chiffres du numéro d</w:t>
      </w:r>
      <w:r w:rsidR="00971BFE">
        <w:rPr>
          <w:lang w:val="fr-FR"/>
        </w:rPr>
        <w:t>’</w:t>
      </w:r>
      <w:r w:rsidRPr="008B062D">
        <w:rPr>
          <w:lang w:val="fr-FR"/>
        </w:rPr>
        <w:t>homologation indiquent que l</w:t>
      </w:r>
      <w:r w:rsidR="00971BFE">
        <w:rPr>
          <w:lang w:val="fr-FR"/>
        </w:rPr>
        <w:t>’</w:t>
      </w:r>
      <w:r w:rsidRPr="008B062D">
        <w:rPr>
          <w:lang w:val="fr-FR"/>
        </w:rPr>
        <w:t>homologation a été accordée conformément aux prescriptions du présent Règlement modifiées par la série 04 d</w:t>
      </w:r>
      <w:r w:rsidR="00971BFE">
        <w:rPr>
          <w:lang w:val="fr-FR"/>
        </w:rPr>
        <w:t>’</w:t>
      </w:r>
      <w:r w:rsidRPr="008B062D">
        <w:rPr>
          <w:lang w:val="fr-FR"/>
        </w:rPr>
        <w:t>amendements.</w:t>
      </w:r>
    </w:p>
    <w:p w:rsidR="00172380" w:rsidRDefault="00643E04" w:rsidP="00643E04">
      <w:pPr>
        <w:pStyle w:val="SingleTxtG"/>
        <w:rPr>
          <w:lang w:val="fr-FR"/>
        </w:rPr>
      </w:pPr>
      <w:r w:rsidRPr="008B062D">
        <w:rPr>
          <w:i/>
          <w:iCs/>
          <w:lang w:val="fr-FR"/>
        </w:rPr>
        <w:t>Note</w:t>
      </w:r>
      <w:r w:rsidRPr="008B062D">
        <w:rPr>
          <w:lang w:val="fr-FR"/>
        </w:rPr>
        <w:t>: Ces croquis correspondent à diverses réalisations possibles et sont donnés à titre d</w:t>
      </w:r>
      <w:r w:rsidR="00971BFE">
        <w:rPr>
          <w:lang w:val="fr-FR"/>
        </w:rPr>
        <w:t>’</w:t>
      </w:r>
      <w:r w:rsidRPr="008B062D">
        <w:rPr>
          <w:lang w:val="fr-FR"/>
        </w:rPr>
        <w:t>exemple. Pour éviter toute confusion avec d</w:t>
      </w:r>
      <w:r w:rsidR="00971BFE">
        <w:rPr>
          <w:lang w:val="fr-FR"/>
        </w:rPr>
        <w:t>’</w:t>
      </w:r>
      <w:r w:rsidRPr="008B062D">
        <w:rPr>
          <w:lang w:val="fr-FR"/>
        </w:rPr>
        <w:t>autres symboles, les autorités d</w:t>
      </w:r>
      <w:r w:rsidR="00971BFE">
        <w:rPr>
          <w:lang w:val="fr-FR"/>
        </w:rPr>
        <w:t>’</w:t>
      </w:r>
      <w:r w:rsidRPr="008B062D">
        <w:rPr>
          <w:lang w:val="fr-FR"/>
        </w:rPr>
        <w:t>homologation de type doivent s</w:t>
      </w:r>
      <w:r w:rsidR="00971BFE">
        <w:rPr>
          <w:lang w:val="fr-FR"/>
        </w:rPr>
        <w:t>’</w:t>
      </w:r>
      <w:r w:rsidRPr="008B062D">
        <w:rPr>
          <w:lang w:val="fr-FR"/>
        </w:rPr>
        <w:t>abstenir de recourir aux chiffres romains aux fins d</w:t>
      </w:r>
      <w:r w:rsidR="00971BFE">
        <w:rPr>
          <w:lang w:val="fr-FR"/>
        </w:rPr>
        <w:t>’</w:t>
      </w:r>
      <w:r w:rsidRPr="008B062D">
        <w:rPr>
          <w:lang w:val="fr-FR"/>
        </w:rPr>
        <w:t>homologation.</w:t>
      </w:r>
    </w:p>
    <w:p w:rsidR="004B506E" w:rsidRDefault="004B506E" w:rsidP="00643E04">
      <w:pPr>
        <w:pStyle w:val="SingleTxtG"/>
        <w:rPr>
          <w:lang w:val="fr-FR"/>
        </w:rPr>
        <w:sectPr w:rsidR="004B506E" w:rsidSect="004B1660">
          <w:headerReference w:type="even" r:id="rId21"/>
          <w:headerReference w:type="default" r:id="rId22"/>
          <w:footnotePr>
            <w:numRestart w:val="eachSect"/>
          </w:footnotePr>
          <w:endnotePr>
            <w:numFmt w:val="decimal"/>
          </w:endnotePr>
          <w:pgSz w:w="11907" w:h="16840" w:code="9"/>
          <w:pgMar w:top="1701" w:right="1134" w:bottom="2268" w:left="1134" w:header="794" w:footer="1701" w:gutter="0"/>
          <w:cols w:space="720"/>
          <w:docGrid w:linePitch="272"/>
        </w:sectPr>
      </w:pPr>
    </w:p>
    <w:p w:rsidR="00322262" w:rsidRPr="008B062D" w:rsidRDefault="00322262" w:rsidP="00322262">
      <w:pPr>
        <w:pStyle w:val="HChG"/>
        <w:spacing w:before="120"/>
        <w:rPr>
          <w:lang w:val="fr-FR"/>
        </w:rPr>
      </w:pPr>
      <w:bookmarkStart w:id="19" w:name="_Toc386120421"/>
      <w:r w:rsidRPr="008B062D">
        <w:rPr>
          <w:lang w:val="fr-FR"/>
        </w:rPr>
        <w:t>Annexe 3</w:t>
      </w:r>
      <w:bookmarkEnd w:id="19"/>
    </w:p>
    <w:p w:rsidR="00322262" w:rsidRPr="008B062D" w:rsidRDefault="00322262" w:rsidP="00322262">
      <w:pPr>
        <w:pStyle w:val="HChG"/>
        <w:rPr>
          <w:lang w:val="fr-FR"/>
        </w:rPr>
      </w:pPr>
      <w:r w:rsidRPr="008B062D">
        <w:rPr>
          <w:lang w:val="fr-FR"/>
        </w:rPr>
        <w:tab/>
      </w:r>
      <w:r w:rsidRPr="008B062D">
        <w:rPr>
          <w:lang w:val="fr-FR"/>
        </w:rPr>
        <w:tab/>
        <w:t>Forme et dimensions du triangle de présignalisation</w:t>
      </w:r>
    </w:p>
    <w:p w:rsidR="00643E04" w:rsidRPr="00322262" w:rsidRDefault="00322262" w:rsidP="00322262">
      <w:pPr>
        <w:pStyle w:val="Heading1"/>
        <w:spacing w:after="120"/>
        <w:rPr>
          <w:b/>
          <w:lang w:val="fr-FR"/>
        </w:rPr>
      </w:pPr>
      <w:bookmarkStart w:id="20" w:name="_Toc386120422"/>
      <w:r w:rsidRPr="008B062D">
        <w:rPr>
          <w:lang w:val="fr-FR"/>
        </w:rPr>
        <w:t>Figure 1</w:t>
      </w:r>
      <w:r w:rsidRPr="008B062D">
        <w:rPr>
          <w:lang w:val="fr-FR"/>
        </w:rPr>
        <w:br/>
      </w:r>
      <w:r w:rsidRPr="00322262">
        <w:rPr>
          <w:b/>
          <w:lang w:val="fr-FR"/>
        </w:rPr>
        <w:t>Forme et dimensions du triangle de présignalisation de type 1 et du support</w:t>
      </w:r>
      <w:bookmarkEnd w:id="20"/>
    </w:p>
    <w:bookmarkStart w:id="21" w:name="_MON_1454239635"/>
    <w:bookmarkStart w:id="22" w:name="_MON_1454239684"/>
    <w:bookmarkStart w:id="23" w:name="_MON_1454239701"/>
    <w:bookmarkStart w:id="24" w:name="_MON_1454248776"/>
    <w:bookmarkStart w:id="25" w:name="_MON_1454218739"/>
    <w:bookmarkStart w:id="26" w:name="_MON_1454218791"/>
    <w:bookmarkStart w:id="27" w:name="_MON_1454218908"/>
    <w:bookmarkStart w:id="28" w:name="_MON_1454218923"/>
    <w:bookmarkStart w:id="29" w:name="_MON_1454222215"/>
    <w:bookmarkStart w:id="30" w:name="_MON_1454222258"/>
    <w:bookmarkStart w:id="31" w:name="_MON_1454222302"/>
    <w:bookmarkEnd w:id="21"/>
    <w:bookmarkEnd w:id="22"/>
    <w:bookmarkEnd w:id="23"/>
    <w:bookmarkEnd w:id="24"/>
    <w:bookmarkEnd w:id="25"/>
    <w:bookmarkEnd w:id="26"/>
    <w:bookmarkEnd w:id="27"/>
    <w:bookmarkEnd w:id="28"/>
    <w:bookmarkEnd w:id="29"/>
    <w:bookmarkEnd w:id="30"/>
    <w:bookmarkEnd w:id="31"/>
    <w:bookmarkStart w:id="32" w:name="_MON_1454239562"/>
    <w:bookmarkEnd w:id="32"/>
    <w:p w:rsidR="00322262" w:rsidRPr="00150635" w:rsidRDefault="00E4164A" w:rsidP="00322262">
      <w:pPr>
        <w:pStyle w:val="SingleTxtG"/>
        <w:keepNext/>
      </w:pPr>
      <w:r>
        <w:object w:dxaOrig="9653" w:dyaOrig="6693">
          <v:shape id="_x0000_i1026" type="#_x0000_t75" style="width:366pt;height:249pt" o:ole="" o:bordertopcolor="this" o:borderleftcolor="this" o:borderbottomcolor="this" o:borderrightcolor="this">
            <v:imagedata r:id="rId23" o:title=""/>
            <w10:bordertop type="single" width="4"/>
            <w10:borderleft type="single" width="4"/>
            <w10:borderbottom type="single" width="4"/>
            <w10:borderright type="single" width="4"/>
          </v:shape>
          <o:OLEObject Type="Embed" ProgID="Word.Picture.8" ShapeID="_x0000_i1026" DrawAspect="Content" ObjectID="_1545491797" r:id="rId24"/>
        </w:object>
      </w:r>
    </w:p>
    <w:p w:rsidR="00322262" w:rsidRPr="00150635" w:rsidRDefault="00322262" w:rsidP="00E4164A">
      <w:pPr>
        <w:pStyle w:val="Heading1"/>
        <w:spacing w:before="240" w:after="120"/>
        <w:rPr>
          <w:b/>
        </w:rPr>
      </w:pPr>
      <w:r w:rsidRPr="00150635">
        <w:t>Figure 2</w:t>
      </w:r>
      <w:r w:rsidRPr="00150635">
        <w:rPr>
          <w:rStyle w:val="SingleTxtGChar"/>
        </w:rPr>
        <w:br/>
      </w:r>
      <w:r w:rsidRPr="00150635">
        <w:rPr>
          <w:b/>
        </w:rPr>
        <w:t>F</w:t>
      </w:r>
      <w:r w:rsidRPr="00150635">
        <w:rPr>
          <w:b/>
          <w:lang w:eastAsia="fr-FR"/>
        </w:rPr>
        <w:t>orme et dimensions du triangle de présignalisation de type 2</w:t>
      </w:r>
      <w:r w:rsidRPr="00150635">
        <w:rPr>
          <w:b/>
        </w:rPr>
        <w:t xml:space="preserve"> et du support</w:t>
      </w:r>
    </w:p>
    <w:bookmarkStart w:id="33" w:name="_MON_1454239664"/>
    <w:bookmarkStart w:id="34" w:name="_MON_1454239807"/>
    <w:bookmarkStart w:id="35" w:name="_MON_1454218801"/>
    <w:bookmarkStart w:id="36" w:name="_MON_1454218910"/>
    <w:bookmarkStart w:id="37" w:name="_MON_1454219038"/>
    <w:bookmarkStart w:id="38" w:name="_MON_1454219146"/>
    <w:bookmarkStart w:id="39" w:name="_MON_1454219150"/>
    <w:bookmarkStart w:id="40" w:name="_MON_1454222181"/>
    <w:bookmarkStart w:id="41" w:name="_MON_1454224772"/>
    <w:bookmarkEnd w:id="33"/>
    <w:bookmarkEnd w:id="34"/>
    <w:bookmarkEnd w:id="35"/>
    <w:bookmarkEnd w:id="36"/>
    <w:bookmarkEnd w:id="37"/>
    <w:bookmarkEnd w:id="38"/>
    <w:bookmarkEnd w:id="39"/>
    <w:bookmarkEnd w:id="40"/>
    <w:bookmarkEnd w:id="41"/>
    <w:bookmarkStart w:id="42" w:name="_MON_1454239646"/>
    <w:bookmarkEnd w:id="42"/>
    <w:p w:rsidR="00322262" w:rsidRDefault="00E4164A" w:rsidP="00322262">
      <w:pPr>
        <w:pStyle w:val="SingleTxtG"/>
      </w:pPr>
      <w:r>
        <w:object w:dxaOrig="7244" w:dyaOrig="5140">
          <v:shape id="_x0000_i1027" type="#_x0000_t75" style="width:366pt;height:253.5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Word.Picture.8" ShapeID="_x0000_i1027" DrawAspect="Content" ObjectID="_1545491798" r:id="rId26"/>
        </w:object>
      </w:r>
    </w:p>
    <w:p w:rsidR="002B5309" w:rsidRPr="002B5309" w:rsidRDefault="002B5309" w:rsidP="002B5309">
      <w:pPr>
        <w:pStyle w:val="Heading1"/>
        <w:spacing w:after="120"/>
      </w:pPr>
      <w:r w:rsidRPr="00150635">
        <w:t>Figure 3</w:t>
      </w:r>
      <w:r>
        <w:br/>
      </w:r>
      <w:r w:rsidRPr="002B5309">
        <w:rPr>
          <w:b/>
        </w:rPr>
        <w:t>Appareil pour l</w:t>
      </w:r>
      <w:r w:rsidR="00971BFE">
        <w:rPr>
          <w:b/>
        </w:rPr>
        <w:t>’</w:t>
      </w:r>
      <w:r w:rsidRPr="002B5309">
        <w:rPr>
          <w:b/>
        </w:rPr>
        <w:t>essai de garde au sol</w:t>
      </w:r>
      <w:r w:rsidRPr="00150635">
        <w:t xml:space="preserve"> </w:t>
      </w:r>
    </w:p>
    <w:bookmarkStart w:id="43" w:name="_MON_1454219702"/>
    <w:bookmarkStart w:id="44" w:name="_MON_1454224954"/>
    <w:bookmarkStart w:id="45" w:name="_MON_1440563253"/>
    <w:bookmarkStart w:id="46" w:name="_MON_1440824117"/>
    <w:bookmarkEnd w:id="43"/>
    <w:bookmarkEnd w:id="44"/>
    <w:bookmarkEnd w:id="45"/>
    <w:bookmarkEnd w:id="46"/>
    <w:bookmarkStart w:id="47" w:name="_MON_1454219227"/>
    <w:bookmarkEnd w:id="47"/>
    <w:p w:rsidR="002B5309" w:rsidRPr="00150635" w:rsidRDefault="002B5309" w:rsidP="002B5309">
      <w:pPr>
        <w:pStyle w:val="SingleTxtG"/>
        <w:keepNext/>
        <w:rPr>
          <w:i/>
        </w:rPr>
      </w:pPr>
      <w:r w:rsidRPr="00150635">
        <w:object w:dxaOrig="3699" w:dyaOrig="3580">
          <v:shape id="_x0000_i1028" type="#_x0000_t75" style="width:224.25pt;height:258.75pt" o:ole="" o:bordertopcolor="this" o:borderleftcolor="this" o:borderbottomcolor="this" o:borderrightcolor="this">
            <v:imagedata r:id="rId27" o:title="" croptop="-3632f" cropleft="7332f"/>
            <w10:bordertop type="single" width="4"/>
            <w10:borderleft type="single" width="4"/>
            <w10:borderbottom type="single" width="4"/>
            <w10:borderright type="single" width="4"/>
          </v:shape>
          <o:OLEObject Type="Embed" ProgID="Word.Picture.8" ShapeID="_x0000_i1028" DrawAspect="Content" ObjectID="_1545491799" r:id="rId28"/>
        </w:object>
      </w:r>
    </w:p>
    <w:p w:rsidR="004D4C91" w:rsidRDefault="004D4C91" w:rsidP="00322262">
      <w:pPr>
        <w:pStyle w:val="SingleTxtG"/>
        <w:rPr>
          <w:lang w:val="fr-FR"/>
        </w:rPr>
        <w:sectPr w:rsidR="004D4C91" w:rsidSect="004B1660">
          <w:headerReference w:type="even" r:id="rId29"/>
          <w:headerReference w:type="default" r:id="rId30"/>
          <w:footnotePr>
            <w:numRestart w:val="eachSect"/>
          </w:footnotePr>
          <w:endnotePr>
            <w:numFmt w:val="decimal"/>
          </w:endnotePr>
          <w:pgSz w:w="11907" w:h="16840" w:code="9"/>
          <w:pgMar w:top="1701" w:right="1134" w:bottom="2268" w:left="1134" w:header="794" w:footer="1701" w:gutter="0"/>
          <w:cols w:space="720"/>
          <w:docGrid w:linePitch="272"/>
        </w:sectPr>
      </w:pPr>
    </w:p>
    <w:p w:rsidR="004D4C91" w:rsidRPr="004D4C91" w:rsidRDefault="004D4C91" w:rsidP="004D4C91">
      <w:pPr>
        <w:pStyle w:val="HChG"/>
      </w:pPr>
      <w:r>
        <w:rPr>
          <w:lang w:val="fr-FR"/>
        </w:rPr>
        <w:t>Annexe 4</w:t>
      </w:r>
    </w:p>
    <w:p w:rsidR="004D4C91" w:rsidRPr="004D4C91" w:rsidRDefault="004D4C91" w:rsidP="004D4C91">
      <w:pPr>
        <w:pStyle w:val="HChG"/>
      </w:pPr>
      <w:r>
        <w:rPr>
          <w:lang w:val="fr-FR"/>
        </w:rPr>
        <w:tab/>
      </w:r>
      <w:r>
        <w:rPr>
          <w:lang w:val="fr-FR"/>
        </w:rPr>
        <w:tab/>
      </w:r>
      <w:r w:rsidRPr="008B062D">
        <w:rPr>
          <w:lang w:val="fr-FR"/>
        </w:rPr>
        <w:t>Détermination de la rugosité du revêtement routier</w:t>
      </w:r>
      <w:r>
        <w:rPr>
          <w:lang w:val="fr-FR"/>
        </w:rPr>
        <w:br/>
      </w:r>
      <w:r w:rsidRPr="008B062D">
        <w:rPr>
          <w:lang w:val="fr-FR"/>
        </w:rPr>
        <w:t>Méthode de la plage de sable</w:t>
      </w:r>
    </w:p>
    <w:p w:rsidR="004D4C91" w:rsidRPr="008B062D" w:rsidRDefault="004D4C91" w:rsidP="004D4C91">
      <w:pPr>
        <w:pStyle w:val="SingleTxtG"/>
        <w:ind w:left="2268" w:hanging="1134"/>
        <w:rPr>
          <w:lang w:val="fr-FR" w:eastAsia="en-GB"/>
        </w:rPr>
      </w:pPr>
      <w:r>
        <w:rPr>
          <w:lang w:val="fr-FR" w:eastAsia="en-GB"/>
        </w:rPr>
        <w:t>1.</w:t>
      </w:r>
      <w:r w:rsidRPr="008B062D">
        <w:rPr>
          <w:lang w:val="fr-FR" w:eastAsia="en-GB"/>
        </w:rPr>
        <w:tab/>
        <w:t>But de la méthode</w:t>
      </w:r>
    </w:p>
    <w:p w:rsidR="004D4C91" w:rsidRPr="008B062D" w:rsidRDefault="004D4C91" w:rsidP="004D4C91">
      <w:pPr>
        <w:pStyle w:val="SingleTxtG"/>
        <w:ind w:left="2268" w:hanging="1134"/>
        <w:rPr>
          <w:lang w:val="fr-FR" w:eastAsia="en-GB"/>
        </w:rPr>
      </w:pPr>
      <w:r w:rsidRPr="008B062D">
        <w:rPr>
          <w:lang w:val="fr-FR" w:eastAsia="en-GB"/>
        </w:rPr>
        <w:t>1.1</w:t>
      </w:r>
      <w:r w:rsidRPr="008B062D">
        <w:rPr>
          <w:lang w:val="fr-FR" w:eastAsia="en-GB"/>
        </w:rPr>
        <w:tab/>
        <w:t>Cette méthode a pour but de décrire et de déterminer dans une certaine mesure la rugosité géométrique de la partie du revêtement routier sur laquelle le triangle de présignalisation est placé pendant l</w:t>
      </w:r>
      <w:r w:rsidR="00971BFE">
        <w:rPr>
          <w:lang w:val="fr-FR" w:eastAsia="en-GB"/>
        </w:rPr>
        <w:t>’</w:t>
      </w:r>
      <w:r w:rsidRPr="008B062D">
        <w:rPr>
          <w:lang w:val="fr-FR" w:eastAsia="en-GB"/>
        </w:rPr>
        <w:t>essai de stabilité au vent, comme il est exigé au paragraphe 10 de l</w:t>
      </w:r>
      <w:r w:rsidR="00971BFE">
        <w:rPr>
          <w:lang w:val="fr-FR" w:eastAsia="en-GB"/>
        </w:rPr>
        <w:t>’</w:t>
      </w:r>
      <w:r w:rsidRPr="008B062D">
        <w:rPr>
          <w:lang w:val="fr-FR" w:eastAsia="en-GB"/>
        </w:rPr>
        <w:t>annexe 5.</w:t>
      </w:r>
    </w:p>
    <w:p w:rsidR="004D4C91" w:rsidRPr="008B062D" w:rsidRDefault="004D4C91" w:rsidP="00EB7C09">
      <w:pPr>
        <w:pStyle w:val="SingleTxtG"/>
        <w:keepNext/>
        <w:ind w:left="2268" w:hanging="1134"/>
        <w:jc w:val="left"/>
        <w:rPr>
          <w:lang w:val="fr-FR" w:eastAsia="en-GB"/>
        </w:rPr>
      </w:pPr>
      <w:r>
        <w:rPr>
          <w:lang w:val="fr-FR" w:eastAsia="en-GB"/>
        </w:rPr>
        <w:t>2.</w:t>
      </w:r>
      <w:r w:rsidRPr="008B062D">
        <w:rPr>
          <w:lang w:val="fr-FR" w:eastAsia="en-GB"/>
        </w:rPr>
        <w:tab/>
        <w:t>Principe de la méthode</w:t>
      </w:r>
    </w:p>
    <w:p w:rsidR="004D4C91" w:rsidRPr="008B062D" w:rsidRDefault="004D4C91" w:rsidP="00EB7C09">
      <w:pPr>
        <w:pStyle w:val="SingleTxtG"/>
        <w:keepNext/>
        <w:ind w:left="2268" w:hanging="1134"/>
        <w:rPr>
          <w:lang w:val="fr-FR" w:eastAsia="en-GB"/>
        </w:rPr>
      </w:pPr>
      <w:r w:rsidRPr="008B062D">
        <w:rPr>
          <w:lang w:val="fr-FR" w:eastAsia="en-GB"/>
        </w:rPr>
        <w:t>2.1</w:t>
      </w:r>
      <w:r w:rsidRPr="008B062D">
        <w:rPr>
          <w:lang w:val="fr-FR" w:eastAsia="en-GB"/>
        </w:rPr>
        <w:tab/>
        <w:t>Un volume connu V de sable est étalé uniformément à la surface de la chaussée en une plage circulaire. Le rapport du volume employé à la surface couverte est défini comme étant la «profondeur moyenne de sable», HS, et s</w:t>
      </w:r>
      <w:r w:rsidR="00971BFE">
        <w:rPr>
          <w:lang w:val="fr-FR" w:eastAsia="en-GB"/>
        </w:rPr>
        <w:t>’</w:t>
      </w:r>
      <w:r w:rsidR="00EB7C09">
        <w:rPr>
          <w:lang w:val="fr-FR" w:eastAsia="en-GB"/>
        </w:rPr>
        <w:t>exprime en mm:</w:t>
      </w:r>
    </w:p>
    <w:p w:rsidR="004D4C91" w:rsidRPr="008B062D" w:rsidRDefault="004D4C91" w:rsidP="00E36887">
      <w:pPr>
        <w:pStyle w:val="SingleTxtG"/>
        <w:ind w:left="2268"/>
        <w:rPr>
          <w:lang w:val="fr-FR" w:eastAsia="en-GB"/>
        </w:rPr>
      </w:pPr>
      <w:r w:rsidRPr="008B062D">
        <w:rPr>
          <w:position w:val="-20"/>
          <w:lang w:val="fr-FR" w:eastAsia="en-GB"/>
        </w:rPr>
        <w:object w:dxaOrig="720" w:dyaOrig="520">
          <v:shape id="_x0000_i1029" type="#_x0000_t75" style="width:36pt;height:26.25pt" o:ole="">
            <v:imagedata r:id="rId31" o:title=""/>
          </v:shape>
          <o:OLEObject Type="Embed" ProgID="Equation.3" ShapeID="_x0000_i1029" DrawAspect="Content" ObjectID="_1545491800" r:id="rId32"/>
        </w:object>
      </w:r>
    </w:p>
    <w:p w:rsidR="004D4C91" w:rsidRPr="008B062D" w:rsidRDefault="004D4C91" w:rsidP="00EB7C09">
      <w:pPr>
        <w:pStyle w:val="SingleTxtG"/>
        <w:keepNext/>
        <w:ind w:left="2268" w:hanging="1134"/>
        <w:rPr>
          <w:lang w:val="fr-FR" w:eastAsia="en-GB"/>
        </w:rPr>
      </w:pPr>
      <w:r w:rsidRPr="008B062D">
        <w:rPr>
          <w:lang w:val="fr-FR" w:eastAsia="en-GB"/>
        </w:rPr>
        <w:t>2.2</w:t>
      </w:r>
      <w:r w:rsidRPr="008B062D">
        <w:rPr>
          <w:lang w:val="fr-FR" w:eastAsia="en-GB"/>
        </w:rPr>
        <w:tab/>
        <w:t>L</w:t>
      </w:r>
      <w:r w:rsidR="00971BFE">
        <w:rPr>
          <w:lang w:val="fr-FR" w:eastAsia="en-GB"/>
        </w:rPr>
        <w:t>’</w:t>
      </w:r>
      <w:r w:rsidRPr="008B062D">
        <w:rPr>
          <w:lang w:val="fr-FR" w:eastAsia="en-GB"/>
        </w:rPr>
        <w:t>essai se fait à l</w:t>
      </w:r>
      <w:r w:rsidR="00971BFE">
        <w:rPr>
          <w:lang w:val="fr-FR" w:eastAsia="en-GB"/>
        </w:rPr>
        <w:t>’</w:t>
      </w:r>
      <w:r w:rsidRPr="008B062D">
        <w:rPr>
          <w:lang w:val="fr-FR" w:eastAsia="en-GB"/>
        </w:rPr>
        <w:t xml:space="preserve">aide de sable sec à grains </w:t>
      </w:r>
      <w:r w:rsidR="00EB7C09">
        <w:rPr>
          <w:lang w:val="fr-FR" w:eastAsia="en-GB"/>
        </w:rPr>
        <w:t>arrondis de granulométrie 0,160</w:t>
      </w:r>
      <w:r w:rsidR="00EB7C09">
        <w:rPr>
          <w:lang w:val="fr-FR" w:eastAsia="en-GB"/>
        </w:rPr>
        <w:noBreakHyphen/>
      </w:r>
      <w:r w:rsidRPr="008B062D">
        <w:rPr>
          <w:lang w:val="fr-FR" w:eastAsia="en-GB"/>
        </w:rPr>
        <w:t xml:space="preserve">0,315 mm. </w:t>
      </w:r>
      <w:r w:rsidR="00C474FB">
        <w:rPr>
          <w:lang w:val="fr-FR" w:eastAsia="en-GB"/>
        </w:rPr>
        <w:t>Le volume de sable est de 25 ml </w:t>
      </w:r>
      <w:r w:rsidR="00C474FB">
        <w:rPr>
          <w:sz w:val="18"/>
          <w:szCs w:val="18"/>
        </w:rPr>
        <w:sym w:font="Symbol" w:char="F0B1"/>
      </w:r>
      <w:r w:rsidR="00C474FB">
        <w:rPr>
          <w:lang w:val="fr-FR" w:eastAsia="en-GB"/>
        </w:rPr>
        <w:t> </w:t>
      </w:r>
      <w:r w:rsidRPr="008B062D">
        <w:rPr>
          <w:lang w:val="fr-FR" w:eastAsia="en-GB"/>
        </w:rPr>
        <w:t>0.15 ml. Le sable est étalé sur la surface où l</w:t>
      </w:r>
      <w:r w:rsidR="00971BFE">
        <w:rPr>
          <w:lang w:val="fr-FR" w:eastAsia="en-GB"/>
        </w:rPr>
        <w:t>’</w:t>
      </w:r>
      <w:r w:rsidRPr="008B062D">
        <w:rPr>
          <w:lang w:val="fr-FR" w:eastAsia="en-GB"/>
        </w:rPr>
        <w:t>essai se fait au moyen d</w:t>
      </w:r>
      <w:r w:rsidR="00971BFE">
        <w:rPr>
          <w:lang w:val="fr-FR" w:eastAsia="en-GB"/>
        </w:rPr>
        <w:t>’</w:t>
      </w:r>
      <w:r w:rsidR="00C474FB">
        <w:rPr>
          <w:lang w:val="fr-FR" w:eastAsia="en-GB"/>
        </w:rPr>
        <w:t>un disque plat de 65 </w:t>
      </w:r>
      <w:r w:rsidRPr="008B062D">
        <w:rPr>
          <w:lang w:val="fr-FR" w:eastAsia="en-GB"/>
        </w:rPr>
        <w:t>mm de diamètre, revêtu sur une face d</w:t>
      </w:r>
      <w:r w:rsidR="00971BFE">
        <w:rPr>
          <w:lang w:val="fr-FR" w:eastAsia="en-GB"/>
        </w:rPr>
        <w:t>’</w:t>
      </w:r>
      <w:r w:rsidRPr="008B062D">
        <w:rPr>
          <w:lang w:val="fr-FR" w:eastAsia="en-GB"/>
        </w:rPr>
        <w:t>une pl</w:t>
      </w:r>
      <w:r w:rsidR="00C474FB">
        <w:rPr>
          <w:lang w:val="fr-FR" w:eastAsia="en-GB"/>
        </w:rPr>
        <w:t>aque de caoutchouc de 1,5 à 2,5 </w:t>
      </w:r>
      <w:r w:rsidRPr="008B062D">
        <w:rPr>
          <w:lang w:val="fr-FR" w:eastAsia="en-GB"/>
        </w:rPr>
        <w:t>mm d</w:t>
      </w:r>
      <w:r w:rsidR="00971BFE">
        <w:rPr>
          <w:lang w:val="fr-FR" w:eastAsia="en-GB"/>
        </w:rPr>
        <w:t>’</w:t>
      </w:r>
      <w:r w:rsidRPr="008B062D">
        <w:rPr>
          <w:lang w:val="fr-FR" w:eastAsia="en-GB"/>
        </w:rPr>
        <w:t>épaisseur et muni d</w:t>
      </w:r>
      <w:r w:rsidR="00971BFE">
        <w:rPr>
          <w:lang w:val="fr-FR" w:eastAsia="en-GB"/>
        </w:rPr>
        <w:t>’</w:t>
      </w:r>
      <w:r w:rsidRPr="008B062D">
        <w:rPr>
          <w:lang w:val="fr-FR" w:eastAsia="en-GB"/>
        </w:rPr>
        <w:t>une poignée appropriée sur l</w:t>
      </w:r>
      <w:r w:rsidR="00971BFE">
        <w:rPr>
          <w:lang w:val="fr-FR" w:eastAsia="en-GB"/>
        </w:rPr>
        <w:t>’</w:t>
      </w:r>
      <w:r w:rsidRPr="008B062D">
        <w:rPr>
          <w:lang w:val="fr-FR" w:eastAsia="en-GB"/>
        </w:rPr>
        <w:t>autre face. Si le diamètre de la plage circulaire recouverte de sable est D mm, la profondeur moyenne de sable est calculée conformément à la formule suivante:</w:t>
      </w:r>
    </w:p>
    <w:p w:rsidR="004D4C91" w:rsidRPr="008B062D" w:rsidRDefault="004D4C91" w:rsidP="00E36887">
      <w:pPr>
        <w:pStyle w:val="SingleTxtG"/>
        <w:ind w:left="2268"/>
        <w:rPr>
          <w:lang w:val="fr-FR" w:eastAsia="en-GB"/>
        </w:rPr>
      </w:pPr>
      <w:r w:rsidRPr="008B062D">
        <w:rPr>
          <w:position w:val="-20"/>
          <w:lang w:val="fr-FR" w:eastAsia="en-GB"/>
        </w:rPr>
        <w:object w:dxaOrig="1880" w:dyaOrig="520">
          <v:shape id="_x0000_i1030" type="#_x0000_t75" style="width:93.75pt;height:26.25pt" o:ole="">
            <v:imagedata r:id="rId33" o:title=""/>
          </v:shape>
          <o:OLEObject Type="Embed" ProgID="Equation.3" ShapeID="_x0000_i1030" DrawAspect="Content" ObjectID="_1545491801" r:id="rId34"/>
        </w:object>
      </w:r>
    </w:p>
    <w:p w:rsidR="004D4C91" w:rsidRPr="008B062D" w:rsidRDefault="004D4C91" w:rsidP="00CD65CF">
      <w:pPr>
        <w:pStyle w:val="SingleTxtG"/>
        <w:keepNext/>
        <w:ind w:left="2268" w:hanging="1134"/>
        <w:jc w:val="left"/>
        <w:rPr>
          <w:lang w:val="fr-FR" w:eastAsia="en-GB"/>
        </w:rPr>
      </w:pPr>
      <w:r w:rsidRPr="008B062D">
        <w:rPr>
          <w:lang w:val="fr-FR" w:eastAsia="en-GB"/>
        </w:rPr>
        <w:t xml:space="preserve">3. </w:t>
      </w:r>
      <w:r w:rsidRPr="008B062D">
        <w:rPr>
          <w:lang w:val="fr-FR" w:eastAsia="en-GB"/>
        </w:rPr>
        <w:tab/>
        <w:t>Exécution de l</w:t>
      </w:r>
      <w:r w:rsidR="00971BFE">
        <w:rPr>
          <w:lang w:val="fr-FR" w:eastAsia="en-GB"/>
        </w:rPr>
        <w:t>’</w:t>
      </w:r>
      <w:r w:rsidRPr="008B062D">
        <w:rPr>
          <w:lang w:val="fr-FR" w:eastAsia="en-GB"/>
        </w:rPr>
        <w:t>essai</w:t>
      </w:r>
    </w:p>
    <w:p w:rsidR="004D4C91" w:rsidRPr="008B062D" w:rsidRDefault="004D4C91" w:rsidP="004D4C91">
      <w:pPr>
        <w:pStyle w:val="SingleTxtG"/>
        <w:ind w:left="2268" w:hanging="1134"/>
        <w:rPr>
          <w:lang w:val="fr-FR" w:eastAsia="en-GB"/>
        </w:rPr>
      </w:pPr>
      <w:r w:rsidRPr="008B062D">
        <w:rPr>
          <w:lang w:val="fr-FR" w:eastAsia="en-GB"/>
        </w:rPr>
        <w:t>3.1</w:t>
      </w:r>
      <w:r w:rsidRPr="008B062D">
        <w:rPr>
          <w:lang w:val="fr-FR" w:eastAsia="en-GB"/>
        </w:rPr>
        <w:tab/>
        <w:t>La surface sur laquelle se fait l</w:t>
      </w:r>
      <w:r w:rsidR="00971BFE">
        <w:rPr>
          <w:lang w:val="fr-FR" w:eastAsia="en-GB"/>
        </w:rPr>
        <w:t>’</w:t>
      </w:r>
      <w:r w:rsidRPr="008B062D">
        <w:rPr>
          <w:lang w:val="fr-FR" w:eastAsia="en-GB"/>
        </w:rPr>
        <w:t>essai doit être sèche et préalablement brossée au moyen d</w:t>
      </w:r>
      <w:r w:rsidR="00971BFE">
        <w:rPr>
          <w:lang w:val="fr-FR" w:eastAsia="en-GB"/>
        </w:rPr>
        <w:t>’</w:t>
      </w:r>
      <w:r w:rsidRPr="008B062D">
        <w:rPr>
          <w:lang w:val="fr-FR" w:eastAsia="en-GB"/>
        </w:rPr>
        <w:t>une brosse douce pour éliminer toute souillure ou gravillon roulant.</w:t>
      </w:r>
    </w:p>
    <w:p w:rsidR="004D4C91" w:rsidRPr="008B062D" w:rsidRDefault="004D4C91" w:rsidP="004D4C91">
      <w:pPr>
        <w:pStyle w:val="SingleTxtG"/>
        <w:ind w:left="2268" w:hanging="1134"/>
        <w:rPr>
          <w:lang w:val="fr-FR" w:eastAsia="en-GB"/>
        </w:rPr>
      </w:pPr>
      <w:r w:rsidRPr="008B062D">
        <w:rPr>
          <w:lang w:val="fr-FR" w:eastAsia="en-GB"/>
        </w:rPr>
        <w:t>3.2</w:t>
      </w:r>
      <w:r w:rsidRPr="008B062D">
        <w:rPr>
          <w:lang w:val="fr-FR" w:eastAsia="en-GB"/>
        </w:rPr>
        <w:tab/>
        <w:t>Le sable, qui a été bien tassé dans un récipient approprié, est ensuite déversé sur la surface d</w:t>
      </w:r>
      <w:r w:rsidR="00971BFE">
        <w:rPr>
          <w:lang w:val="fr-FR" w:eastAsia="en-GB"/>
        </w:rPr>
        <w:t>’</w:t>
      </w:r>
      <w:r w:rsidRPr="008B062D">
        <w:rPr>
          <w:lang w:val="fr-FR" w:eastAsia="en-GB"/>
        </w:rPr>
        <w:t>essai pour former un seul tas. Avec le disque revêtu de caoutchouc, on étale soigneusement le sable sur la surface par des mouvements circulaires répétés, de façon à former une plage ronde aussi étendue que possible. Le sable remplit alors toutes les dépressions et tous les creux.</w:t>
      </w:r>
    </w:p>
    <w:p w:rsidR="004D4C91" w:rsidRPr="008B062D" w:rsidRDefault="004D4C91" w:rsidP="004D4C91">
      <w:pPr>
        <w:pStyle w:val="SingleTxtG"/>
        <w:ind w:left="2268" w:hanging="1134"/>
        <w:rPr>
          <w:lang w:val="fr-FR" w:eastAsia="en-GB"/>
        </w:rPr>
      </w:pPr>
      <w:r w:rsidRPr="008B062D">
        <w:rPr>
          <w:lang w:val="fr-FR" w:eastAsia="en-GB"/>
        </w:rPr>
        <w:t>3.3</w:t>
      </w:r>
      <w:r w:rsidRPr="008B062D">
        <w:rPr>
          <w:lang w:val="fr-FR" w:eastAsia="en-GB"/>
        </w:rPr>
        <w:tab/>
        <w:t>On mesure en général deux diamètres perpendiculaires de la plage ainsi</w:t>
      </w:r>
      <w:r w:rsidR="00CD65CF">
        <w:rPr>
          <w:lang w:val="fr-FR" w:eastAsia="en-GB"/>
        </w:rPr>
        <w:t> </w:t>
      </w:r>
      <w:r w:rsidRPr="008B062D">
        <w:rPr>
          <w:lang w:val="fr-FR" w:eastAsia="en-GB"/>
        </w:rPr>
        <w:t>formée. La valeur moyenne est arrondie aux 5 mm les plus proches et la</w:t>
      </w:r>
      <w:r w:rsidR="00CD65CF">
        <w:rPr>
          <w:lang w:val="fr-FR" w:eastAsia="en-GB"/>
        </w:rPr>
        <w:t> </w:t>
      </w:r>
      <w:r w:rsidRPr="008B062D">
        <w:rPr>
          <w:lang w:val="fr-FR" w:eastAsia="en-GB"/>
        </w:rPr>
        <w:t>profondeur HS de sable est calculée selon la formule donnée au paragraphe</w:t>
      </w:r>
      <w:r w:rsidR="00CD65CF">
        <w:rPr>
          <w:lang w:val="fr-FR" w:eastAsia="en-GB"/>
        </w:rPr>
        <w:t> </w:t>
      </w:r>
      <w:r w:rsidRPr="008B062D">
        <w:rPr>
          <w:lang w:val="fr-FR" w:eastAsia="en-GB"/>
        </w:rPr>
        <w:t>2.2 ci-dessus.</w:t>
      </w:r>
    </w:p>
    <w:p w:rsidR="000B642D" w:rsidRDefault="004D4C91" w:rsidP="004D4C91">
      <w:pPr>
        <w:pStyle w:val="SingleTxtG"/>
        <w:ind w:left="2268" w:hanging="1134"/>
        <w:rPr>
          <w:lang w:val="fr-FR" w:eastAsia="en-GB"/>
        </w:rPr>
        <w:sectPr w:rsidR="000B642D" w:rsidSect="004B1660">
          <w:headerReference w:type="even" r:id="rId35"/>
          <w:headerReference w:type="default" r:id="rId36"/>
          <w:footnotePr>
            <w:numRestart w:val="eachSect"/>
          </w:footnotePr>
          <w:endnotePr>
            <w:numFmt w:val="decimal"/>
          </w:endnotePr>
          <w:pgSz w:w="11907" w:h="16840" w:code="9"/>
          <w:pgMar w:top="1701" w:right="1134" w:bottom="2268" w:left="1134" w:header="794" w:footer="1701" w:gutter="0"/>
          <w:cols w:space="720"/>
          <w:docGrid w:linePitch="272"/>
        </w:sectPr>
      </w:pPr>
      <w:r w:rsidRPr="008B062D">
        <w:rPr>
          <w:lang w:val="fr-FR" w:eastAsia="en-GB"/>
        </w:rPr>
        <w:t>3.4</w:t>
      </w:r>
      <w:r w:rsidRPr="008B062D">
        <w:rPr>
          <w:lang w:val="fr-FR" w:eastAsia="en-GB"/>
        </w:rPr>
        <w:tab/>
        <w:t>On effectue ainsi six essais sur le revêtement, les zones d</w:t>
      </w:r>
      <w:r w:rsidR="00971BFE">
        <w:rPr>
          <w:lang w:val="fr-FR" w:eastAsia="en-GB"/>
        </w:rPr>
        <w:t>’</w:t>
      </w:r>
      <w:r w:rsidRPr="008B062D">
        <w:rPr>
          <w:lang w:val="fr-FR" w:eastAsia="en-GB"/>
        </w:rPr>
        <w:t>essai étant réparties le plus uniformément possible sur la surface d</w:t>
      </w:r>
      <w:r w:rsidR="00971BFE">
        <w:rPr>
          <w:lang w:val="fr-FR" w:eastAsia="en-GB"/>
        </w:rPr>
        <w:t>’</w:t>
      </w:r>
      <w:r w:rsidRPr="008B062D">
        <w:rPr>
          <w:lang w:val="fr-FR" w:eastAsia="en-GB"/>
        </w:rPr>
        <w:t>essai. La moyenne générale des résultats obtenus est considérée comme étant la profondeur moyenne HS</w:t>
      </w:r>
      <w:r w:rsidR="00CD65CF">
        <w:rPr>
          <w:lang w:val="fr-FR" w:eastAsia="en-GB"/>
        </w:rPr>
        <w:t> </w:t>
      </w:r>
      <w:r w:rsidRPr="008B062D">
        <w:rPr>
          <w:lang w:val="fr-FR" w:eastAsia="en-GB"/>
        </w:rPr>
        <w:t>de sable sur le revêtement à l</w:t>
      </w:r>
      <w:r w:rsidR="00971BFE">
        <w:rPr>
          <w:lang w:val="fr-FR" w:eastAsia="en-GB"/>
        </w:rPr>
        <w:t>’</w:t>
      </w:r>
      <w:r w:rsidRPr="008B062D">
        <w:rPr>
          <w:lang w:val="fr-FR" w:eastAsia="en-GB"/>
        </w:rPr>
        <w:t>endroit où le triangle de présignalisation est</w:t>
      </w:r>
      <w:r w:rsidR="00CD65CF">
        <w:rPr>
          <w:lang w:val="fr-FR" w:eastAsia="en-GB"/>
        </w:rPr>
        <w:t> </w:t>
      </w:r>
      <w:r w:rsidRPr="008B062D">
        <w:rPr>
          <w:lang w:val="fr-FR" w:eastAsia="en-GB"/>
        </w:rPr>
        <w:t>placé.</w:t>
      </w:r>
    </w:p>
    <w:p w:rsidR="00EB1041" w:rsidRPr="008B062D" w:rsidRDefault="00EB1041" w:rsidP="00EB1041">
      <w:pPr>
        <w:pStyle w:val="HChG"/>
        <w:rPr>
          <w:lang w:val="fr-FR"/>
        </w:rPr>
      </w:pPr>
      <w:bookmarkStart w:id="48" w:name="_Toc386120429"/>
      <w:r w:rsidRPr="008B062D">
        <w:rPr>
          <w:lang w:val="fr-FR"/>
        </w:rPr>
        <w:t>Annexe 5</w:t>
      </w:r>
      <w:bookmarkEnd w:id="48"/>
    </w:p>
    <w:p w:rsidR="00EB1041" w:rsidRPr="008B062D" w:rsidRDefault="00EB1041" w:rsidP="00EB1041">
      <w:pPr>
        <w:pStyle w:val="HChG"/>
        <w:ind w:firstLine="0"/>
        <w:rPr>
          <w:lang w:val="fr-FR"/>
        </w:rPr>
      </w:pPr>
      <w:bookmarkStart w:id="49" w:name="_Toc386120430"/>
      <w:r w:rsidRPr="008B062D">
        <w:rPr>
          <w:lang w:val="fr-FR"/>
        </w:rPr>
        <w:t>Procédure à suivre pour les essais</w:t>
      </w:r>
      <w:bookmarkEnd w:id="49"/>
    </w:p>
    <w:p w:rsidR="00EB1041" w:rsidRPr="008B062D" w:rsidRDefault="00EB1041" w:rsidP="002145DD">
      <w:pPr>
        <w:pStyle w:val="SingleTxtG"/>
        <w:keepNext/>
        <w:ind w:left="2268" w:hanging="1134"/>
        <w:jc w:val="left"/>
        <w:rPr>
          <w:lang w:val="fr-FR" w:eastAsia="en-GB"/>
        </w:rPr>
      </w:pPr>
      <w:r w:rsidRPr="008B062D">
        <w:rPr>
          <w:lang w:val="fr-FR" w:eastAsia="en-GB"/>
        </w:rPr>
        <w:t xml:space="preserve">1. </w:t>
      </w:r>
      <w:r w:rsidRPr="008B062D">
        <w:rPr>
          <w:lang w:val="fr-FR" w:eastAsia="en-GB"/>
        </w:rPr>
        <w:tab/>
        <w:t>Essais généraux</w:t>
      </w:r>
    </w:p>
    <w:p w:rsidR="00EB1041" w:rsidRPr="008B062D" w:rsidRDefault="00EB1041" w:rsidP="00F82E83">
      <w:pPr>
        <w:pStyle w:val="SingleTxtG"/>
        <w:ind w:left="2268" w:hanging="1134"/>
        <w:rPr>
          <w:lang w:val="fr-FR" w:eastAsia="en-GB"/>
        </w:rPr>
      </w:pPr>
      <w:r w:rsidRPr="008B062D">
        <w:rPr>
          <w:lang w:val="fr-FR" w:eastAsia="en-GB"/>
        </w:rPr>
        <w:t>1.1</w:t>
      </w:r>
      <w:r w:rsidRPr="008B062D">
        <w:rPr>
          <w:lang w:val="fr-FR" w:eastAsia="en-GB"/>
        </w:rPr>
        <w:tab/>
        <w:t>Le requérant soumet pour homologation des échantillons conformes à ceux mentionnés aux paragraphes 3.4 et 3.5 du présent Règlement.</w:t>
      </w:r>
    </w:p>
    <w:p w:rsidR="00EB1041" w:rsidRPr="008B062D" w:rsidRDefault="00EB1041" w:rsidP="00F82E83">
      <w:pPr>
        <w:pStyle w:val="SingleTxtG"/>
        <w:ind w:left="2268" w:hanging="1134"/>
        <w:rPr>
          <w:lang w:val="fr-FR" w:eastAsia="en-GB"/>
        </w:rPr>
      </w:pPr>
      <w:r w:rsidRPr="008B062D">
        <w:rPr>
          <w:lang w:val="fr-FR" w:eastAsia="en-GB"/>
        </w:rPr>
        <w:t>1.2</w:t>
      </w:r>
      <w:r w:rsidRPr="008B062D">
        <w:rPr>
          <w:lang w:val="fr-FR" w:eastAsia="en-GB"/>
        </w:rPr>
        <w:tab/>
        <w:t>Après vérification du respect des spécifications générales (par</w:t>
      </w:r>
      <w:r w:rsidR="008838CC">
        <w:rPr>
          <w:lang w:val="fr-FR" w:eastAsia="en-GB"/>
        </w:rPr>
        <w:t>. </w:t>
      </w:r>
      <w:r w:rsidRPr="008B062D">
        <w:rPr>
          <w:lang w:val="fr-FR" w:eastAsia="en-GB"/>
        </w:rPr>
        <w:t>6 du présent Règlement) et des spécifications de forme et de dimensions (par</w:t>
      </w:r>
      <w:r w:rsidR="008838CC">
        <w:rPr>
          <w:lang w:val="fr-FR" w:eastAsia="en-GB"/>
        </w:rPr>
        <w:t>. </w:t>
      </w:r>
      <w:r w:rsidRPr="008B062D">
        <w:rPr>
          <w:lang w:val="fr-FR" w:eastAsia="en-GB"/>
        </w:rPr>
        <w:t>7.1 du présent Règlement), tous les échantillons sont soumis à l</w:t>
      </w:r>
      <w:r w:rsidR="00971BFE">
        <w:rPr>
          <w:lang w:val="fr-FR" w:eastAsia="en-GB"/>
        </w:rPr>
        <w:t>’</w:t>
      </w:r>
      <w:r w:rsidRPr="008B062D">
        <w:rPr>
          <w:lang w:val="fr-FR" w:eastAsia="en-GB"/>
        </w:rPr>
        <w:t>essai de résistance à la chaleur (par</w:t>
      </w:r>
      <w:r w:rsidR="008838CC">
        <w:rPr>
          <w:lang w:val="fr-FR" w:eastAsia="en-GB"/>
        </w:rPr>
        <w:t>. </w:t>
      </w:r>
      <w:r w:rsidRPr="008B062D">
        <w:rPr>
          <w:lang w:val="fr-FR" w:eastAsia="en-GB"/>
        </w:rPr>
        <w:t>7 ci-dessous) et examinés au moins une heure après.</w:t>
      </w:r>
    </w:p>
    <w:p w:rsidR="00EB1041" w:rsidRPr="008B062D" w:rsidRDefault="00EB1041" w:rsidP="00F82E83">
      <w:pPr>
        <w:pStyle w:val="SingleTxtG"/>
        <w:ind w:left="2268" w:hanging="1134"/>
        <w:rPr>
          <w:lang w:val="fr-FR" w:eastAsia="en-GB"/>
        </w:rPr>
      </w:pPr>
      <w:r w:rsidRPr="008B062D">
        <w:rPr>
          <w:lang w:val="fr-FR" w:eastAsia="en-GB"/>
        </w:rPr>
        <w:t>1.3</w:t>
      </w:r>
      <w:r w:rsidRPr="008B062D">
        <w:rPr>
          <w:lang w:val="fr-FR" w:eastAsia="en-GB"/>
        </w:rPr>
        <w:tab/>
        <w:t>La valeur du CIL des quatre échantillons de triangles de présignalisation présentés est mesurée pour un angle d</w:t>
      </w:r>
      <w:r w:rsidR="00971BFE">
        <w:rPr>
          <w:lang w:val="fr-FR" w:eastAsia="en-GB"/>
        </w:rPr>
        <w:t>’</w:t>
      </w:r>
      <w:r w:rsidRPr="008B062D">
        <w:rPr>
          <w:lang w:val="fr-FR" w:eastAsia="en-GB"/>
        </w:rPr>
        <w:t>observation de 20</w:t>
      </w:r>
      <w:r w:rsidR="00BD0B47">
        <w:rPr>
          <w:sz w:val="18"/>
          <w:szCs w:val="18"/>
        </w:rPr>
        <w:t>'</w:t>
      </w:r>
      <w:r w:rsidRPr="008B062D">
        <w:rPr>
          <w:lang w:val="fr-FR" w:eastAsia="en-GB"/>
        </w:rPr>
        <w:t xml:space="preserve"> et un angle d</w:t>
      </w:r>
      <w:r w:rsidR="00971BFE">
        <w:rPr>
          <w:lang w:val="fr-FR" w:eastAsia="en-GB"/>
        </w:rPr>
        <w:t>’</w:t>
      </w:r>
      <w:r w:rsidR="008838CC">
        <w:rPr>
          <w:lang w:val="fr-FR" w:eastAsia="en-GB"/>
        </w:rPr>
        <w:t>éclairement de V = </w:t>
      </w:r>
      <w:r w:rsidRPr="008B062D">
        <w:rPr>
          <w:lang w:val="fr-FR" w:eastAsia="en-GB"/>
        </w:rPr>
        <w:t xml:space="preserve">0°, H = </w:t>
      </w:r>
      <w:r w:rsidR="005F0106">
        <w:rPr>
          <w:sz w:val="18"/>
          <w:szCs w:val="18"/>
        </w:rPr>
        <w:sym w:font="Symbol" w:char="F0B1"/>
      </w:r>
      <w:r w:rsidRPr="008B062D">
        <w:rPr>
          <w:lang w:val="fr-FR" w:eastAsia="en-GB"/>
        </w:rPr>
        <w:t>5°; cet essai est effectué conformément à la méthode décrite au paragraphe 4 ci-après.</w:t>
      </w:r>
    </w:p>
    <w:p w:rsidR="00EB1041" w:rsidRPr="008B062D" w:rsidRDefault="00EB1041" w:rsidP="00F82E83">
      <w:pPr>
        <w:pStyle w:val="SingleTxtG"/>
        <w:ind w:left="2268" w:hanging="1134"/>
        <w:rPr>
          <w:lang w:val="fr-FR"/>
        </w:rPr>
      </w:pPr>
      <w:r w:rsidRPr="008B062D">
        <w:rPr>
          <w:lang w:val="fr-FR"/>
        </w:rPr>
        <w:t>1.4</w:t>
      </w:r>
      <w:r w:rsidRPr="008B062D">
        <w:rPr>
          <w:lang w:val="fr-FR"/>
        </w:rPr>
        <w:tab/>
        <w:t>Les deux échantillons pour lesquels les essais effectués selon le paragraphe</w:t>
      </w:r>
      <w:r w:rsidR="005F0106">
        <w:rPr>
          <w:lang w:val="fr-FR"/>
        </w:rPr>
        <w:t> </w:t>
      </w:r>
      <w:r w:rsidRPr="008B062D">
        <w:rPr>
          <w:lang w:val="fr-FR"/>
        </w:rPr>
        <w:t>1.3 ci-dessus donnent les valeurs minimale et maximale du CIL sont ensuite soumis aux essais ci-après:</w:t>
      </w:r>
    </w:p>
    <w:p w:rsidR="00EB1041" w:rsidRPr="008B062D" w:rsidRDefault="00EB1041" w:rsidP="00F82E83">
      <w:pPr>
        <w:pStyle w:val="SingleTxtG"/>
        <w:ind w:left="2268" w:hanging="1134"/>
        <w:rPr>
          <w:strike/>
          <w:lang w:val="fr-FR"/>
        </w:rPr>
      </w:pPr>
      <w:r w:rsidRPr="008B062D">
        <w:rPr>
          <w:lang w:val="fr-FR"/>
        </w:rPr>
        <w:t>1.4.1</w:t>
      </w:r>
      <w:r w:rsidRPr="008B062D">
        <w:rPr>
          <w:lang w:val="fr-FR"/>
        </w:rPr>
        <w:tab/>
        <w:t>Mesure des valeurs du CIL pour les angles d</w:t>
      </w:r>
      <w:r w:rsidR="00971BFE">
        <w:rPr>
          <w:lang w:val="fr-FR"/>
        </w:rPr>
        <w:t>’</w:t>
      </w:r>
      <w:r w:rsidRPr="008B062D">
        <w:rPr>
          <w:lang w:val="fr-FR"/>
        </w:rPr>
        <w:t>observation et d</w:t>
      </w:r>
      <w:r w:rsidR="00971BFE">
        <w:rPr>
          <w:lang w:val="fr-FR"/>
        </w:rPr>
        <w:t>’</w:t>
      </w:r>
      <w:r w:rsidRPr="008B062D">
        <w:rPr>
          <w:lang w:val="fr-FR"/>
        </w:rPr>
        <w:t>éclairement mentionnés aux paragraphes 7.3.1.1 et 7.3.1.2 du présent Règlement, par la méthode décrite au paragraphe 4 ci-après.</w:t>
      </w:r>
    </w:p>
    <w:p w:rsidR="00EB1041" w:rsidRPr="008B062D" w:rsidRDefault="00EB1041" w:rsidP="00F82E83">
      <w:pPr>
        <w:pStyle w:val="SingleTxtG"/>
        <w:ind w:left="2268" w:hanging="1134"/>
        <w:rPr>
          <w:lang w:val="fr-FR"/>
        </w:rPr>
      </w:pPr>
      <w:r w:rsidRPr="008B062D">
        <w:rPr>
          <w:lang w:val="fr-FR"/>
        </w:rPr>
        <w:t>1.4.2</w:t>
      </w:r>
      <w:r w:rsidRPr="008B062D">
        <w:rPr>
          <w:lang w:val="fr-FR"/>
        </w:rPr>
        <w:tab/>
        <w:t>Essai de la couleur de la lumière réfléchie par effet cat</w:t>
      </w:r>
      <w:r w:rsidR="005F0106">
        <w:rPr>
          <w:lang w:val="fr-FR"/>
        </w:rPr>
        <w:t>adioptrique selon le paragraphe </w:t>
      </w:r>
      <w:r w:rsidRPr="008B062D">
        <w:rPr>
          <w:lang w:val="fr-FR"/>
        </w:rPr>
        <w:t>2.1 ci-après, sur l</w:t>
      </w:r>
      <w:r w:rsidR="00971BFE">
        <w:rPr>
          <w:lang w:val="fr-FR"/>
        </w:rPr>
        <w:t>’</w:t>
      </w:r>
      <w:r w:rsidRPr="008B062D">
        <w:rPr>
          <w:lang w:val="fr-FR"/>
        </w:rPr>
        <w:t>échantillon ayant le CIL le plus élevé.</w:t>
      </w:r>
    </w:p>
    <w:p w:rsidR="00EB1041" w:rsidRPr="008B062D" w:rsidRDefault="00EB1041" w:rsidP="00F82E83">
      <w:pPr>
        <w:pStyle w:val="SingleTxtG"/>
        <w:ind w:left="2268" w:hanging="1134"/>
        <w:rPr>
          <w:lang w:val="fr-FR" w:eastAsia="en-GB"/>
        </w:rPr>
      </w:pPr>
      <w:r w:rsidRPr="008B062D">
        <w:rPr>
          <w:lang w:val="fr-FR" w:eastAsia="en-GB"/>
        </w:rPr>
        <w:t>1.4.3</w:t>
      </w:r>
      <w:r w:rsidRPr="008B062D">
        <w:rPr>
          <w:lang w:val="fr-FR" w:eastAsia="en-GB"/>
        </w:rPr>
        <w:tab/>
        <w:t>Essai de dégagement au sol conformément au paragraphe 5 ci-après.</w:t>
      </w:r>
    </w:p>
    <w:p w:rsidR="00EB1041" w:rsidRPr="008B062D" w:rsidRDefault="00EB1041" w:rsidP="00F82E83">
      <w:pPr>
        <w:pStyle w:val="SingleTxtG"/>
        <w:ind w:left="2268" w:hanging="1134"/>
        <w:rPr>
          <w:lang w:val="fr-FR" w:eastAsia="en-GB"/>
        </w:rPr>
      </w:pPr>
      <w:r w:rsidRPr="008B062D">
        <w:rPr>
          <w:lang w:val="fr-FR" w:eastAsia="en-GB"/>
        </w:rPr>
        <w:t>1.4.4</w:t>
      </w:r>
      <w:r w:rsidRPr="008B062D">
        <w:rPr>
          <w:lang w:val="fr-FR" w:eastAsia="en-GB"/>
        </w:rPr>
        <w:tab/>
        <w:t>Essai de résistance mécanique conformément au paragraphe 6 ci-après.</w:t>
      </w:r>
    </w:p>
    <w:p w:rsidR="00EB1041" w:rsidRPr="008B062D" w:rsidRDefault="005F0106" w:rsidP="00F82E83">
      <w:pPr>
        <w:pStyle w:val="SingleTxtG"/>
        <w:ind w:left="2268" w:hanging="1134"/>
        <w:rPr>
          <w:lang w:val="fr-FR" w:eastAsia="en-GB"/>
        </w:rPr>
      </w:pPr>
      <w:r>
        <w:rPr>
          <w:lang w:val="fr-FR" w:eastAsia="en-GB"/>
        </w:rPr>
        <w:t>1.5</w:t>
      </w:r>
      <w:r w:rsidR="00EB1041" w:rsidRPr="008B062D">
        <w:rPr>
          <w:lang w:val="fr-FR" w:eastAsia="en-GB"/>
        </w:rPr>
        <w:tab/>
        <w:t>Un échantillon autre que ceux don</w:t>
      </w:r>
      <w:r w:rsidR="002A545A">
        <w:rPr>
          <w:lang w:val="fr-FR" w:eastAsia="en-GB"/>
        </w:rPr>
        <w:t>t il est question au paragraphe </w:t>
      </w:r>
      <w:r w:rsidR="00EB1041" w:rsidRPr="008B062D">
        <w:rPr>
          <w:lang w:val="fr-FR" w:eastAsia="en-GB"/>
        </w:rPr>
        <w:t>1.4 ci-dessus est soumis aux essais suivants:</w:t>
      </w:r>
    </w:p>
    <w:p w:rsidR="00EB1041" w:rsidRPr="008B062D" w:rsidRDefault="00EB1041" w:rsidP="00F82E83">
      <w:pPr>
        <w:pStyle w:val="SingleTxtG"/>
        <w:ind w:left="2268" w:hanging="1134"/>
        <w:rPr>
          <w:lang w:val="fr-FR" w:eastAsia="en-GB"/>
        </w:rPr>
      </w:pPr>
      <w:r w:rsidRPr="008B062D">
        <w:rPr>
          <w:lang w:val="fr-FR" w:eastAsia="en-GB"/>
        </w:rPr>
        <w:t>1.5.1</w:t>
      </w:r>
      <w:r w:rsidRPr="008B062D">
        <w:rPr>
          <w:lang w:val="fr-FR" w:eastAsia="en-GB"/>
        </w:rPr>
        <w:tab/>
        <w:t>Essai de résistance à la pénétration de l</w:t>
      </w:r>
      <w:r w:rsidR="00971BFE">
        <w:rPr>
          <w:lang w:val="fr-FR" w:eastAsia="en-GB"/>
        </w:rPr>
        <w:t>’</w:t>
      </w:r>
      <w:r w:rsidRPr="008B062D">
        <w:rPr>
          <w:lang w:val="fr-FR" w:eastAsia="en-GB"/>
        </w:rPr>
        <w:t>eau dans le dispositif cata</w:t>
      </w:r>
      <w:r w:rsidR="002A545A">
        <w:rPr>
          <w:lang w:val="fr-FR" w:eastAsia="en-GB"/>
        </w:rPr>
        <w:t>dioptrique, selon le paragraphe </w:t>
      </w:r>
      <w:r w:rsidRPr="008B062D">
        <w:rPr>
          <w:lang w:val="fr-FR" w:eastAsia="en-GB"/>
        </w:rPr>
        <w:t>11.1 ci-après ou, s</w:t>
      </w:r>
      <w:r w:rsidR="00971BFE">
        <w:rPr>
          <w:lang w:val="fr-FR" w:eastAsia="en-GB"/>
        </w:rPr>
        <w:t>’</w:t>
      </w:r>
      <w:r w:rsidRPr="008B062D">
        <w:rPr>
          <w:lang w:val="fr-FR" w:eastAsia="en-GB"/>
        </w:rPr>
        <w:t>il y a lieu, de la face postérieure du dispositif catadioptrique miroité, selon le paragraphe 11.2 ci-après.</w:t>
      </w:r>
    </w:p>
    <w:p w:rsidR="00EB1041" w:rsidRPr="008B062D" w:rsidRDefault="005F0106" w:rsidP="00F82E83">
      <w:pPr>
        <w:pStyle w:val="SingleTxtG"/>
        <w:ind w:left="2268" w:hanging="1134"/>
        <w:rPr>
          <w:lang w:val="fr-FR" w:eastAsia="en-GB"/>
        </w:rPr>
      </w:pPr>
      <w:r>
        <w:rPr>
          <w:lang w:val="fr-FR" w:eastAsia="en-GB"/>
        </w:rPr>
        <w:t>1.6</w:t>
      </w:r>
      <w:r w:rsidR="00EB1041" w:rsidRPr="008B062D">
        <w:rPr>
          <w:lang w:val="fr-FR" w:eastAsia="en-GB"/>
        </w:rPr>
        <w:tab/>
        <w:t>Le deuxième échantillon, autre que ceux dont il est question au paragraphe 1.4 ci-dessus, est soumis aux essais suivants:</w:t>
      </w:r>
    </w:p>
    <w:p w:rsidR="00EB1041" w:rsidRPr="008B062D" w:rsidRDefault="00EB1041" w:rsidP="00F82E83">
      <w:pPr>
        <w:pStyle w:val="SingleTxtG"/>
        <w:ind w:left="2268" w:hanging="1134"/>
        <w:rPr>
          <w:lang w:val="fr-FR" w:eastAsia="en-GB"/>
        </w:rPr>
      </w:pPr>
      <w:r w:rsidRPr="008B062D">
        <w:rPr>
          <w:lang w:val="fr-FR" w:eastAsia="en-GB"/>
        </w:rPr>
        <w:t>1.6.1</w:t>
      </w:r>
      <w:r w:rsidRPr="008B062D">
        <w:rPr>
          <w:lang w:val="fr-FR" w:eastAsia="en-GB"/>
        </w:rPr>
        <w:tab/>
        <w:t>Essai de résistance à l</w:t>
      </w:r>
      <w:r w:rsidR="00971BFE">
        <w:rPr>
          <w:lang w:val="fr-FR" w:eastAsia="en-GB"/>
        </w:rPr>
        <w:t>’</w:t>
      </w:r>
      <w:r w:rsidRPr="008B062D">
        <w:rPr>
          <w:lang w:val="fr-FR" w:eastAsia="en-GB"/>
        </w:rPr>
        <w:t>eau, conformément au paragraphe 8 ci-après.</w:t>
      </w:r>
    </w:p>
    <w:p w:rsidR="00EB1041" w:rsidRPr="008B062D" w:rsidRDefault="00EB1041" w:rsidP="00F82E83">
      <w:pPr>
        <w:pStyle w:val="SingleTxtG"/>
        <w:ind w:left="2268" w:hanging="1134"/>
        <w:rPr>
          <w:lang w:val="fr-FR" w:eastAsia="en-GB"/>
        </w:rPr>
      </w:pPr>
      <w:r w:rsidRPr="008B062D">
        <w:rPr>
          <w:lang w:val="fr-FR" w:eastAsia="en-GB"/>
        </w:rPr>
        <w:t>1.6.2</w:t>
      </w:r>
      <w:r w:rsidRPr="008B062D">
        <w:rPr>
          <w:lang w:val="fr-FR" w:eastAsia="en-GB"/>
        </w:rPr>
        <w:tab/>
        <w:t>Essai de résistance aux carburants, conformément au paragraphe 9 ci-après.</w:t>
      </w:r>
    </w:p>
    <w:p w:rsidR="00EB1041" w:rsidRPr="008B062D" w:rsidRDefault="00EB1041" w:rsidP="00F82E83">
      <w:pPr>
        <w:pStyle w:val="SingleTxtG"/>
        <w:ind w:left="2268" w:hanging="1134"/>
        <w:rPr>
          <w:lang w:val="fr-FR" w:eastAsia="en-GB"/>
        </w:rPr>
      </w:pPr>
      <w:r w:rsidRPr="008B062D">
        <w:rPr>
          <w:lang w:val="fr-FR" w:eastAsia="en-GB"/>
        </w:rPr>
        <w:t>1.6.3</w:t>
      </w:r>
      <w:r w:rsidRPr="008B062D">
        <w:rPr>
          <w:lang w:val="fr-FR" w:eastAsia="en-GB"/>
        </w:rPr>
        <w:tab/>
        <w:t>Essai de stabilité au v</w:t>
      </w:r>
      <w:r w:rsidR="002A545A">
        <w:rPr>
          <w:lang w:val="fr-FR" w:eastAsia="en-GB"/>
        </w:rPr>
        <w:t>ent, conformément au paragraphe </w:t>
      </w:r>
      <w:r w:rsidRPr="008B062D">
        <w:rPr>
          <w:lang w:val="fr-FR" w:eastAsia="en-GB"/>
        </w:rPr>
        <w:t>10 ci-après.</w:t>
      </w:r>
    </w:p>
    <w:p w:rsidR="00EB1041" w:rsidRPr="008B062D" w:rsidRDefault="00EB1041" w:rsidP="005F0106">
      <w:pPr>
        <w:pStyle w:val="SingleTxtG"/>
        <w:keepNext/>
        <w:ind w:left="2268" w:hanging="1134"/>
        <w:rPr>
          <w:lang w:val="fr-FR" w:eastAsia="en-GB"/>
        </w:rPr>
      </w:pPr>
      <w:r w:rsidRPr="008B062D">
        <w:rPr>
          <w:lang w:val="fr-FR" w:eastAsia="en-GB"/>
        </w:rPr>
        <w:t>1.7</w:t>
      </w:r>
      <w:r w:rsidRPr="008B062D">
        <w:rPr>
          <w:lang w:val="fr-FR" w:eastAsia="en-GB"/>
        </w:rPr>
        <w:tab/>
        <w:t>Après les</w:t>
      </w:r>
      <w:r w:rsidR="002A545A">
        <w:rPr>
          <w:lang w:val="fr-FR" w:eastAsia="en-GB"/>
        </w:rPr>
        <w:t xml:space="preserve"> essais spécifiés au paragraphe </w:t>
      </w:r>
      <w:r w:rsidRPr="008B062D">
        <w:rPr>
          <w:lang w:val="fr-FR" w:eastAsia="en-GB"/>
        </w:rPr>
        <w:t>1.4 ci-dessus, les deux échantillons présent</w:t>
      </w:r>
      <w:r w:rsidR="002A545A">
        <w:rPr>
          <w:lang w:val="fr-FR" w:eastAsia="en-GB"/>
        </w:rPr>
        <w:t>és en application du paragraphe </w:t>
      </w:r>
      <w:r w:rsidRPr="008B062D">
        <w:rPr>
          <w:lang w:val="fr-FR" w:eastAsia="en-GB"/>
        </w:rPr>
        <w:t>3.5 du présent Règlement sont soumis aux essais ci-après:</w:t>
      </w:r>
    </w:p>
    <w:p w:rsidR="00EB1041" w:rsidRPr="008B062D" w:rsidRDefault="00EB1041" w:rsidP="00F82E83">
      <w:pPr>
        <w:pStyle w:val="SingleTxtG"/>
        <w:ind w:left="2268" w:hanging="1134"/>
        <w:rPr>
          <w:lang w:val="fr-FR" w:eastAsia="en-GB"/>
        </w:rPr>
      </w:pPr>
      <w:r w:rsidRPr="008B062D">
        <w:rPr>
          <w:lang w:val="fr-FR" w:eastAsia="en-GB"/>
        </w:rPr>
        <w:t>1.7.1</w:t>
      </w:r>
      <w:r w:rsidRPr="008B062D">
        <w:rPr>
          <w:lang w:val="fr-FR" w:eastAsia="en-GB"/>
        </w:rPr>
        <w:tab/>
        <w:t>Essai de la couleur, conformément au paragraphe 2.2. ci-après;</w:t>
      </w:r>
    </w:p>
    <w:p w:rsidR="00EB1041" w:rsidRPr="008B062D" w:rsidRDefault="00EB1041" w:rsidP="00F82E83">
      <w:pPr>
        <w:pStyle w:val="SingleTxtG"/>
        <w:ind w:left="2268" w:hanging="1134"/>
        <w:rPr>
          <w:lang w:val="fr-FR" w:eastAsia="en-GB"/>
        </w:rPr>
      </w:pPr>
      <w:r w:rsidRPr="008B062D">
        <w:rPr>
          <w:lang w:val="fr-FR" w:eastAsia="en-GB"/>
        </w:rPr>
        <w:t>1.7.2</w:t>
      </w:r>
      <w:r w:rsidRPr="008B062D">
        <w:rPr>
          <w:lang w:val="fr-FR" w:eastAsia="en-GB"/>
        </w:rPr>
        <w:tab/>
        <w:t xml:space="preserve">Détermination du facteur de luminance, </w:t>
      </w:r>
      <w:r w:rsidR="002A545A">
        <w:rPr>
          <w:lang w:val="fr-FR" w:eastAsia="en-GB"/>
        </w:rPr>
        <w:t>conformément au paragraphe </w:t>
      </w:r>
      <w:r w:rsidR="005F0106">
        <w:rPr>
          <w:lang w:val="fr-FR" w:eastAsia="en-GB"/>
        </w:rPr>
        <w:t>3 ci</w:t>
      </w:r>
      <w:r w:rsidR="005F0106">
        <w:rPr>
          <w:lang w:val="fr-FR" w:eastAsia="en-GB"/>
        </w:rPr>
        <w:noBreakHyphen/>
      </w:r>
      <w:r w:rsidRPr="008B062D">
        <w:rPr>
          <w:lang w:val="fr-FR" w:eastAsia="en-GB"/>
        </w:rPr>
        <w:t>après;</w:t>
      </w:r>
    </w:p>
    <w:p w:rsidR="00EB1041" w:rsidRPr="008B062D" w:rsidRDefault="00EB1041" w:rsidP="00F82E83">
      <w:pPr>
        <w:pStyle w:val="SingleTxtG"/>
        <w:ind w:left="2268" w:hanging="1134"/>
        <w:rPr>
          <w:lang w:val="fr-FR" w:eastAsia="en-GB"/>
        </w:rPr>
      </w:pPr>
      <w:r w:rsidRPr="008B062D">
        <w:rPr>
          <w:lang w:val="fr-FR" w:eastAsia="en-GB"/>
        </w:rPr>
        <w:t xml:space="preserve">1.7.3 </w:t>
      </w:r>
      <w:r w:rsidRPr="008B062D">
        <w:rPr>
          <w:lang w:val="fr-FR" w:eastAsia="en-GB"/>
        </w:rPr>
        <w:tab/>
      </w:r>
      <w:r w:rsidRPr="005F0106">
        <w:rPr>
          <w:spacing w:val="-2"/>
          <w:lang w:val="fr-FR" w:eastAsia="en-GB"/>
        </w:rPr>
        <w:t>Essai de résistance aux intempéries, conformément au paragraphe 12 ci-après</w:t>
      </w:r>
      <w:r w:rsidRPr="008B062D">
        <w:rPr>
          <w:lang w:val="fr-FR" w:eastAsia="en-GB"/>
        </w:rPr>
        <w:t>.</w:t>
      </w:r>
    </w:p>
    <w:p w:rsidR="00EB1041" w:rsidRPr="008B062D" w:rsidRDefault="00066FC9" w:rsidP="00066FC9">
      <w:pPr>
        <w:pStyle w:val="SingleTxtG"/>
        <w:keepNext/>
        <w:ind w:left="2268" w:hanging="1134"/>
        <w:jc w:val="left"/>
        <w:rPr>
          <w:lang w:val="fr-FR" w:eastAsia="en-GB"/>
        </w:rPr>
      </w:pPr>
      <w:r>
        <w:rPr>
          <w:lang w:val="fr-FR" w:eastAsia="en-GB"/>
        </w:rPr>
        <w:t>2.</w:t>
      </w:r>
      <w:r w:rsidR="00EB1041" w:rsidRPr="008B062D">
        <w:rPr>
          <w:lang w:val="fr-FR" w:eastAsia="en-GB"/>
        </w:rPr>
        <w:tab/>
        <w:t>Essais de la couleur</w:t>
      </w:r>
    </w:p>
    <w:p w:rsidR="00EB1041" w:rsidRPr="008B062D" w:rsidRDefault="00EB1041" w:rsidP="00066FC9">
      <w:pPr>
        <w:pStyle w:val="SingleTxtG"/>
        <w:keepNext/>
        <w:ind w:left="2268" w:hanging="1134"/>
        <w:jc w:val="left"/>
        <w:rPr>
          <w:lang w:val="fr-FR"/>
        </w:rPr>
      </w:pPr>
      <w:r w:rsidRPr="008B062D">
        <w:rPr>
          <w:lang w:val="fr-FR"/>
        </w:rPr>
        <w:t>2.1</w:t>
      </w:r>
      <w:r w:rsidRPr="008B062D">
        <w:rPr>
          <w:lang w:val="fr-FR"/>
        </w:rPr>
        <w:tab/>
        <w:t>Couleur des dispositifs catadioptriques</w:t>
      </w:r>
    </w:p>
    <w:p w:rsidR="00EB1041" w:rsidRPr="008B062D" w:rsidRDefault="00EB1041" w:rsidP="00F82E83">
      <w:pPr>
        <w:pStyle w:val="SingleTxtG"/>
        <w:ind w:left="2268" w:hanging="1134"/>
        <w:rPr>
          <w:lang w:val="fr-FR"/>
        </w:rPr>
      </w:pPr>
      <w:r w:rsidRPr="008B062D">
        <w:rPr>
          <w:lang w:val="fr-FR"/>
        </w:rPr>
        <w:t>2.1.1</w:t>
      </w:r>
      <w:r w:rsidRPr="008B062D">
        <w:rPr>
          <w:lang w:val="fr-FR"/>
        </w:rPr>
        <w:tab/>
        <w:t>La couleur des dispositifs catadioptriques doit être contrôlée, lorsqu</w:t>
      </w:r>
      <w:r w:rsidR="00971BFE">
        <w:rPr>
          <w:lang w:val="fr-FR"/>
        </w:rPr>
        <w:t>’</w:t>
      </w:r>
      <w:r w:rsidRPr="008B062D">
        <w:rPr>
          <w:lang w:val="fr-FR"/>
        </w:rPr>
        <w:t>ils sont éclairés au moyen de l</w:t>
      </w:r>
      <w:r w:rsidR="00971BFE">
        <w:rPr>
          <w:lang w:val="fr-FR"/>
        </w:rPr>
        <w:t>’</w:t>
      </w:r>
      <w:r w:rsidRPr="008B062D">
        <w:rPr>
          <w:lang w:val="fr-FR"/>
        </w:rPr>
        <w:t>illuminant normalisé A de la CIE, selon un angle de divergence de 1/3° et un angle d</w:t>
      </w:r>
      <w:r w:rsidR="00971BFE">
        <w:rPr>
          <w:lang w:val="fr-FR"/>
        </w:rPr>
        <w:t>’</w:t>
      </w:r>
      <w:r w:rsidRPr="008B062D">
        <w:rPr>
          <w:lang w:val="fr-FR"/>
        </w:rPr>
        <w:t>éclairage V = H = 0°, ou, s</w:t>
      </w:r>
      <w:r w:rsidR="00971BFE">
        <w:rPr>
          <w:lang w:val="fr-FR"/>
        </w:rPr>
        <w:t>’</w:t>
      </w:r>
      <w:r w:rsidRPr="008B062D">
        <w:rPr>
          <w:lang w:val="fr-FR"/>
        </w:rPr>
        <w:t xml:space="preserve">il se produit une réflexion non colorée sur la surface, selon un angle V = </w:t>
      </w:r>
      <w:r w:rsidR="007B04EB">
        <w:rPr>
          <w:lang w:val="fr-FR"/>
        </w:rPr>
        <w:sym w:font="Symbol" w:char="F0B1"/>
      </w:r>
      <w:r w:rsidRPr="008B062D">
        <w:rPr>
          <w:lang w:val="fr-FR"/>
        </w:rPr>
        <w:t>5°, H = 0°.</w:t>
      </w:r>
    </w:p>
    <w:p w:rsidR="00EB1041" w:rsidRPr="008B062D" w:rsidRDefault="00EB1041" w:rsidP="002A545A">
      <w:pPr>
        <w:pStyle w:val="SingleTxtG"/>
        <w:keepNext/>
        <w:ind w:left="2268" w:hanging="1134"/>
        <w:jc w:val="left"/>
        <w:rPr>
          <w:lang w:val="fr-FR"/>
        </w:rPr>
      </w:pPr>
      <w:r w:rsidRPr="008B062D">
        <w:rPr>
          <w:lang w:val="fr-FR"/>
        </w:rPr>
        <w:t>2.2</w:t>
      </w:r>
      <w:r w:rsidRPr="008B062D">
        <w:rPr>
          <w:lang w:val="fr-FR"/>
        </w:rPr>
        <w:tab/>
        <w:t>Couleur de la matière fluorescente</w:t>
      </w:r>
    </w:p>
    <w:p w:rsidR="00EB1041" w:rsidRPr="008B062D" w:rsidRDefault="00EB1041" w:rsidP="007B04EB">
      <w:pPr>
        <w:pStyle w:val="SingleTxtG"/>
        <w:keepNext/>
        <w:ind w:left="2268" w:hanging="1134"/>
        <w:jc w:val="left"/>
        <w:rPr>
          <w:lang w:val="fr-FR"/>
        </w:rPr>
      </w:pPr>
      <w:r w:rsidRPr="008B062D">
        <w:rPr>
          <w:lang w:val="fr-FR" w:eastAsia="ja-JP"/>
        </w:rPr>
        <w:t>2.2.1</w:t>
      </w:r>
      <w:r w:rsidRPr="008B062D">
        <w:rPr>
          <w:lang w:val="fr-FR" w:eastAsia="ja-JP"/>
        </w:rPr>
        <w:tab/>
        <w:t xml:space="preserve">Couleur de la matière fluorescente pour </w:t>
      </w:r>
      <w:r w:rsidR="002A545A">
        <w:rPr>
          <w:lang w:val="fr-FR" w:eastAsia="ja-JP"/>
        </w:rPr>
        <w:t>le triangle de présignalisation</w:t>
      </w:r>
      <w:r w:rsidR="002A545A">
        <w:rPr>
          <w:lang w:val="fr-FR" w:eastAsia="ja-JP"/>
        </w:rPr>
        <w:br/>
      </w:r>
      <w:r w:rsidRPr="008B062D">
        <w:rPr>
          <w:lang w:val="fr-FR" w:eastAsia="ja-JP"/>
        </w:rPr>
        <w:t>de type 1</w:t>
      </w:r>
    </w:p>
    <w:p w:rsidR="00EB1041" w:rsidRPr="008B062D" w:rsidRDefault="00EB1041" w:rsidP="002A545A">
      <w:pPr>
        <w:pStyle w:val="SingleTxtG"/>
        <w:ind w:left="2268"/>
        <w:rPr>
          <w:rFonts w:eastAsia="MS Mincho"/>
          <w:lang w:val="fr-FR" w:eastAsia="ja-JP"/>
        </w:rPr>
      </w:pPr>
      <w:r w:rsidRPr="008B062D">
        <w:rPr>
          <w:lang w:val="fr-FR"/>
        </w:rPr>
        <w:t>Les essais de la couleur des matériaux fluorescents doivent s</w:t>
      </w:r>
      <w:r w:rsidR="00971BFE">
        <w:rPr>
          <w:lang w:val="fr-FR"/>
        </w:rPr>
        <w:t>’</w:t>
      </w:r>
      <w:r w:rsidRPr="008B062D">
        <w:rPr>
          <w:lang w:val="fr-FR"/>
        </w:rPr>
        <w:t>effectuer en éclairant ces matériaux au moyen de l</w:t>
      </w:r>
      <w:r w:rsidR="00971BFE">
        <w:rPr>
          <w:lang w:val="fr-FR"/>
        </w:rPr>
        <w:t>’</w:t>
      </w:r>
      <w:r w:rsidRPr="008B062D">
        <w:rPr>
          <w:lang w:val="fr-FR"/>
        </w:rPr>
        <w:t>illuminant normalisé D65 de la CIE (ISO 11664-2:2007(E)/CIE S 014-2/E:2006). Les mesures doivent être prises à l</w:t>
      </w:r>
      <w:r w:rsidR="00971BFE">
        <w:rPr>
          <w:lang w:val="fr-FR"/>
        </w:rPr>
        <w:t>’</w:t>
      </w:r>
      <w:r w:rsidRPr="008B062D">
        <w:rPr>
          <w:lang w:val="fr-FR"/>
        </w:rPr>
        <w:t>aide d</w:t>
      </w:r>
      <w:r w:rsidR="00971BFE">
        <w:rPr>
          <w:lang w:val="fr-FR"/>
        </w:rPr>
        <w:t>’</w:t>
      </w:r>
      <w:r w:rsidRPr="008B062D">
        <w:rPr>
          <w:lang w:val="fr-FR"/>
        </w:rPr>
        <w:t>un spectrophotomètre, conformément aux instructions énoncées dans la deuxième édition de l</w:t>
      </w:r>
      <w:r w:rsidR="00971BFE">
        <w:rPr>
          <w:lang w:val="fr-FR"/>
        </w:rPr>
        <w:t>’</w:t>
      </w:r>
      <w:r w:rsidRPr="008B062D">
        <w:rPr>
          <w:lang w:val="fr-FR"/>
        </w:rPr>
        <w:t>ouvrage Recommendations on Colorimetry (publication CIE 15:2004), dans des conditions d</w:t>
      </w:r>
      <w:r w:rsidR="00971BFE">
        <w:rPr>
          <w:lang w:val="fr-FR"/>
        </w:rPr>
        <w:t>’</w:t>
      </w:r>
      <w:r w:rsidRPr="008B062D">
        <w:rPr>
          <w:lang w:val="fr-FR"/>
        </w:rPr>
        <w:t>éclairement polychromatique, ou avec un monochromateur permettant de reproduire progressivement l</w:t>
      </w:r>
      <w:r w:rsidR="00971BFE">
        <w:rPr>
          <w:lang w:val="fr-FR"/>
        </w:rPr>
        <w:t>’</w:t>
      </w:r>
      <w:r w:rsidRPr="008B062D">
        <w:rPr>
          <w:lang w:val="fr-FR"/>
        </w:rPr>
        <w:t xml:space="preserve">illuminant normalisé D65 de la CIE (ISO 11664-2:2007(E)/CIE S 014-2/E:2006), sous un angle de 45° par rapport à la normale et en observant le long de la normale (géométrie 45/0). Dans le second cas, la résolution </w:t>
      </w:r>
      <w:r w:rsidRPr="008B062D">
        <w:rPr>
          <w:lang w:val="fr-FR"/>
        </w:rPr>
        <w:sym w:font="Symbol" w:char="F044"/>
      </w:r>
      <w:r w:rsidRPr="008B062D">
        <w:rPr>
          <w:lang w:val="fr-FR"/>
        </w:rPr>
        <w:t>λ obtenue progressivement ne doit pas être supérieure à 10 nm. Des illuminants comparables sont autorisés sous réserve que la méthode de mesure colorimétrique offre la précision requise, la qualité de la simulation de l</w:t>
      </w:r>
      <w:r w:rsidR="00971BFE">
        <w:rPr>
          <w:lang w:val="fr-FR"/>
        </w:rPr>
        <w:t>’</w:t>
      </w:r>
      <w:r w:rsidRPr="008B062D">
        <w:rPr>
          <w:lang w:val="fr-FR"/>
        </w:rPr>
        <w:t>illuminant D65 étant évaluée au moyen de la méthode décrite dans la norme ISO 23603:2005(E)/CIE S 012/E:2004. La distribution spectrale de l</w:t>
      </w:r>
      <w:r w:rsidR="00971BFE">
        <w:rPr>
          <w:lang w:val="fr-FR"/>
        </w:rPr>
        <w:t>’</w:t>
      </w:r>
      <w:r w:rsidRPr="008B062D">
        <w:rPr>
          <w:lang w:val="fr-FR"/>
        </w:rPr>
        <w:t>illuminant doit correspondre à la catégorie BC (modèle CIELAB) ou à une catégorie supérieure.</w:t>
      </w:r>
    </w:p>
    <w:p w:rsidR="00EB1041" w:rsidRPr="008B062D" w:rsidRDefault="00EB1041" w:rsidP="002A545A">
      <w:pPr>
        <w:pStyle w:val="SingleTxtG"/>
        <w:ind w:left="2268"/>
        <w:rPr>
          <w:bCs/>
          <w:lang w:val="fr-FR"/>
        </w:rPr>
      </w:pPr>
      <w:r w:rsidRPr="008B062D">
        <w:rPr>
          <w:bCs/>
          <w:lang w:val="fr-FR"/>
        </w:rPr>
        <w:t>L</w:t>
      </w:r>
      <w:r w:rsidR="00971BFE">
        <w:rPr>
          <w:bCs/>
          <w:lang w:val="fr-FR"/>
        </w:rPr>
        <w:t>’</w:t>
      </w:r>
      <w:r w:rsidRPr="008B062D">
        <w:rPr>
          <w:bCs/>
          <w:lang w:val="fr-FR"/>
        </w:rPr>
        <w:t>éclairage doit se faire sous un angle de 45° par rapport à la normale et</w:t>
      </w:r>
      <w:r w:rsidR="00FD343C">
        <w:rPr>
          <w:bCs/>
          <w:lang w:val="fr-FR"/>
        </w:rPr>
        <w:t> </w:t>
      </w:r>
      <w:r w:rsidRPr="008B062D">
        <w:rPr>
          <w:bCs/>
          <w:lang w:val="fr-FR"/>
        </w:rPr>
        <w:t>observé le long de la normale (géométrie 45/0).</w:t>
      </w:r>
    </w:p>
    <w:p w:rsidR="00EB1041" w:rsidRPr="008B062D" w:rsidRDefault="00EB1041" w:rsidP="002A545A">
      <w:pPr>
        <w:pStyle w:val="SingleTxtG"/>
        <w:keepNext/>
        <w:ind w:left="2268" w:hanging="1134"/>
        <w:jc w:val="left"/>
        <w:rPr>
          <w:lang w:val="fr-FR"/>
        </w:rPr>
      </w:pPr>
      <w:r w:rsidRPr="008B062D">
        <w:rPr>
          <w:lang w:val="fr-FR"/>
        </w:rPr>
        <w:t>2.2.2</w:t>
      </w:r>
      <w:r w:rsidRPr="008B062D">
        <w:rPr>
          <w:lang w:val="fr-FR"/>
        </w:rPr>
        <w:tab/>
        <w:t>Couleur de la matière fluorescente pour le triangl</w:t>
      </w:r>
      <w:r w:rsidR="002A545A">
        <w:rPr>
          <w:lang w:val="fr-FR"/>
        </w:rPr>
        <w:t>e de présignalisation</w:t>
      </w:r>
      <w:r w:rsidR="002A545A">
        <w:rPr>
          <w:lang w:val="fr-FR"/>
        </w:rPr>
        <w:br/>
      </w:r>
      <w:r w:rsidRPr="008B062D">
        <w:rPr>
          <w:lang w:val="fr-FR"/>
        </w:rPr>
        <w:t>de type 2</w:t>
      </w:r>
    </w:p>
    <w:p w:rsidR="00EB1041" w:rsidRPr="008B062D" w:rsidRDefault="00EB1041" w:rsidP="002A545A">
      <w:pPr>
        <w:pStyle w:val="SingleTxtG"/>
        <w:ind w:left="2268"/>
        <w:rPr>
          <w:rFonts w:eastAsia="MS Mincho"/>
          <w:lang w:val="fr-FR" w:eastAsia="ja-JP"/>
        </w:rPr>
      </w:pPr>
      <w:r w:rsidRPr="008B062D">
        <w:rPr>
          <w:bCs/>
          <w:lang w:val="fr-FR"/>
        </w:rPr>
        <w:tab/>
        <w:t>Les essais de la couleur des matériaux fluorescents doivent s</w:t>
      </w:r>
      <w:r w:rsidR="00971BFE">
        <w:rPr>
          <w:bCs/>
          <w:lang w:val="fr-FR"/>
        </w:rPr>
        <w:t>’</w:t>
      </w:r>
      <w:r w:rsidRPr="008B062D">
        <w:rPr>
          <w:bCs/>
          <w:lang w:val="fr-FR"/>
        </w:rPr>
        <w:t>effectuer en éclairant ces matériaux au moyen de l</w:t>
      </w:r>
      <w:r w:rsidR="00971BFE">
        <w:rPr>
          <w:bCs/>
          <w:lang w:val="fr-FR"/>
        </w:rPr>
        <w:t>’</w:t>
      </w:r>
      <w:r w:rsidRPr="008B062D">
        <w:rPr>
          <w:bCs/>
          <w:lang w:val="fr-FR"/>
        </w:rPr>
        <w:t>illuminant normalisé D65 de la CIE (</w:t>
      </w:r>
      <w:r w:rsidRPr="008B062D">
        <w:rPr>
          <w:lang w:val="fr-FR"/>
        </w:rPr>
        <w:t>ISO 11664-2:2007(E)/CIE S 014-2/E:2006</w:t>
      </w:r>
      <w:r w:rsidRPr="008B062D">
        <w:rPr>
          <w:bCs/>
          <w:lang w:val="fr-FR"/>
        </w:rPr>
        <w:t>). Les mesures doivent être prises à l</w:t>
      </w:r>
      <w:r w:rsidR="00971BFE">
        <w:rPr>
          <w:bCs/>
          <w:lang w:val="fr-FR"/>
        </w:rPr>
        <w:t>’</w:t>
      </w:r>
      <w:r w:rsidRPr="008B062D">
        <w:rPr>
          <w:bCs/>
          <w:lang w:val="fr-FR"/>
        </w:rPr>
        <w:t>aide d</w:t>
      </w:r>
      <w:r w:rsidR="00971BFE">
        <w:rPr>
          <w:bCs/>
          <w:lang w:val="fr-FR"/>
        </w:rPr>
        <w:t>’</w:t>
      </w:r>
      <w:r w:rsidRPr="008B062D">
        <w:rPr>
          <w:bCs/>
          <w:lang w:val="fr-FR"/>
        </w:rPr>
        <w:t>un spectrophotomètre, conformément aux instructions énoncées dans la deuxième édition de l</w:t>
      </w:r>
      <w:r w:rsidR="00971BFE">
        <w:rPr>
          <w:bCs/>
          <w:lang w:val="fr-FR"/>
        </w:rPr>
        <w:t>’</w:t>
      </w:r>
      <w:r w:rsidRPr="008B062D">
        <w:rPr>
          <w:bCs/>
          <w:lang w:val="fr-FR"/>
        </w:rPr>
        <w:t>ouvrage Recommendations on Colorimetry (publication CIE 15:2004), dans des conditions d</w:t>
      </w:r>
      <w:r w:rsidR="00971BFE">
        <w:rPr>
          <w:bCs/>
          <w:lang w:val="fr-FR"/>
        </w:rPr>
        <w:t>’</w:t>
      </w:r>
      <w:r w:rsidRPr="008B062D">
        <w:rPr>
          <w:bCs/>
          <w:lang w:val="fr-FR"/>
        </w:rPr>
        <w:t>éclairement polychromatique, ou avec un monochromateur permettant de reproduire progressivement l</w:t>
      </w:r>
      <w:r w:rsidR="00971BFE">
        <w:rPr>
          <w:bCs/>
          <w:lang w:val="fr-FR"/>
        </w:rPr>
        <w:t>’</w:t>
      </w:r>
      <w:r w:rsidRPr="008B062D">
        <w:rPr>
          <w:bCs/>
          <w:lang w:val="fr-FR"/>
        </w:rPr>
        <w:t>illuminant normalisé D65 de la CIE (</w:t>
      </w:r>
      <w:r w:rsidRPr="008B062D">
        <w:rPr>
          <w:lang w:val="fr-FR"/>
        </w:rPr>
        <w:t>ISO 11664-2:2007(E)/CIE S 014-2/E:2006</w:t>
      </w:r>
      <w:r w:rsidRPr="008B062D">
        <w:rPr>
          <w:bCs/>
          <w:lang w:val="fr-FR"/>
        </w:rPr>
        <w:t xml:space="preserve">). Dans le second cas, la résolution </w:t>
      </w:r>
      <w:r w:rsidRPr="008B062D">
        <w:rPr>
          <w:bCs/>
          <w:lang w:val="fr-FR"/>
        </w:rPr>
        <w:sym w:font="Symbol" w:char="F044"/>
      </w:r>
      <w:r w:rsidRPr="008B062D">
        <w:rPr>
          <w:bCs/>
          <w:lang w:val="fr-FR"/>
        </w:rPr>
        <w:t>λ obtenue progressivement ne doit pas être supérieure à 10 nm. Des illuminants comparables sont autorisés sous réserve que la méthode de mesure colorimétrique offre la précision requise, la qualité de la simulation de l</w:t>
      </w:r>
      <w:r w:rsidR="00971BFE">
        <w:rPr>
          <w:bCs/>
          <w:lang w:val="fr-FR"/>
        </w:rPr>
        <w:t>’</w:t>
      </w:r>
      <w:r w:rsidRPr="008B062D">
        <w:rPr>
          <w:bCs/>
          <w:lang w:val="fr-FR"/>
        </w:rPr>
        <w:t xml:space="preserve">illuminant D65 étant évaluée au moyen de la méthode décrite dans la norme </w:t>
      </w:r>
      <w:r w:rsidRPr="008B062D">
        <w:rPr>
          <w:lang w:val="fr-FR"/>
        </w:rPr>
        <w:t>ISO 23603:2005(E)/CIE S 012/E:2004. La distribution spectrale de l</w:t>
      </w:r>
      <w:r w:rsidR="00971BFE">
        <w:rPr>
          <w:lang w:val="fr-FR"/>
        </w:rPr>
        <w:t>’</w:t>
      </w:r>
      <w:r w:rsidRPr="008B062D">
        <w:rPr>
          <w:lang w:val="fr-FR"/>
        </w:rPr>
        <w:t>illuminant doit correspondre à la catégorie BC (modèle CIELAB) ou à une catégorie supérieure. L</w:t>
      </w:r>
      <w:r w:rsidR="00971BFE">
        <w:rPr>
          <w:lang w:val="fr-FR"/>
        </w:rPr>
        <w:t>’</w:t>
      </w:r>
      <w:r w:rsidRPr="008B062D">
        <w:rPr>
          <w:lang w:val="fr-FR"/>
        </w:rPr>
        <w:t>éclairage doit se faire suivant la circonférence à un angle de 45° par rapport à la normale et observé le long de la normale (géométrie annulaire 45/0) (géométrie circulaire/normale), comme il est décrit à l</w:t>
      </w:r>
      <w:r w:rsidR="00971BFE">
        <w:rPr>
          <w:lang w:val="fr-FR"/>
        </w:rPr>
        <w:t>’</w:t>
      </w:r>
      <w:r w:rsidRPr="008B062D">
        <w:rPr>
          <w:lang w:val="fr-FR"/>
        </w:rPr>
        <w:t xml:space="preserve">annexe 10 du présent Règlement. </w:t>
      </w:r>
    </w:p>
    <w:p w:rsidR="00EB1041" w:rsidRPr="008B062D" w:rsidRDefault="00EB1041" w:rsidP="00066FC9">
      <w:pPr>
        <w:pStyle w:val="SingleTxtG"/>
        <w:keepNext/>
        <w:ind w:left="2268" w:hanging="1134"/>
        <w:jc w:val="left"/>
        <w:rPr>
          <w:lang w:val="fr-FR" w:eastAsia="en-GB"/>
        </w:rPr>
      </w:pPr>
      <w:r w:rsidRPr="008B062D">
        <w:rPr>
          <w:lang w:val="fr-FR" w:eastAsia="en-GB"/>
        </w:rPr>
        <w:t xml:space="preserve">3. </w:t>
      </w:r>
      <w:r w:rsidRPr="008B062D">
        <w:rPr>
          <w:lang w:val="fr-FR" w:eastAsia="en-GB"/>
        </w:rPr>
        <w:tab/>
        <w:t>Détermination du facteur de luminance de la matière fluorescente</w:t>
      </w:r>
    </w:p>
    <w:p w:rsidR="00EB1041" w:rsidRPr="008B062D" w:rsidRDefault="00EB1041" w:rsidP="00FD343C">
      <w:pPr>
        <w:pStyle w:val="SingleTxtG"/>
        <w:keepNext/>
        <w:ind w:left="2268" w:hanging="1134"/>
        <w:jc w:val="left"/>
        <w:rPr>
          <w:lang w:val="fr-FR"/>
        </w:rPr>
      </w:pPr>
      <w:r w:rsidRPr="008B062D">
        <w:rPr>
          <w:lang w:val="fr-FR"/>
        </w:rPr>
        <w:t>3.1</w:t>
      </w:r>
      <w:r w:rsidRPr="008B062D">
        <w:rPr>
          <w:lang w:val="fr-FR"/>
        </w:rPr>
        <w:tab/>
        <w:t>Pour déterminer le facteur de luminance, l</w:t>
      </w:r>
      <w:r w:rsidR="00971BFE">
        <w:rPr>
          <w:lang w:val="fr-FR"/>
        </w:rPr>
        <w:t>’</w:t>
      </w:r>
      <w:r w:rsidRPr="008B062D">
        <w:rPr>
          <w:lang w:val="fr-FR"/>
        </w:rPr>
        <w:t>échantillon doit être soumis à</w:t>
      </w:r>
      <w:r w:rsidR="00066FC9">
        <w:rPr>
          <w:lang w:val="fr-FR"/>
        </w:rPr>
        <w:t> </w:t>
      </w:r>
      <w:r w:rsidRPr="008B062D">
        <w:rPr>
          <w:lang w:val="fr-FR"/>
        </w:rPr>
        <w:t>l</w:t>
      </w:r>
      <w:r w:rsidR="00971BFE">
        <w:rPr>
          <w:lang w:val="fr-FR"/>
        </w:rPr>
        <w:t>’</w:t>
      </w:r>
      <w:r w:rsidRPr="008B062D">
        <w:rPr>
          <w:lang w:val="fr-FR"/>
        </w:rPr>
        <w:t>essai pour le triangle de présignalisation de:</w:t>
      </w:r>
    </w:p>
    <w:p w:rsidR="00EB1041" w:rsidRPr="008B062D" w:rsidRDefault="00EB1041" w:rsidP="00066FC9">
      <w:pPr>
        <w:pStyle w:val="SingleTxtG"/>
        <w:ind w:left="2835" w:hanging="567"/>
        <w:rPr>
          <w:lang w:val="fr-FR"/>
        </w:rPr>
      </w:pPr>
      <w:r w:rsidRPr="008B062D">
        <w:rPr>
          <w:lang w:val="fr-FR"/>
        </w:rPr>
        <w:t>a)</w:t>
      </w:r>
      <w:r w:rsidRPr="008B062D">
        <w:rPr>
          <w:lang w:val="fr-FR"/>
        </w:rPr>
        <w:tab/>
        <w:t>Type 1 par la même méthode que celle qui est décrite au paragraphe</w:t>
      </w:r>
      <w:r w:rsidR="00066FC9">
        <w:rPr>
          <w:lang w:val="fr-FR"/>
        </w:rPr>
        <w:t> </w:t>
      </w:r>
      <w:r w:rsidRPr="008B062D">
        <w:rPr>
          <w:lang w:val="fr-FR"/>
        </w:rPr>
        <w:t>2.2.1 de la présente annexe; et</w:t>
      </w:r>
    </w:p>
    <w:p w:rsidR="00EB1041" w:rsidRPr="008B062D" w:rsidRDefault="00EB1041" w:rsidP="00066FC9">
      <w:pPr>
        <w:pStyle w:val="SingleTxtG"/>
        <w:ind w:left="2835" w:hanging="567"/>
        <w:rPr>
          <w:lang w:val="fr-FR"/>
        </w:rPr>
      </w:pPr>
      <w:r w:rsidRPr="008B062D">
        <w:rPr>
          <w:lang w:val="fr-FR"/>
        </w:rPr>
        <w:t>b)</w:t>
      </w:r>
      <w:r w:rsidRPr="008B062D">
        <w:rPr>
          <w:lang w:val="fr-FR"/>
        </w:rPr>
        <w:tab/>
        <w:t>Type 2 par la même méthode que celle qui est décrite au paragraphe</w:t>
      </w:r>
      <w:r w:rsidR="00066FC9">
        <w:rPr>
          <w:lang w:val="fr-FR"/>
        </w:rPr>
        <w:t> </w:t>
      </w:r>
      <w:r w:rsidRPr="008B062D">
        <w:rPr>
          <w:lang w:val="fr-FR"/>
        </w:rPr>
        <w:t>2.2.2 de la présente annexe.</w:t>
      </w:r>
    </w:p>
    <w:p w:rsidR="00EB1041" w:rsidRPr="008B062D" w:rsidRDefault="00EB1041" w:rsidP="00066FC9">
      <w:pPr>
        <w:pStyle w:val="SingleTxtG"/>
        <w:keepNext/>
        <w:ind w:left="2268" w:hanging="1134"/>
        <w:rPr>
          <w:lang w:val="fr-FR" w:eastAsia="en-GB"/>
        </w:rPr>
      </w:pPr>
      <w:r w:rsidRPr="008B062D">
        <w:rPr>
          <w:lang w:val="fr-FR" w:eastAsia="en-GB"/>
        </w:rPr>
        <w:t xml:space="preserve">3.1.1 </w:t>
      </w:r>
      <w:r w:rsidRPr="008B062D">
        <w:rPr>
          <w:lang w:val="fr-FR" w:eastAsia="en-GB"/>
        </w:rPr>
        <w:tab/>
        <w:t>En comparant la luminance L de l</w:t>
      </w:r>
      <w:r w:rsidR="00971BFE">
        <w:rPr>
          <w:lang w:val="fr-FR" w:eastAsia="en-GB"/>
        </w:rPr>
        <w:t>’</w:t>
      </w:r>
      <w:r w:rsidR="00066FC9">
        <w:rPr>
          <w:lang w:val="fr-FR" w:eastAsia="en-GB"/>
        </w:rPr>
        <w:t>échantillon avec la luminance </w:t>
      </w:r>
      <w:r w:rsidRPr="008B062D">
        <w:rPr>
          <w:lang w:val="fr-FR" w:eastAsia="en-GB"/>
        </w:rPr>
        <w:t>L</w:t>
      </w:r>
      <w:r w:rsidRPr="008B062D">
        <w:rPr>
          <w:sz w:val="12"/>
          <w:szCs w:val="12"/>
          <w:lang w:val="fr-FR" w:eastAsia="en-GB"/>
        </w:rPr>
        <w:t xml:space="preserve">o </w:t>
      </w:r>
      <w:r w:rsidRPr="008B062D">
        <w:rPr>
          <w:lang w:val="fr-FR" w:eastAsia="en-GB"/>
        </w:rPr>
        <w:t>d</w:t>
      </w:r>
      <w:r w:rsidR="00971BFE">
        <w:rPr>
          <w:lang w:val="fr-FR" w:eastAsia="en-GB"/>
        </w:rPr>
        <w:t>’</w:t>
      </w:r>
      <w:r w:rsidRPr="008B062D">
        <w:rPr>
          <w:lang w:val="fr-FR" w:eastAsia="en-GB"/>
        </w:rPr>
        <w:t xml:space="preserve">un diffuseur parfait ayant un facteur de luminance </w:t>
      </w:r>
      <w:r w:rsidRPr="008B062D">
        <w:rPr>
          <w:rFonts w:ascii="Symbol" w:hAnsi="Symbol" w:cs="Symbol"/>
          <w:lang w:val="fr-FR" w:eastAsia="en-GB"/>
        </w:rPr>
        <w:t></w:t>
      </w:r>
      <w:r w:rsidRPr="008B062D">
        <w:rPr>
          <w:sz w:val="12"/>
          <w:szCs w:val="12"/>
          <w:lang w:val="fr-FR" w:eastAsia="en-GB"/>
        </w:rPr>
        <w:t xml:space="preserve">o </w:t>
      </w:r>
      <w:r w:rsidRPr="008B062D">
        <w:rPr>
          <w:lang w:val="fr-FR" w:eastAsia="en-GB"/>
        </w:rPr>
        <w:t>connu dans des conditions identiques d</w:t>
      </w:r>
      <w:r w:rsidR="00971BFE">
        <w:rPr>
          <w:lang w:val="fr-FR" w:eastAsia="en-GB"/>
        </w:rPr>
        <w:t>’</w:t>
      </w:r>
      <w:r w:rsidRPr="008B062D">
        <w:rPr>
          <w:lang w:val="fr-FR" w:eastAsia="en-GB"/>
        </w:rPr>
        <w:t>éclairement et d</w:t>
      </w:r>
      <w:r w:rsidR="00971BFE">
        <w:rPr>
          <w:lang w:val="fr-FR" w:eastAsia="en-GB"/>
        </w:rPr>
        <w:t>’</w:t>
      </w:r>
      <w:r w:rsidRPr="008B062D">
        <w:rPr>
          <w:lang w:val="fr-FR" w:eastAsia="en-GB"/>
        </w:rPr>
        <w:t>obser</w:t>
      </w:r>
      <w:r w:rsidR="00066FC9">
        <w:rPr>
          <w:lang w:val="fr-FR" w:eastAsia="en-GB"/>
        </w:rPr>
        <w:t>vation; le facteur de luminance </w:t>
      </w:r>
      <w:r w:rsidRPr="008B062D">
        <w:rPr>
          <w:rFonts w:ascii="Symbol" w:hAnsi="Symbol" w:cs="Symbol"/>
          <w:lang w:val="fr-FR" w:eastAsia="en-GB"/>
        </w:rPr>
        <w:t></w:t>
      </w:r>
      <w:r w:rsidRPr="008B062D">
        <w:rPr>
          <w:rFonts w:ascii="Symbol" w:hAnsi="Symbol" w:cs="Symbol"/>
          <w:lang w:val="fr-FR" w:eastAsia="en-GB"/>
        </w:rPr>
        <w:t></w:t>
      </w:r>
      <w:r w:rsidRPr="008B062D">
        <w:rPr>
          <w:lang w:val="fr-FR" w:eastAsia="en-GB"/>
        </w:rPr>
        <w:t>de l</w:t>
      </w:r>
      <w:r w:rsidR="00971BFE">
        <w:rPr>
          <w:lang w:val="fr-FR" w:eastAsia="en-GB"/>
        </w:rPr>
        <w:t>’</w:t>
      </w:r>
      <w:r w:rsidRPr="008B062D">
        <w:rPr>
          <w:lang w:val="fr-FR" w:eastAsia="en-GB"/>
        </w:rPr>
        <w:t>échantillon est alors obtenu par la formule:</w:t>
      </w:r>
    </w:p>
    <w:p w:rsidR="00EB1041" w:rsidRPr="008B062D" w:rsidRDefault="00EB1041" w:rsidP="001E18D4">
      <w:pPr>
        <w:pStyle w:val="SingleTxtG"/>
        <w:ind w:left="2268"/>
        <w:rPr>
          <w:lang w:val="fr-FR" w:eastAsia="en-GB"/>
        </w:rPr>
      </w:pPr>
      <w:r w:rsidRPr="008B062D">
        <w:rPr>
          <w:lang w:val="fr-FR" w:eastAsia="en-GB"/>
        </w:rPr>
        <w:tab/>
      </w:r>
      <w:r w:rsidRPr="008B062D">
        <w:rPr>
          <w:position w:val="-26"/>
          <w:lang w:val="fr-FR" w:eastAsia="en-GB"/>
        </w:rPr>
        <w:object w:dxaOrig="940" w:dyaOrig="580">
          <v:shape id="_x0000_i1031" type="#_x0000_t75" style="width:47.25pt;height:29.25pt" o:ole="">
            <v:imagedata r:id="rId37" o:title=""/>
          </v:shape>
          <o:OLEObject Type="Embed" ProgID="Equation.3" ShapeID="_x0000_i1031" DrawAspect="Content" ObjectID="_1545491802" r:id="rId38"/>
        </w:object>
      </w:r>
    </w:p>
    <w:p w:rsidR="00EB1041" w:rsidRPr="008B062D" w:rsidRDefault="00EB1041" w:rsidP="00066FC9">
      <w:pPr>
        <w:pStyle w:val="SingleTxtG"/>
        <w:keepNext/>
        <w:ind w:left="2268" w:hanging="1134"/>
        <w:rPr>
          <w:lang w:val="fr-FR"/>
        </w:rPr>
      </w:pPr>
      <w:r w:rsidRPr="008B062D">
        <w:rPr>
          <w:lang w:val="fr-FR"/>
        </w:rPr>
        <w:t>3.1.2</w:t>
      </w:r>
      <w:r w:rsidRPr="008B062D">
        <w:rPr>
          <w:lang w:val="fr-FR"/>
        </w:rPr>
        <w:tab/>
        <w:t>Si la couleur de la matière fluorescente a fait l</w:t>
      </w:r>
      <w:r w:rsidR="00971BFE">
        <w:rPr>
          <w:lang w:val="fr-FR"/>
        </w:rPr>
        <w:t>’</w:t>
      </w:r>
      <w:r w:rsidRPr="008B062D">
        <w:rPr>
          <w:lang w:val="fr-FR"/>
        </w:rPr>
        <w:t>objet d</w:t>
      </w:r>
      <w:r w:rsidR="00971BFE">
        <w:rPr>
          <w:lang w:val="fr-FR"/>
        </w:rPr>
        <w:t>’</w:t>
      </w:r>
      <w:r w:rsidRPr="008B062D">
        <w:rPr>
          <w:lang w:val="fr-FR"/>
        </w:rPr>
        <w:t>une mesure colorimétr</w:t>
      </w:r>
      <w:r w:rsidR="00066FC9">
        <w:rPr>
          <w:lang w:val="fr-FR"/>
        </w:rPr>
        <w:t>ique conformément au paragraphe </w:t>
      </w:r>
      <w:r w:rsidRPr="008B062D">
        <w:rPr>
          <w:lang w:val="fr-FR"/>
        </w:rPr>
        <w:t>2.2 ci-dessus, le facteur de luminance est donné par le rapport entre la valeur Y de la composante trichromatique de l</w:t>
      </w:r>
      <w:r w:rsidR="00971BFE">
        <w:rPr>
          <w:lang w:val="fr-FR"/>
        </w:rPr>
        <w:t>’</w:t>
      </w:r>
      <w:r w:rsidRPr="008B062D">
        <w:rPr>
          <w:lang w:val="fr-FR"/>
        </w:rPr>
        <w:t>échantillon et la valeur Y</w:t>
      </w:r>
      <w:r w:rsidRPr="008B062D">
        <w:rPr>
          <w:vertAlign w:val="subscript"/>
          <w:lang w:val="fr-FR"/>
        </w:rPr>
        <w:t xml:space="preserve">o </w:t>
      </w:r>
      <w:r w:rsidRPr="008B062D">
        <w:rPr>
          <w:lang w:val="fr-FR"/>
        </w:rPr>
        <w:t>de la composante trichromatique du diffuseur parfait; dans ce cas:</w:t>
      </w:r>
    </w:p>
    <w:p w:rsidR="00EB1041" w:rsidRPr="008B062D" w:rsidRDefault="00EB1041" w:rsidP="001E18D4">
      <w:pPr>
        <w:pStyle w:val="SingleTxtG"/>
        <w:ind w:left="2268"/>
        <w:rPr>
          <w:position w:val="-30"/>
          <w:lang w:val="fr-FR"/>
        </w:rPr>
      </w:pPr>
      <w:r w:rsidRPr="008B062D">
        <w:rPr>
          <w:position w:val="-26"/>
          <w:lang w:val="fr-FR"/>
        </w:rPr>
        <w:object w:dxaOrig="639" w:dyaOrig="580">
          <v:shape id="_x0000_i1032" type="#_x0000_t75" style="width:30.75pt;height:30pt" o:ole="">
            <v:imagedata r:id="rId39" o:title=""/>
          </v:shape>
          <o:OLEObject Type="Embed" ProgID="Equation.3" ShapeID="_x0000_i1032" DrawAspect="Content" ObjectID="_1545491803" r:id="rId40"/>
        </w:object>
      </w:r>
    </w:p>
    <w:p w:rsidR="00EB1041" w:rsidRPr="008B062D" w:rsidRDefault="00066FC9" w:rsidP="00066FC9">
      <w:pPr>
        <w:pStyle w:val="SingleTxtG"/>
        <w:keepNext/>
        <w:ind w:left="2268" w:hanging="1134"/>
        <w:jc w:val="left"/>
        <w:rPr>
          <w:lang w:val="fr-FR" w:eastAsia="en-GB"/>
        </w:rPr>
      </w:pPr>
      <w:r>
        <w:rPr>
          <w:lang w:val="fr-FR" w:eastAsia="en-GB"/>
        </w:rPr>
        <w:t>4.</w:t>
      </w:r>
      <w:r w:rsidR="00EB1041" w:rsidRPr="008B062D">
        <w:rPr>
          <w:lang w:val="fr-FR" w:eastAsia="en-GB"/>
        </w:rPr>
        <w:tab/>
        <w:t>Mesure de la valeur du CIL des dispositifs catadioptriques</w:t>
      </w:r>
    </w:p>
    <w:p w:rsidR="00EB1041" w:rsidRPr="008B062D" w:rsidRDefault="00EB1041" w:rsidP="00F82E83">
      <w:pPr>
        <w:pStyle w:val="SingleTxtG"/>
        <w:ind w:left="2268" w:hanging="1134"/>
        <w:rPr>
          <w:lang w:val="fr-FR" w:eastAsia="en-GB"/>
        </w:rPr>
      </w:pPr>
      <w:r w:rsidRPr="008B062D">
        <w:rPr>
          <w:lang w:val="fr-FR" w:eastAsia="en-GB"/>
        </w:rPr>
        <w:t>4.1</w:t>
      </w:r>
      <w:r w:rsidRPr="008B062D">
        <w:rPr>
          <w:lang w:val="fr-FR" w:eastAsia="en-GB"/>
        </w:rPr>
        <w:tab/>
        <w:t>On suppose pour cette mesure que l</w:t>
      </w:r>
      <w:r w:rsidR="00971BFE">
        <w:rPr>
          <w:lang w:val="fr-FR" w:eastAsia="en-GB"/>
        </w:rPr>
        <w:t>’</w:t>
      </w:r>
      <w:r w:rsidR="00066FC9">
        <w:rPr>
          <w:lang w:val="fr-FR" w:eastAsia="en-GB"/>
        </w:rPr>
        <w:t>éclairement H = V = </w:t>
      </w:r>
      <w:r w:rsidRPr="008B062D">
        <w:rPr>
          <w:rFonts w:ascii="Symbol" w:hAnsi="Symbol" w:cs="Symbol"/>
          <w:lang w:val="fr-FR" w:eastAsia="en-GB"/>
        </w:rPr>
        <w:t></w:t>
      </w:r>
      <w:r w:rsidRPr="008B062D">
        <w:rPr>
          <w:rFonts w:ascii="Symbol" w:hAnsi="Symbol" w:cs="Symbol"/>
          <w:lang w:val="fr-FR" w:eastAsia="en-GB"/>
        </w:rPr>
        <w:t></w:t>
      </w:r>
      <w:r w:rsidRPr="008B062D">
        <w:rPr>
          <w:lang w:val="fr-FR" w:eastAsia="en-GB"/>
        </w:rPr>
        <w:t>du triangle de présignalisation dans sa position d</w:t>
      </w:r>
      <w:r w:rsidR="00971BFE">
        <w:rPr>
          <w:lang w:val="fr-FR" w:eastAsia="en-GB"/>
        </w:rPr>
        <w:t>’</w:t>
      </w:r>
      <w:r w:rsidRPr="008B062D">
        <w:rPr>
          <w:lang w:val="fr-FR" w:eastAsia="en-GB"/>
        </w:rPr>
        <w:t>utilisation a une direction parallèle au plan de base et perpendiculaire au côté inférieur du triangle, lequel est à son tour parallèle audit plan de base.</w:t>
      </w:r>
    </w:p>
    <w:p w:rsidR="00EB1041" w:rsidRPr="008B062D" w:rsidRDefault="00EB1041" w:rsidP="00F82E83">
      <w:pPr>
        <w:pStyle w:val="SingleTxtG"/>
        <w:ind w:left="2268" w:hanging="1134"/>
        <w:rPr>
          <w:lang w:val="fr-FR" w:eastAsia="en-GB"/>
        </w:rPr>
      </w:pPr>
      <w:r w:rsidRPr="008B062D">
        <w:rPr>
          <w:lang w:val="fr-FR" w:eastAsia="en-GB"/>
        </w:rPr>
        <w:t xml:space="preserve">4.2 </w:t>
      </w:r>
      <w:r w:rsidRPr="008B062D">
        <w:rPr>
          <w:lang w:val="fr-FR" w:eastAsia="en-GB"/>
        </w:rPr>
        <w:tab/>
        <w:t>La mesure est exécutée par la méthode exposée à l</w:t>
      </w:r>
      <w:r w:rsidR="00971BFE">
        <w:rPr>
          <w:lang w:val="fr-FR" w:eastAsia="en-GB"/>
        </w:rPr>
        <w:t>’</w:t>
      </w:r>
      <w:r w:rsidRPr="008B062D">
        <w:rPr>
          <w:lang w:val="fr-FR" w:eastAsia="en-GB"/>
        </w:rPr>
        <w:t>annexe</w:t>
      </w:r>
      <w:r w:rsidR="00066FC9">
        <w:rPr>
          <w:lang w:val="fr-FR" w:eastAsia="en-GB"/>
        </w:rPr>
        <w:t> </w:t>
      </w:r>
      <w:r w:rsidRPr="008B062D">
        <w:rPr>
          <w:lang w:val="fr-FR" w:eastAsia="en-GB"/>
        </w:rPr>
        <w:t>6 du présent Règlement.</w:t>
      </w:r>
    </w:p>
    <w:p w:rsidR="00EB1041" w:rsidRPr="008B062D" w:rsidRDefault="00EB1041" w:rsidP="00066FC9">
      <w:pPr>
        <w:pStyle w:val="SingleTxtG"/>
        <w:keepNext/>
        <w:ind w:left="2268" w:hanging="1134"/>
        <w:jc w:val="left"/>
        <w:rPr>
          <w:lang w:val="fr-FR" w:eastAsia="en-GB"/>
        </w:rPr>
      </w:pPr>
      <w:r w:rsidRPr="008B062D">
        <w:rPr>
          <w:lang w:val="fr-FR" w:eastAsia="en-GB"/>
        </w:rPr>
        <w:t xml:space="preserve">5. </w:t>
      </w:r>
      <w:r w:rsidRPr="008B062D">
        <w:rPr>
          <w:lang w:val="fr-FR" w:eastAsia="en-GB"/>
        </w:rPr>
        <w:tab/>
        <w:t>Essai de dégagement au sol</w:t>
      </w:r>
    </w:p>
    <w:p w:rsidR="00EB1041" w:rsidRPr="008B062D" w:rsidRDefault="00EB1041" w:rsidP="00FD343C">
      <w:pPr>
        <w:pStyle w:val="SingleTxtG"/>
        <w:keepNext/>
        <w:ind w:left="2268" w:hanging="1134"/>
        <w:jc w:val="left"/>
        <w:rPr>
          <w:lang w:val="fr-FR" w:eastAsia="en-GB"/>
        </w:rPr>
      </w:pPr>
      <w:r w:rsidRPr="008B062D">
        <w:rPr>
          <w:lang w:val="fr-FR" w:eastAsia="en-GB"/>
        </w:rPr>
        <w:t>5.1</w:t>
      </w:r>
      <w:r w:rsidRPr="008B062D">
        <w:rPr>
          <w:lang w:val="fr-FR" w:eastAsia="en-GB"/>
        </w:rPr>
        <w:tab/>
        <w:t>Le triangle de présignalisation doit satisfaire aux essais suivants:</w:t>
      </w:r>
    </w:p>
    <w:p w:rsidR="00EB1041" w:rsidRPr="008B062D" w:rsidRDefault="00EB1041" w:rsidP="00F82E83">
      <w:pPr>
        <w:pStyle w:val="SingleTxtG"/>
        <w:ind w:left="2268" w:hanging="1134"/>
        <w:rPr>
          <w:lang w:val="fr-FR" w:eastAsia="en-GB"/>
        </w:rPr>
      </w:pPr>
      <w:r w:rsidRPr="008B062D">
        <w:rPr>
          <w:lang w:val="fr-FR" w:eastAsia="en-GB"/>
        </w:rPr>
        <w:t>5.1.1</w:t>
      </w:r>
      <w:r w:rsidRPr="008B062D">
        <w:rPr>
          <w:lang w:val="fr-FR" w:eastAsia="en-GB"/>
        </w:rPr>
        <w:tab/>
        <w:t>Pour cet essai, on utilise l</w:t>
      </w:r>
      <w:r w:rsidR="00971BFE">
        <w:rPr>
          <w:lang w:val="fr-FR" w:eastAsia="en-GB"/>
        </w:rPr>
        <w:t>’</w:t>
      </w:r>
      <w:r w:rsidRPr="008B062D">
        <w:rPr>
          <w:lang w:val="fr-FR" w:eastAsia="en-GB"/>
        </w:rPr>
        <w:t>appareil représenté sur la figure 2 de l</w:t>
      </w:r>
      <w:r w:rsidR="00971BFE">
        <w:rPr>
          <w:lang w:val="fr-FR" w:eastAsia="en-GB"/>
        </w:rPr>
        <w:t>’</w:t>
      </w:r>
      <w:r w:rsidRPr="008B062D">
        <w:rPr>
          <w:lang w:val="fr-FR" w:eastAsia="en-GB"/>
        </w:rPr>
        <w:t>annexe 3 du présent Règlement, ayant la forme d</w:t>
      </w:r>
      <w:r w:rsidR="00971BFE">
        <w:rPr>
          <w:lang w:val="fr-FR" w:eastAsia="en-GB"/>
        </w:rPr>
        <w:t>’</w:t>
      </w:r>
      <w:r w:rsidRPr="008B062D">
        <w:rPr>
          <w:lang w:val="fr-FR" w:eastAsia="en-GB"/>
        </w:rPr>
        <w:t>une pyramide creuse renversée, que l</w:t>
      </w:r>
      <w:r w:rsidR="00971BFE">
        <w:rPr>
          <w:lang w:val="fr-FR" w:eastAsia="en-GB"/>
        </w:rPr>
        <w:t>’</w:t>
      </w:r>
      <w:r w:rsidRPr="008B062D">
        <w:rPr>
          <w:lang w:val="fr-FR" w:eastAsia="en-GB"/>
        </w:rPr>
        <w:t>on place sur un plan de base horizontal.</w:t>
      </w:r>
    </w:p>
    <w:p w:rsidR="00EB1041" w:rsidRPr="008B062D" w:rsidRDefault="00EB1041" w:rsidP="00F82E83">
      <w:pPr>
        <w:pStyle w:val="SingleTxtG"/>
        <w:ind w:left="2268" w:hanging="1134"/>
        <w:rPr>
          <w:lang w:val="fr-FR" w:eastAsia="en-GB"/>
        </w:rPr>
      </w:pPr>
      <w:r w:rsidRPr="008B062D">
        <w:rPr>
          <w:lang w:val="fr-FR" w:eastAsia="en-GB"/>
        </w:rPr>
        <w:t>5.1.2</w:t>
      </w:r>
      <w:r w:rsidRPr="008B062D">
        <w:rPr>
          <w:lang w:val="fr-FR" w:eastAsia="en-GB"/>
        </w:rPr>
        <w:tab/>
        <w:t>Les différents points d</w:t>
      </w:r>
      <w:r w:rsidR="00971BFE">
        <w:rPr>
          <w:lang w:val="fr-FR" w:eastAsia="en-GB"/>
        </w:rPr>
        <w:t>’</w:t>
      </w:r>
      <w:r w:rsidRPr="008B062D">
        <w:rPr>
          <w:lang w:val="fr-FR" w:eastAsia="en-GB"/>
        </w:rPr>
        <w:t xml:space="preserve">appui du triangle sur le sol sont </w:t>
      </w:r>
      <w:r w:rsidR="009D1F14">
        <w:rPr>
          <w:lang w:val="fr-FR" w:eastAsia="en-GB"/>
        </w:rPr>
        <w:t>successivement placés au centre </w:t>
      </w:r>
      <w:r w:rsidRPr="008B062D">
        <w:rPr>
          <w:rFonts w:ascii="Symbol" w:hAnsi="Symbol" w:cs="Symbol"/>
          <w:lang w:val="fr-FR" w:eastAsia="en-GB"/>
        </w:rPr>
        <w:t></w:t>
      </w:r>
      <w:r w:rsidRPr="008B062D">
        <w:rPr>
          <w:lang w:val="fr-FR" w:eastAsia="en-GB"/>
        </w:rPr>
        <w:t xml:space="preserve"> de l</w:t>
      </w:r>
      <w:r w:rsidR="00971BFE">
        <w:rPr>
          <w:lang w:val="fr-FR" w:eastAsia="en-GB"/>
        </w:rPr>
        <w:t>’</w:t>
      </w:r>
      <w:r w:rsidRPr="008B062D">
        <w:rPr>
          <w:lang w:val="fr-FR" w:eastAsia="en-GB"/>
        </w:rPr>
        <w:t>appareil d</w:t>
      </w:r>
      <w:r w:rsidR="00971BFE">
        <w:rPr>
          <w:lang w:val="fr-FR" w:eastAsia="en-GB"/>
        </w:rPr>
        <w:t>’</w:t>
      </w:r>
      <w:r w:rsidRPr="008B062D">
        <w:rPr>
          <w:lang w:val="fr-FR" w:eastAsia="en-GB"/>
        </w:rPr>
        <w:t>essai. Pendant l</w:t>
      </w:r>
      <w:r w:rsidR="00971BFE">
        <w:rPr>
          <w:lang w:val="fr-FR" w:eastAsia="en-GB"/>
        </w:rPr>
        <w:t>’</w:t>
      </w:r>
      <w:r w:rsidRPr="008B062D">
        <w:rPr>
          <w:lang w:val="fr-FR" w:eastAsia="en-GB"/>
        </w:rPr>
        <w:t>essai de chaque point d</w:t>
      </w:r>
      <w:r w:rsidR="00971BFE">
        <w:rPr>
          <w:lang w:val="fr-FR" w:eastAsia="en-GB"/>
        </w:rPr>
        <w:t>’</w:t>
      </w:r>
      <w:r w:rsidRPr="008B062D">
        <w:rPr>
          <w:lang w:val="fr-FR" w:eastAsia="en-GB"/>
        </w:rPr>
        <w:t>appui, il</w:t>
      </w:r>
      <w:r w:rsidR="009D1F14">
        <w:rPr>
          <w:lang w:val="fr-FR" w:eastAsia="en-GB"/>
        </w:rPr>
        <w:t> </w:t>
      </w:r>
      <w:r w:rsidRPr="008B062D">
        <w:rPr>
          <w:lang w:val="fr-FR" w:eastAsia="en-GB"/>
        </w:rPr>
        <w:t>faut pouvoir trouver une position de l</w:t>
      </w:r>
      <w:r w:rsidR="00971BFE">
        <w:rPr>
          <w:lang w:val="fr-FR" w:eastAsia="en-GB"/>
        </w:rPr>
        <w:t>’</w:t>
      </w:r>
      <w:r w:rsidRPr="008B062D">
        <w:rPr>
          <w:lang w:val="fr-FR" w:eastAsia="en-GB"/>
        </w:rPr>
        <w:t>appareil d</w:t>
      </w:r>
      <w:r w:rsidR="00971BFE">
        <w:rPr>
          <w:lang w:val="fr-FR" w:eastAsia="en-GB"/>
        </w:rPr>
        <w:t>’</w:t>
      </w:r>
      <w:r w:rsidRPr="008B062D">
        <w:rPr>
          <w:lang w:val="fr-FR" w:eastAsia="en-GB"/>
        </w:rPr>
        <w:t>essai relative au triangle de présignalisation et de son support, qui soit favorable au triangle et qui assure:</w:t>
      </w:r>
    </w:p>
    <w:p w:rsidR="00EB1041" w:rsidRPr="008B062D" w:rsidRDefault="00EB1041" w:rsidP="00F82E83">
      <w:pPr>
        <w:pStyle w:val="SingleTxtG"/>
        <w:ind w:left="2268" w:hanging="1134"/>
        <w:rPr>
          <w:lang w:val="fr-FR" w:eastAsia="en-GB"/>
        </w:rPr>
      </w:pPr>
      <w:r w:rsidRPr="008B062D">
        <w:rPr>
          <w:lang w:val="fr-FR" w:eastAsia="en-GB"/>
        </w:rPr>
        <w:t>5.1.2.1</w:t>
      </w:r>
      <w:r w:rsidRPr="008B062D">
        <w:rPr>
          <w:lang w:val="fr-FR" w:eastAsia="en-GB"/>
        </w:rPr>
        <w:tab/>
      </w:r>
      <w:r w:rsidR="009D1F14">
        <w:rPr>
          <w:lang w:val="fr-FR" w:eastAsia="en-GB"/>
        </w:rPr>
        <w:t>Q</w:t>
      </w:r>
      <w:r w:rsidRPr="008B062D">
        <w:rPr>
          <w:lang w:val="fr-FR" w:eastAsia="en-GB"/>
        </w:rPr>
        <w:t>ue tous les appuis reposent simultanément sur le plan de base,</w:t>
      </w:r>
    </w:p>
    <w:p w:rsidR="00EB1041" w:rsidRPr="008B062D" w:rsidRDefault="00EB1041" w:rsidP="00F82E83">
      <w:pPr>
        <w:pStyle w:val="SingleTxtG"/>
        <w:ind w:left="2268" w:hanging="1134"/>
        <w:rPr>
          <w:lang w:val="fr-FR" w:eastAsia="en-GB"/>
        </w:rPr>
      </w:pPr>
      <w:r w:rsidRPr="008B062D">
        <w:rPr>
          <w:lang w:val="fr-FR" w:eastAsia="en-GB"/>
        </w:rPr>
        <w:t>5.1.2.2</w:t>
      </w:r>
      <w:r w:rsidRPr="008B062D">
        <w:rPr>
          <w:lang w:val="fr-FR" w:eastAsia="en-GB"/>
        </w:rPr>
        <w:tab/>
      </w:r>
      <w:r w:rsidR="009D1F14">
        <w:rPr>
          <w:lang w:val="fr-FR" w:eastAsia="en-GB"/>
        </w:rPr>
        <w:t>Q</w:t>
      </w:r>
      <w:r w:rsidRPr="008B062D">
        <w:rPr>
          <w:lang w:val="fr-FR" w:eastAsia="en-GB"/>
        </w:rPr>
        <w:t>u</w:t>
      </w:r>
      <w:r w:rsidR="00971BFE">
        <w:rPr>
          <w:lang w:val="fr-FR" w:eastAsia="en-GB"/>
        </w:rPr>
        <w:t>’</w:t>
      </w:r>
      <w:r w:rsidRPr="008B062D">
        <w:rPr>
          <w:lang w:val="fr-FR" w:eastAsia="en-GB"/>
        </w:rPr>
        <w:t>à l</w:t>
      </w:r>
      <w:r w:rsidR="00971BFE">
        <w:rPr>
          <w:lang w:val="fr-FR" w:eastAsia="en-GB"/>
        </w:rPr>
        <w:t>’</w:t>
      </w:r>
      <w:r w:rsidRPr="008B062D">
        <w:rPr>
          <w:lang w:val="fr-FR" w:eastAsia="en-GB"/>
        </w:rPr>
        <w:t>extérieur de la surface couverte par l</w:t>
      </w:r>
      <w:r w:rsidR="00971BFE">
        <w:rPr>
          <w:lang w:val="fr-FR" w:eastAsia="en-GB"/>
        </w:rPr>
        <w:t>’</w:t>
      </w:r>
      <w:r w:rsidRPr="008B062D">
        <w:rPr>
          <w:lang w:val="fr-FR" w:eastAsia="en-GB"/>
        </w:rPr>
        <w:t>appareil d</w:t>
      </w:r>
      <w:r w:rsidR="00971BFE">
        <w:rPr>
          <w:lang w:val="fr-FR" w:eastAsia="en-GB"/>
        </w:rPr>
        <w:t>’</w:t>
      </w:r>
      <w:r w:rsidRPr="008B062D">
        <w:rPr>
          <w:lang w:val="fr-FR" w:eastAsia="en-GB"/>
        </w:rPr>
        <w:t>essai, la distance entre le plan de base et les parties du triangle ou du s</w:t>
      </w:r>
      <w:r w:rsidR="009D1F14">
        <w:rPr>
          <w:lang w:val="fr-FR" w:eastAsia="en-GB"/>
        </w:rPr>
        <w:t>upport soit au moins égale à 50 </w:t>
      </w:r>
      <w:r w:rsidRPr="008B062D">
        <w:rPr>
          <w:lang w:val="fr-FR" w:eastAsia="en-GB"/>
        </w:rPr>
        <w:t>mm (à l</w:t>
      </w:r>
      <w:r w:rsidR="00971BFE">
        <w:rPr>
          <w:lang w:val="fr-FR" w:eastAsia="en-GB"/>
        </w:rPr>
        <w:t>’</w:t>
      </w:r>
      <w:r w:rsidRPr="008B062D">
        <w:rPr>
          <w:lang w:val="fr-FR" w:eastAsia="en-GB"/>
        </w:rPr>
        <w:t>exception des appuis proprement dits).</w:t>
      </w:r>
    </w:p>
    <w:p w:rsidR="00EB1041" w:rsidRPr="008B062D" w:rsidRDefault="00EB1041" w:rsidP="00066FC9">
      <w:pPr>
        <w:pStyle w:val="SingleTxtG"/>
        <w:keepNext/>
        <w:ind w:left="2268" w:hanging="1134"/>
        <w:jc w:val="left"/>
        <w:rPr>
          <w:lang w:val="fr-FR" w:eastAsia="en-GB"/>
        </w:rPr>
      </w:pPr>
      <w:r w:rsidRPr="008B062D">
        <w:rPr>
          <w:lang w:val="fr-FR" w:eastAsia="en-GB"/>
        </w:rPr>
        <w:t xml:space="preserve">6. </w:t>
      </w:r>
      <w:r w:rsidRPr="008B062D">
        <w:rPr>
          <w:lang w:val="fr-FR" w:eastAsia="en-GB"/>
        </w:rPr>
        <w:tab/>
        <w:t>Essai de résistance mécanique</w:t>
      </w:r>
    </w:p>
    <w:p w:rsidR="00EB1041" w:rsidRPr="008B062D" w:rsidRDefault="00EB1041" w:rsidP="00F82E83">
      <w:pPr>
        <w:pStyle w:val="SingleTxtG"/>
        <w:ind w:left="2268" w:hanging="1134"/>
        <w:rPr>
          <w:lang w:val="fr-FR" w:eastAsia="en-GB"/>
        </w:rPr>
      </w:pPr>
      <w:r w:rsidRPr="008B062D">
        <w:rPr>
          <w:lang w:val="fr-FR" w:eastAsia="en-GB"/>
        </w:rPr>
        <w:t xml:space="preserve">6.1 </w:t>
      </w:r>
      <w:r w:rsidRPr="008B062D">
        <w:rPr>
          <w:lang w:val="fr-FR" w:eastAsia="en-GB"/>
        </w:rPr>
        <w:tab/>
        <w:t>Le triangle de présignalisation étant installé conformément aux prescriptions du fabricant et ses bases étant solidement tenues, on exerce sur le sommet du triangle, parallèlement à la surface d</w:t>
      </w:r>
      <w:r w:rsidR="00971BFE">
        <w:rPr>
          <w:lang w:val="fr-FR" w:eastAsia="en-GB"/>
        </w:rPr>
        <w:t>’</w:t>
      </w:r>
      <w:r w:rsidRPr="008B062D">
        <w:rPr>
          <w:lang w:val="fr-FR" w:eastAsia="en-GB"/>
        </w:rPr>
        <w:t>appui et perpendiculairement au côté inférieur du triangle, une force de 2 N.</w:t>
      </w:r>
    </w:p>
    <w:p w:rsidR="00EB1041" w:rsidRPr="008B062D" w:rsidRDefault="00EB1041" w:rsidP="00F82E83">
      <w:pPr>
        <w:pStyle w:val="SingleTxtG"/>
        <w:ind w:left="2268" w:hanging="1134"/>
        <w:rPr>
          <w:lang w:val="fr-FR" w:eastAsia="en-GB"/>
        </w:rPr>
      </w:pPr>
      <w:r w:rsidRPr="008B062D">
        <w:rPr>
          <w:lang w:val="fr-FR" w:eastAsia="en-GB"/>
        </w:rPr>
        <w:t>6.2</w:t>
      </w:r>
      <w:r w:rsidRPr="008B062D">
        <w:rPr>
          <w:lang w:val="fr-FR" w:eastAsia="en-GB"/>
        </w:rPr>
        <w:tab/>
        <w:t>Le sommet du triangle ne doit pas se déplacer dans la direction de la force de plus de 5 cm.</w:t>
      </w:r>
    </w:p>
    <w:p w:rsidR="00EB1041" w:rsidRPr="008B062D" w:rsidRDefault="00EB1041" w:rsidP="00F82E83">
      <w:pPr>
        <w:pStyle w:val="SingleTxtG"/>
        <w:ind w:left="2268" w:hanging="1134"/>
        <w:rPr>
          <w:lang w:val="fr-FR" w:eastAsia="en-GB"/>
        </w:rPr>
      </w:pPr>
      <w:r w:rsidRPr="008B062D">
        <w:rPr>
          <w:lang w:val="fr-FR" w:eastAsia="en-GB"/>
        </w:rPr>
        <w:t xml:space="preserve">6.3 </w:t>
      </w:r>
      <w:r w:rsidRPr="008B062D">
        <w:rPr>
          <w:lang w:val="fr-FR" w:eastAsia="en-GB"/>
        </w:rPr>
        <w:tab/>
        <w:t>Après l</w:t>
      </w:r>
      <w:r w:rsidR="00971BFE">
        <w:rPr>
          <w:lang w:val="fr-FR" w:eastAsia="en-GB"/>
        </w:rPr>
        <w:t>’</w:t>
      </w:r>
      <w:r w:rsidRPr="008B062D">
        <w:rPr>
          <w:lang w:val="fr-FR" w:eastAsia="en-GB"/>
        </w:rPr>
        <w:t>essai, la position du dispositif ne doit pas s</w:t>
      </w:r>
      <w:r w:rsidR="00971BFE">
        <w:rPr>
          <w:lang w:val="fr-FR" w:eastAsia="en-GB"/>
        </w:rPr>
        <w:t>’</w:t>
      </w:r>
      <w:r w:rsidRPr="008B062D">
        <w:rPr>
          <w:lang w:val="fr-FR" w:eastAsia="en-GB"/>
        </w:rPr>
        <w:t>être écartée sensiblement de la position d</w:t>
      </w:r>
      <w:r w:rsidR="00971BFE">
        <w:rPr>
          <w:lang w:val="fr-FR" w:eastAsia="en-GB"/>
        </w:rPr>
        <w:t>’</w:t>
      </w:r>
      <w:r w:rsidRPr="008B062D">
        <w:rPr>
          <w:lang w:val="fr-FR" w:eastAsia="en-GB"/>
        </w:rPr>
        <w:t>origine.</w:t>
      </w:r>
    </w:p>
    <w:p w:rsidR="00EB1041" w:rsidRPr="008B062D" w:rsidRDefault="00EB1041" w:rsidP="00066FC9">
      <w:pPr>
        <w:pStyle w:val="SingleTxtG"/>
        <w:keepNext/>
        <w:ind w:left="2268" w:hanging="1134"/>
        <w:jc w:val="left"/>
        <w:rPr>
          <w:lang w:val="fr-FR" w:eastAsia="en-GB"/>
        </w:rPr>
      </w:pPr>
      <w:r w:rsidRPr="008B062D">
        <w:rPr>
          <w:lang w:val="fr-FR" w:eastAsia="en-GB"/>
        </w:rPr>
        <w:t xml:space="preserve">7. </w:t>
      </w:r>
      <w:r w:rsidRPr="008B062D">
        <w:rPr>
          <w:lang w:val="fr-FR" w:eastAsia="en-GB"/>
        </w:rPr>
        <w:tab/>
        <w:t>Essai de résistance à la chaleur et aux basses températures</w:t>
      </w:r>
    </w:p>
    <w:p w:rsidR="00EB1041" w:rsidRPr="008B062D" w:rsidRDefault="00EB1041" w:rsidP="00F82E83">
      <w:pPr>
        <w:pStyle w:val="SingleTxtG"/>
        <w:ind w:left="2268" w:hanging="1134"/>
        <w:rPr>
          <w:lang w:val="fr-FR" w:eastAsia="en-GB"/>
        </w:rPr>
      </w:pPr>
      <w:r w:rsidRPr="008B062D">
        <w:rPr>
          <w:lang w:val="fr-FR" w:eastAsia="en-GB"/>
        </w:rPr>
        <w:t xml:space="preserve">7.1 </w:t>
      </w:r>
      <w:r w:rsidRPr="008B062D">
        <w:rPr>
          <w:lang w:val="fr-FR" w:eastAsia="en-GB"/>
        </w:rPr>
        <w:tab/>
        <w:t>Le triangle de présignalisation, placé dans son étui de protection, s</w:t>
      </w:r>
      <w:r w:rsidR="00971BFE">
        <w:rPr>
          <w:lang w:val="fr-FR" w:eastAsia="en-GB"/>
        </w:rPr>
        <w:t>’</w:t>
      </w:r>
      <w:r w:rsidRPr="008B062D">
        <w:rPr>
          <w:lang w:val="fr-FR" w:eastAsia="en-GB"/>
        </w:rPr>
        <w:t xml:space="preserve">il y en a un, est maintenu pendant 12 heures consécutives dans une atmosphère sèche à la température de 60 °C </w:t>
      </w:r>
      <w:r w:rsidR="00FD343C">
        <w:rPr>
          <w:sz w:val="18"/>
          <w:szCs w:val="18"/>
        </w:rPr>
        <w:sym w:font="Symbol" w:char="F0B1"/>
      </w:r>
      <w:r w:rsidRPr="008B062D">
        <w:rPr>
          <w:lang w:val="fr-FR" w:eastAsia="en-GB"/>
        </w:rPr>
        <w:t xml:space="preserve"> 2 °C.</w:t>
      </w:r>
    </w:p>
    <w:p w:rsidR="00EB1041" w:rsidRPr="008B062D" w:rsidRDefault="00EB1041" w:rsidP="00F82E83">
      <w:pPr>
        <w:pStyle w:val="SingleTxtG"/>
        <w:ind w:left="2268" w:hanging="1134"/>
        <w:rPr>
          <w:lang w:val="fr-FR" w:eastAsia="en-GB"/>
        </w:rPr>
      </w:pPr>
      <w:r w:rsidRPr="008B062D">
        <w:rPr>
          <w:lang w:val="fr-FR" w:eastAsia="en-GB"/>
        </w:rPr>
        <w:t xml:space="preserve">7.2 </w:t>
      </w:r>
      <w:r w:rsidRPr="008B062D">
        <w:rPr>
          <w:lang w:val="fr-FR" w:eastAsia="en-GB"/>
        </w:rPr>
        <w:tab/>
        <w:t>Après l</w:t>
      </w:r>
      <w:r w:rsidR="00971BFE">
        <w:rPr>
          <w:lang w:val="fr-FR" w:eastAsia="en-GB"/>
        </w:rPr>
        <w:t>’</w:t>
      </w:r>
      <w:r w:rsidRPr="008B062D">
        <w:rPr>
          <w:lang w:val="fr-FR" w:eastAsia="en-GB"/>
        </w:rPr>
        <w:t>essai, on ne doit pouvoir constater visuellement aucune déformation sensible ou fêlure de l</w:t>
      </w:r>
      <w:r w:rsidR="00971BFE">
        <w:rPr>
          <w:lang w:val="fr-FR" w:eastAsia="en-GB"/>
        </w:rPr>
        <w:t>’</w:t>
      </w:r>
      <w:r w:rsidRPr="008B062D">
        <w:rPr>
          <w:lang w:val="fr-FR" w:eastAsia="en-GB"/>
        </w:rPr>
        <w:t>appareil, en particulier du dispositif catadioptrique. L</w:t>
      </w:r>
      <w:r w:rsidR="00971BFE">
        <w:rPr>
          <w:lang w:val="fr-FR" w:eastAsia="en-GB"/>
        </w:rPr>
        <w:t>’</w:t>
      </w:r>
      <w:r w:rsidRPr="008B062D">
        <w:rPr>
          <w:lang w:val="fr-FR" w:eastAsia="en-GB"/>
        </w:rPr>
        <w:t>étui de protection doit pouvoir être ouvert facilement et ne pas adhérer au triangle.</w:t>
      </w:r>
    </w:p>
    <w:p w:rsidR="00EB1041" w:rsidRPr="008B062D" w:rsidRDefault="00EB1041" w:rsidP="00F82E83">
      <w:pPr>
        <w:pStyle w:val="SingleTxtG"/>
        <w:ind w:left="2268" w:hanging="1134"/>
        <w:rPr>
          <w:lang w:val="fr-FR" w:eastAsia="en-GB"/>
        </w:rPr>
      </w:pPr>
      <w:r w:rsidRPr="008B062D">
        <w:rPr>
          <w:lang w:val="fr-FR" w:eastAsia="en-GB"/>
        </w:rPr>
        <w:t>7.3</w:t>
      </w:r>
      <w:r w:rsidRPr="008B062D">
        <w:rPr>
          <w:lang w:val="fr-FR" w:eastAsia="en-GB"/>
        </w:rPr>
        <w:tab/>
        <w:t>Après l</w:t>
      </w:r>
      <w:r w:rsidR="00971BFE">
        <w:rPr>
          <w:lang w:val="fr-FR" w:eastAsia="en-GB"/>
        </w:rPr>
        <w:t>’</w:t>
      </w:r>
      <w:r w:rsidRPr="008B062D">
        <w:rPr>
          <w:lang w:val="fr-FR" w:eastAsia="en-GB"/>
        </w:rPr>
        <w:t>essai de résistance à la chaleur suivi d</w:t>
      </w:r>
      <w:r w:rsidR="00971BFE">
        <w:rPr>
          <w:lang w:val="fr-FR" w:eastAsia="en-GB"/>
        </w:rPr>
        <w:t>’</w:t>
      </w:r>
      <w:r w:rsidRPr="008B062D">
        <w:rPr>
          <w:lang w:val="fr-FR" w:eastAsia="en-GB"/>
        </w:rPr>
        <w:t>un maintien pendant 12 heures consécut</w:t>
      </w:r>
      <w:r w:rsidR="00FD343C">
        <w:rPr>
          <w:lang w:val="fr-FR" w:eastAsia="en-GB"/>
        </w:rPr>
        <w:t>ives à une température de 25 °C </w:t>
      </w:r>
      <w:r w:rsidR="00FD343C">
        <w:rPr>
          <w:sz w:val="18"/>
          <w:szCs w:val="18"/>
        </w:rPr>
        <w:sym w:font="Symbol" w:char="F0B1"/>
      </w:r>
      <w:r w:rsidR="00FD343C">
        <w:rPr>
          <w:lang w:val="fr-FR" w:eastAsia="en-GB"/>
        </w:rPr>
        <w:t> </w:t>
      </w:r>
      <w:r w:rsidRPr="008B062D">
        <w:rPr>
          <w:lang w:val="fr-FR" w:eastAsia="en-GB"/>
        </w:rPr>
        <w:t xml:space="preserve">5 °C, le triangle de présignalisation, placé dans son étui de protection, doit être maintenu pendant 12 heures encore dans une atmosphère sèche à la température de 40 °C </w:t>
      </w:r>
      <w:r w:rsidR="00F14F04">
        <w:rPr>
          <w:sz w:val="18"/>
          <w:szCs w:val="18"/>
        </w:rPr>
        <w:sym w:font="Symbol" w:char="F0B1"/>
      </w:r>
      <w:r w:rsidR="00F14F04">
        <w:rPr>
          <w:lang w:val="fr-FR" w:eastAsia="en-GB"/>
        </w:rPr>
        <w:t> </w:t>
      </w:r>
      <w:r w:rsidRPr="008B062D">
        <w:rPr>
          <w:lang w:val="fr-FR" w:eastAsia="en-GB"/>
        </w:rPr>
        <w:t>2 °C.</w:t>
      </w:r>
    </w:p>
    <w:p w:rsidR="00EB1041" w:rsidRPr="008B062D" w:rsidRDefault="00EB1041" w:rsidP="00F82E83">
      <w:pPr>
        <w:pStyle w:val="SingleTxtG"/>
        <w:ind w:left="2268" w:hanging="1134"/>
        <w:rPr>
          <w:lang w:val="fr-FR" w:eastAsia="en-GB"/>
        </w:rPr>
      </w:pPr>
      <w:r w:rsidRPr="008B062D">
        <w:rPr>
          <w:lang w:val="fr-FR" w:eastAsia="en-GB"/>
        </w:rPr>
        <w:t xml:space="preserve">7.4 </w:t>
      </w:r>
      <w:r w:rsidRPr="008B062D">
        <w:rPr>
          <w:lang w:val="fr-FR" w:eastAsia="en-GB"/>
        </w:rPr>
        <w:tab/>
        <w:t>Immédiatement après la sortie de la chambre froide, on ne doit pouvoir remarquer sur l</w:t>
      </w:r>
      <w:r w:rsidR="00971BFE">
        <w:rPr>
          <w:lang w:val="fr-FR" w:eastAsia="en-GB"/>
        </w:rPr>
        <w:t>’</w:t>
      </w:r>
      <w:r w:rsidRPr="008B062D">
        <w:rPr>
          <w:lang w:val="fr-FR" w:eastAsia="en-GB"/>
        </w:rPr>
        <w:t>appareil et particulièrement sur ses parties optiques aucune déformation visible ni rupture. S</w:t>
      </w:r>
      <w:r w:rsidR="00971BFE">
        <w:rPr>
          <w:lang w:val="fr-FR" w:eastAsia="en-GB"/>
        </w:rPr>
        <w:t>’</w:t>
      </w:r>
      <w:r w:rsidRPr="008B062D">
        <w:rPr>
          <w:lang w:val="fr-FR" w:eastAsia="en-GB"/>
        </w:rPr>
        <w:t>il y a un étui de protection, celui-ci doit pouvoir être ouvert comme il convient, sans se déchirer ni adhérer au triangle de présignalisation.</w:t>
      </w:r>
    </w:p>
    <w:p w:rsidR="00EB1041" w:rsidRPr="008B062D" w:rsidRDefault="00EB1041" w:rsidP="00066FC9">
      <w:pPr>
        <w:pStyle w:val="SingleTxtG"/>
        <w:keepNext/>
        <w:ind w:left="2268" w:hanging="1134"/>
        <w:jc w:val="left"/>
        <w:rPr>
          <w:lang w:val="fr-FR" w:eastAsia="en-GB"/>
        </w:rPr>
      </w:pPr>
      <w:r w:rsidRPr="008B062D">
        <w:rPr>
          <w:lang w:val="fr-FR" w:eastAsia="en-GB"/>
        </w:rPr>
        <w:t xml:space="preserve">8. </w:t>
      </w:r>
      <w:r w:rsidRPr="008B062D">
        <w:rPr>
          <w:lang w:val="fr-FR" w:eastAsia="en-GB"/>
        </w:rPr>
        <w:tab/>
        <w:t>Essai de résistance à l</w:t>
      </w:r>
      <w:r w:rsidR="00971BFE">
        <w:rPr>
          <w:lang w:val="fr-FR" w:eastAsia="en-GB"/>
        </w:rPr>
        <w:t>’</w:t>
      </w:r>
      <w:r w:rsidRPr="008B062D">
        <w:rPr>
          <w:lang w:val="fr-FR" w:eastAsia="en-GB"/>
        </w:rPr>
        <w:t>eau</w:t>
      </w:r>
    </w:p>
    <w:p w:rsidR="00EB1041" w:rsidRPr="008B062D" w:rsidRDefault="00EB1041" w:rsidP="001E18D4">
      <w:pPr>
        <w:pStyle w:val="SingleTxtG"/>
        <w:ind w:left="2268"/>
        <w:rPr>
          <w:lang w:val="fr-FR" w:eastAsia="en-GB"/>
        </w:rPr>
      </w:pPr>
      <w:r w:rsidRPr="008B062D">
        <w:rPr>
          <w:lang w:val="fr-FR" w:eastAsia="en-GB"/>
        </w:rPr>
        <w:t>Si le triangle de présignalisation est repliable, il est monté en position d</w:t>
      </w:r>
      <w:r w:rsidR="00971BFE">
        <w:rPr>
          <w:lang w:val="fr-FR" w:eastAsia="en-GB"/>
        </w:rPr>
        <w:t>’</w:t>
      </w:r>
      <w:r w:rsidRPr="008B062D">
        <w:rPr>
          <w:lang w:val="fr-FR" w:eastAsia="en-GB"/>
        </w:rPr>
        <w:t>utilisation, puis immergé pendant deux heures à plat sur le fond d</w:t>
      </w:r>
      <w:r w:rsidR="00971BFE">
        <w:rPr>
          <w:lang w:val="fr-FR" w:eastAsia="en-GB"/>
        </w:rPr>
        <w:t>’</w:t>
      </w:r>
      <w:r w:rsidRPr="008B062D">
        <w:rPr>
          <w:lang w:val="fr-FR" w:eastAsia="en-GB"/>
        </w:rPr>
        <w:t>une cuve contenant de l</w:t>
      </w:r>
      <w:r w:rsidR="00971BFE">
        <w:rPr>
          <w:lang w:val="fr-FR" w:eastAsia="en-GB"/>
        </w:rPr>
        <w:t>’</w:t>
      </w:r>
      <w:r w:rsidRPr="008B062D">
        <w:rPr>
          <w:lang w:val="fr-FR" w:eastAsia="en-GB"/>
        </w:rPr>
        <w:t xml:space="preserve">eau à 25 °C </w:t>
      </w:r>
      <w:r w:rsidR="00F14F04">
        <w:rPr>
          <w:sz w:val="18"/>
          <w:szCs w:val="18"/>
        </w:rPr>
        <w:sym w:font="Symbol" w:char="F0B1"/>
      </w:r>
      <w:r w:rsidR="00F14F04">
        <w:rPr>
          <w:lang w:val="fr-FR" w:eastAsia="en-GB"/>
        </w:rPr>
        <w:t> </w:t>
      </w:r>
      <w:r w:rsidRPr="008B062D">
        <w:rPr>
          <w:lang w:val="fr-FR" w:eastAsia="en-GB"/>
        </w:rPr>
        <w:t>5 °C de façon que la face active tournée vers le haut soit située à 5</w:t>
      </w:r>
      <w:r w:rsidR="00F14F04">
        <w:rPr>
          <w:lang w:val="fr-FR" w:eastAsia="en-GB"/>
        </w:rPr>
        <w:t> </w:t>
      </w:r>
      <w:r w:rsidRPr="008B062D">
        <w:rPr>
          <w:lang w:val="fr-FR" w:eastAsia="en-GB"/>
        </w:rPr>
        <w:t>cm sous la surface du liquide. Il est ensuite retiré et mis à sécher. Aucune partie du signal ne doit présenter de signes nets de détérioration susceptible de nuire à l</w:t>
      </w:r>
      <w:r w:rsidR="00971BFE">
        <w:rPr>
          <w:lang w:val="fr-FR" w:eastAsia="en-GB"/>
        </w:rPr>
        <w:t>’</w:t>
      </w:r>
      <w:r w:rsidRPr="008B062D">
        <w:rPr>
          <w:lang w:val="fr-FR" w:eastAsia="en-GB"/>
        </w:rPr>
        <w:t>efficacité du triangle.</w:t>
      </w:r>
    </w:p>
    <w:p w:rsidR="00EB1041" w:rsidRPr="008B062D" w:rsidRDefault="00EB1041" w:rsidP="00066FC9">
      <w:pPr>
        <w:pStyle w:val="SingleTxtG"/>
        <w:keepNext/>
        <w:ind w:left="2268" w:hanging="1134"/>
        <w:jc w:val="left"/>
        <w:rPr>
          <w:lang w:val="fr-FR" w:eastAsia="en-GB"/>
        </w:rPr>
      </w:pPr>
      <w:r w:rsidRPr="008B062D">
        <w:rPr>
          <w:lang w:val="fr-FR" w:eastAsia="en-GB"/>
        </w:rPr>
        <w:t xml:space="preserve">9. </w:t>
      </w:r>
      <w:r w:rsidRPr="008B062D">
        <w:rPr>
          <w:lang w:val="fr-FR" w:eastAsia="en-GB"/>
        </w:rPr>
        <w:tab/>
        <w:t>Essai de résistance aux carburants</w:t>
      </w:r>
    </w:p>
    <w:p w:rsidR="00EB1041" w:rsidRPr="008B062D" w:rsidRDefault="00EB1041" w:rsidP="001E18D4">
      <w:pPr>
        <w:pStyle w:val="SingleTxtG"/>
        <w:ind w:left="2268"/>
        <w:rPr>
          <w:lang w:val="fr-FR" w:eastAsia="en-GB"/>
        </w:rPr>
      </w:pPr>
      <w:r w:rsidRPr="008B062D">
        <w:rPr>
          <w:lang w:val="fr-FR" w:eastAsia="en-GB"/>
        </w:rPr>
        <w:t xml:space="preserve">Le triangle et son étui de protection sont immergés séparément dans une </w:t>
      </w:r>
      <w:r w:rsidR="00F14F04">
        <w:rPr>
          <w:lang w:val="fr-FR" w:eastAsia="en-GB"/>
        </w:rPr>
        <w:t>cuve contenant un mélange de 70 </w:t>
      </w:r>
      <w:r w:rsidRPr="008B062D">
        <w:rPr>
          <w:lang w:val="fr-FR" w:eastAsia="en-GB"/>
        </w:rPr>
        <w:t>% de n-heptane et 30 % de toluène. Après 60 secondes, ils sont retirés de la cuve et égouttés légèrement. Le triangle est alors introduit dans son étui et l</w:t>
      </w:r>
      <w:r w:rsidR="00971BFE">
        <w:rPr>
          <w:lang w:val="fr-FR" w:eastAsia="en-GB"/>
        </w:rPr>
        <w:t>’</w:t>
      </w:r>
      <w:r w:rsidRPr="008B062D">
        <w:rPr>
          <w:lang w:val="fr-FR" w:eastAsia="en-GB"/>
        </w:rPr>
        <w:t>ensemble est disposé à plat en atmosphère calme. Après séchage complet, le triangle ne doit pas adhérer à son étui, ni présenter de modifications de surface décelables à l</w:t>
      </w:r>
      <w:r w:rsidR="00971BFE">
        <w:rPr>
          <w:lang w:val="fr-FR" w:eastAsia="en-GB"/>
        </w:rPr>
        <w:t>’</w:t>
      </w:r>
      <w:r w:rsidRPr="008B062D">
        <w:rPr>
          <w:lang w:val="fr-FR" w:eastAsia="en-GB"/>
        </w:rPr>
        <w:t>œil nu, ni de détériorations apparentes; une légère fissuration de la surface est cependant tolérée.</w:t>
      </w:r>
    </w:p>
    <w:p w:rsidR="00EB1041" w:rsidRPr="008B062D" w:rsidRDefault="00EB1041" w:rsidP="00066FC9">
      <w:pPr>
        <w:pStyle w:val="SingleTxtG"/>
        <w:keepNext/>
        <w:ind w:left="2268" w:hanging="1134"/>
        <w:jc w:val="left"/>
        <w:rPr>
          <w:lang w:val="fr-FR"/>
        </w:rPr>
      </w:pPr>
      <w:r w:rsidRPr="008B062D">
        <w:rPr>
          <w:lang w:val="fr-FR"/>
        </w:rPr>
        <w:t>10.</w:t>
      </w:r>
      <w:r w:rsidRPr="008B062D">
        <w:rPr>
          <w:lang w:val="fr-FR"/>
        </w:rPr>
        <w:tab/>
        <w:t>Essai de stabilité au vent</w:t>
      </w:r>
    </w:p>
    <w:p w:rsidR="00EB1041" w:rsidRPr="008B062D" w:rsidRDefault="00EB1041" w:rsidP="00F14F04">
      <w:pPr>
        <w:pStyle w:val="SingleTxtG"/>
        <w:keepLines/>
        <w:ind w:left="2268" w:hanging="1134"/>
        <w:rPr>
          <w:lang w:val="fr-FR"/>
        </w:rPr>
      </w:pPr>
      <w:r w:rsidRPr="008B062D">
        <w:rPr>
          <w:lang w:val="fr-FR"/>
        </w:rPr>
        <w:t>10.1</w:t>
      </w:r>
      <w:r w:rsidRPr="008B062D">
        <w:rPr>
          <w:lang w:val="fr-FR"/>
        </w:rPr>
        <w:tab/>
        <w:t>Le triangle est installé dans une soufflerie, sur une base dont les dimensions sont d</w:t>
      </w:r>
      <w:r w:rsidR="00971BFE">
        <w:rPr>
          <w:lang w:val="fr-FR"/>
        </w:rPr>
        <w:t>’</w:t>
      </w:r>
      <w:r w:rsidRPr="008B062D">
        <w:rPr>
          <w:lang w:val="fr-FR"/>
        </w:rPr>
        <w:t>environ 1,50</w:t>
      </w:r>
      <w:r w:rsidR="00F14F04">
        <w:rPr>
          <w:lang w:val="fr-FR"/>
        </w:rPr>
        <w:t> m sur 1,20 </w:t>
      </w:r>
      <w:r w:rsidRPr="008B062D">
        <w:rPr>
          <w:lang w:val="fr-FR"/>
        </w:rPr>
        <w:t>m et dont le revêtement est constitué d</w:t>
      </w:r>
      <w:r w:rsidR="00971BFE">
        <w:rPr>
          <w:lang w:val="fr-FR"/>
        </w:rPr>
        <w:t>’</w:t>
      </w:r>
      <w:r w:rsidRPr="008B062D">
        <w:rPr>
          <w:lang w:val="fr-FR"/>
        </w:rPr>
        <w:t>un matériau abrasif du type P36 correspondant à la spécification FEPA</w:t>
      </w:r>
      <w:r w:rsidRPr="000E3E0D">
        <w:rPr>
          <w:rStyle w:val="FootnoteReference"/>
        </w:rPr>
        <w:footnoteReference w:id="5"/>
      </w:r>
      <w:r w:rsidRPr="008B062D">
        <w:rPr>
          <w:lang w:val="fr-FR"/>
        </w:rPr>
        <w:t xml:space="preserve"> 43</w:t>
      </w:r>
      <w:r w:rsidRPr="008B062D">
        <w:rPr>
          <w:lang w:val="fr-FR"/>
        </w:rPr>
        <w:noBreakHyphen/>
        <w:t>1</w:t>
      </w:r>
      <w:r w:rsidRPr="008B062D">
        <w:rPr>
          <w:lang w:val="fr-FR"/>
        </w:rPr>
        <w:noBreakHyphen/>
        <w:t>2006. Ce revêtement est caractérisé par sa ru</w:t>
      </w:r>
      <w:r w:rsidR="008511E1">
        <w:rPr>
          <w:lang w:val="fr-FR"/>
        </w:rPr>
        <w:t>gosité géométrique (HS = 0,5 mm </w:t>
      </w:r>
      <w:r w:rsidR="008511E1">
        <w:rPr>
          <w:sz w:val="18"/>
          <w:szCs w:val="18"/>
        </w:rPr>
        <w:sym w:font="Symbol" w:char="F0B1"/>
      </w:r>
      <w:r w:rsidR="008511E1">
        <w:rPr>
          <w:lang w:val="fr-FR" w:eastAsia="en-GB"/>
        </w:rPr>
        <w:t> </w:t>
      </w:r>
      <w:r w:rsidRPr="008B062D">
        <w:rPr>
          <w:lang w:val="fr-FR"/>
        </w:rPr>
        <w:t>0,05 mm), définie et déterminée par la méthode dite de la «plage de sable», exposée à l</w:t>
      </w:r>
      <w:r w:rsidR="00971BFE">
        <w:rPr>
          <w:lang w:val="fr-FR"/>
        </w:rPr>
        <w:t>’</w:t>
      </w:r>
      <w:r w:rsidRPr="008B062D">
        <w:rPr>
          <w:lang w:val="fr-FR"/>
        </w:rPr>
        <w:t>annexe 4 du présent Règlement.</w:t>
      </w:r>
    </w:p>
    <w:p w:rsidR="00EB1041" w:rsidRPr="008B062D" w:rsidRDefault="00EB1041" w:rsidP="00EB1041">
      <w:pPr>
        <w:spacing w:after="120" w:line="240" w:lineRule="exact"/>
        <w:ind w:left="2268" w:right="1140"/>
        <w:jc w:val="both"/>
        <w:rPr>
          <w:lang w:val="fr-FR"/>
        </w:rPr>
      </w:pPr>
      <w:r w:rsidRPr="008B062D">
        <w:rPr>
          <w:lang w:val="fr-FR"/>
        </w:rPr>
        <w:t>Pour éviter que le flux incident forme une couche limite laminaire à la surface de la base, on utilise une place déflectrice et on dispose la base de telle sorte que le flux enveloppe complétement la plaque.</w:t>
      </w:r>
    </w:p>
    <w:p w:rsidR="00EB1041" w:rsidRPr="008B062D" w:rsidRDefault="00EB1041" w:rsidP="00693679">
      <w:pPr>
        <w:pStyle w:val="SingleTxtG"/>
        <w:keepNext/>
        <w:ind w:left="2268" w:hanging="1134"/>
        <w:jc w:val="left"/>
        <w:rPr>
          <w:lang w:val="fr-FR"/>
        </w:rPr>
      </w:pPr>
      <w:r w:rsidRPr="008B062D">
        <w:rPr>
          <w:lang w:val="fr-FR"/>
        </w:rPr>
        <w:t>10.2</w:t>
      </w:r>
      <w:r w:rsidRPr="008B062D">
        <w:rPr>
          <w:lang w:val="fr-FR"/>
        </w:rPr>
        <w:tab/>
        <w:t>Les prescriptions ci-après s</w:t>
      </w:r>
      <w:r w:rsidR="00971BFE">
        <w:rPr>
          <w:lang w:val="fr-FR"/>
        </w:rPr>
        <w:t>’</w:t>
      </w:r>
      <w:r w:rsidRPr="008B062D">
        <w:rPr>
          <w:lang w:val="fr-FR"/>
        </w:rPr>
        <w:t>appliquent au flux d</w:t>
      </w:r>
      <w:r w:rsidR="00971BFE">
        <w:rPr>
          <w:lang w:val="fr-FR"/>
        </w:rPr>
        <w:t>’</w:t>
      </w:r>
      <w:r w:rsidRPr="008B062D">
        <w:rPr>
          <w:lang w:val="fr-FR"/>
        </w:rPr>
        <w:t>air:</w:t>
      </w:r>
    </w:p>
    <w:p w:rsidR="00EB1041" w:rsidRPr="008B062D" w:rsidRDefault="00EB1041" w:rsidP="00EB1041">
      <w:pPr>
        <w:spacing w:after="120" w:line="240" w:lineRule="auto"/>
        <w:ind w:left="2835" w:right="1140" w:hanging="567"/>
        <w:jc w:val="both"/>
        <w:rPr>
          <w:lang w:val="fr-FR"/>
        </w:rPr>
      </w:pPr>
      <w:r w:rsidRPr="008B062D">
        <w:rPr>
          <w:lang w:val="fr-FR"/>
        </w:rPr>
        <w:t>a)</w:t>
      </w:r>
      <w:r w:rsidRPr="008B062D">
        <w:rPr>
          <w:lang w:val="fr-FR"/>
        </w:rPr>
        <w:tab/>
        <w:t>Le courant d</w:t>
      </w:r>
      <w:r w:rsidR="00971BFE">
        <w:rPr>
          <w:lang w:val="fr-FR"/>
        </w:rPr>
        <w:t>’</w:t>
      </w:r>
      <w:r w:rsidRPr="008B062D">
        <w:rPr>
          <w:lang w:val="fr-FR"/>
        </w:rPr>
        <w:t>air doit atteindre une pression dynamique de 180 Pa et le champ de courant doit être homogène et dépourvu de turbulences;</w:t>
      </w:r>
    </w:p>
    <w:p w:rsidR="00EB1041" w:rsidRPr="008B062D" w:rsidRDefault="00EB1041" w:rsidP="00EB1041">
      <w:pPr>
        <w:spacing w:after="120" w:line="240" w:lineRule="auto"/>
        <w:ind w:left="2835" w:right="1140" w:hanging="567"/>
        <w:jc w:val="both"/>
        <w:rPr>
          <w:lang w:val="fr-FR"/>
        </w:rPr>
      </w:pPr>
      <w:r w:rsidRPr="008B062D">
        <w:rPr>
          <w:lang w:val="fr-FR"/>
        </w:rPr>
        <w:t>b)</w:t>
      </w:r>
      <w:r w:rsidRPr="008B062D">
        <w:rPr>
          <w:lang w:val="fr-FR"/>
        </w:rPr>
        <w:tab/>
        <w:t>Les dimensions du champ de courant doivent être telles qu</w:t>
      </w:r>
      <w:r w:rsidR="00971BFE">
        <w:rPr>
          <w:lang w:val="fr-FR"/>
        </w:rPr>
        <w:t>’</w:t>
      </w:r>
      <w:r w:rsidRPr="008B062D">
        <w:rPr>
          <w:lang w:val="fr-FR"/>
        </w:rPr>
        <w:t>il existe un dégagement d</w:t>
      </w:r>
      <w:r w:rsidR="00971BFE">
        <w:rPr>
          <w:lang w:val="fr-FR"/>
        </w:rPr>
        <w:t>’</w:t>
      </w:r>
      <w:r w:rsidR="008511E1">
        <w:rPr>
          <w:lang w:val="fr-FR"/>
        </w:rPr>
        <w:t>au moins 150 </w:t>
      </w:r>
      <w:r w:rsidRPr="008B062D">
        <w:rPr>
          <w:lang w:val="fr-FR"/>
        </w:rPr>
        <w:t>mm entre la limite du champ et les angles du triangle à l</w:t>
      </w:r>
      <w:r w:rsidR="00971BFE">
        <w:rPr>
          <w:lang w:val="fr-FR"/>
        </w:rPr>
        <w:t>’</w:t>
      </w:r>
      <w:r w:rsidRPr="008B062D">
        <w:rPr>
          <w:lang w:val="fr-FR"/>
        </w:rPr>
        <w:t>horizontale et son sommet à la verticale;</w:t>
      </w:r>
    </w:p>
    <w:p w:rsidR="00EB1041" w:rsidRPr="008B062D" w:rsidRDefault="00EB1041" w:rsidP="00EB1041">
      <w:pPr>
        <w:spacing w:after="120" w:line="240" w:lineRule="auto"/>
        <w:ind w:left="2835" w:right="1140" w:hanging="567"/>
        <w:jc w:val="both"/>
        <w:rPr>
          <w:lang w:val="fr-FR"/>
        </w:rPr>
      </w:pPr>
      <w:r w:rsidRPr="008B062D">
        <w:rPr>
          <w:lang w:val="fr-FR"/>
        </w:rPr>
        <w:t>c)</w:t>
      </w:r>
      <w:r w:rsidRPr="008B062D">
        <w:rPr>
          <w:lang w:val="fr-FR"/>
        </w:rPr>
        <w:tab/>
        <w:t>Le courant d</w:t>
      </w:r>
      <w:r w:rsidR="00971BFE">
        <w:rPr>
          <w:lang w:val="fr-FR"/>
        </w:rPr>
        <w:t>’</w:t>
      </w:r>
      <w:r w:rsidRPr="008B062D">
        <w:rPr>
          <w:lang w:val="fr-FR"/>
        </w:rPr>
        <w:t>air (champ de courant) doit être parallèle à la surface de la base et doit circuler dans la direction qui semble la plus défavorable pour la stabilité;</w:t>
      </w:r>
    </w:p>
    <w:p w:rsidR="00EB1041" w:rsidRPr="008B062D" w:rsidRDefault="00EB1041" w:rsidP="00EB1041">
      <w:pPr>
        <w:spacing w:after="120" w:line="240" w:lineRule="auto"/>
        <w:ind w:left="2835" w:right="1140" w:hanging="567"/>
        <w:jc w:val="both"/>
        <w:rPr>
          <w:lang w:val="fr-FR"/>
        </w:rPr>
      </w:pPr>
      <w:r w:rsidRPr="008B062D">
        <w:rPr>
          <w:lang w:val="fr-FR"/>
        </w:rPr>
        <w:t>d)</w:t>
      </w:r>
      <w:r w:rsidRPr="008B062D">
        <w:rPr>
          <w:lang w:val="fr-FR"/>
        </w:rPr>
        <w:tab/>
        <w:t>Dans le cas d</w:t>
      </w:r>
      <w:r w:rsidR="00971BFE">
        <w:rPr>
          <w:lang w:val="fr-FR"/>
        </w:rPr>
        <w:t>’</w:t>
      </w:r>
      <w:r w:rsidRPr="008B062D">
        <w:rPr>
          <w:lang w:val="fr-FR"/>
        </w:rPr>
        <w:t>une soufflerie fermée, l</w:t>
      </w:r>
      <w:r w:rsidR="00971BFE">
        <w:rPr>
          <w:lang w:val="fr-FR"/>
        </w:rPr>
        <w:t>’</w:t>
      </w:r>
      <w:r w:rsidRPr="008B062D">
        <w:rPr>
          <w:lang w:val="fr-FR"/>
        </w:rPr>
        <w:t>espace occupé par le triangle ne doit pas dépasser 5</w:t>
      </w:r>
      <w:r w:rsidR="00693679">
        <w:rPr>
          <w:lang w:val="fr-FR"/>
        </w:rPr>
        <w:t> </w:t>
      </w:r>
      <w:r w:rsidRPr="008B062D">
        <w:rPr>
          <w:lang w:val="fr-FR"/>
        </w:rPr>
        <w:t>% de la largueur de la soufflerie.</w:t>
      </w:r>
    </w:p>
    <w:p w:rsidR="00EB1041" w:rsidRPr="008B062D" w:rsidRDefault="00EB1041" w:rsidP="00250926">
      <w:pPr>
        <w:pStyle w:val="SingleTxtG"/>
        <w:ind w:left="2268" w:hanging="1134"/>
        <w:rPr>
          <w:lang w:val="fr-FR"/>
        </w:rPr>
      </w:pPr>
      <w:r w:rsidRPr="008B062D">
        <w:rPr>
          <w:lang w:val="fr-FR"/>
        </w:rPr>
        <w:t>10.3</w:t>
      </w:r>
      <w:r w:rsidRPr="008B062D">
        <w:rPr>
          <w:lang w:val="fr-FR"/>
        </w:rPr>
        <w:tab/>
        <w:t>Ainsi installé, le triangle est soumis au courant d</w:t>
      </w:r>
      <w:r w:rsidR="00971BFE">
        <w:rPr>
          <w:lang w:val="fr-FR"/>
        </w:rPr>
        <w:t>’</w:t>
      </w:r>
      <w:r w:rsidRPr="008B062D">
        <w:rPr>
          <w:lang w:val="fr-FR"/>
        </w:rPr>
        <w:t xml:space="preserve">air pendant </w:t>
      </w:r>
      <w:r w:rsidR="00E54DCB">
        <w:rPr>
          <w:lang w:val="fr-FR"/>
        </w:rPr>
        <w:t>3 </w:t>
      </w:r>
      <w:r w:rsidRPr="008B062D">
        <w:rPr>
          <w:lang w:val="fr-FR"/>
        </w:rPr>
        <w:t>minutes.</w:t>
      </w:r>
    </w:p>
    <w:p w:rsidR="00EB1041" w:rsidRPr="008B062D" w:rsidRDefault="00EB1041" w:rsidP="00250926">
      <w:pPr>
        <w:pStyle w:val="SingleTxtG"/>
        <w:ind w:left="2268" w:hanging="1134"/>
        <w:rPr>
          <w:lang w:val="fr-FR"/>
        </w:rPr>
      </w:pPr>
      <w:r w:rsidRPr="008B062D">
        <w:rPr>
          <w:lang w:val="fr-FR"/>
        </w:rPr>
        <w:t>10.4</w:t>
      </w:r>
      <w:r w:rsidRPr="008B062D">
        <w:rPr>
          <w:lang w:val="fr-FR"/>
        </w:rPr>
        <w:tab/>
        <w:t>Le triangle ne doit ni se renverser, ni se déplacer. Cependant, de légers déplacements des points de contact avec le revêtement, ne dépassant pas 5</w:t>
      </w:r>
      <w:r w:rsidR="00E54DCB">
        <w:rPr>
          <w:lang w:val="fr-FR"/>
        </w:rPr>
        <w:t> </w:t>
      </w:r>
      <w:r w:rsidRPr="008B062D">
        <w:rPr>
          <w:lang w:val="fr-FR"/>
        </w:rPr>
        <w:t>cm, sont admis.</w:t>
      </w:r>
    </w:p>
    <w:p w:rsidR="00EB1041" w:rsidRPr="008B062D" w:rsidRDefault="00EB1041" w:rsidP="00250926">
      <w:pPr>
        <w:pStyle w:val="SingleTxtG"/>
        <w:ind w:left="2268" w:hanging="1134"/>
        <w:rPr>
          <w:lang w:val="fr-FR"/>
        </w:rPr>
      </w:pPr>
      <w:r w:rsidRPr="008B062D">
        <w:rPr>
          <w:lang w:val="fr-FR"/>
        </w:rPr>
        <w:t>10.5</w:t>
      </w:r>
      <w:r w:rsidRPr="008B062D">
        <w:rPr>
          <w:lang w:val="fr-FR"/>
        </w:rPr>
        <w:tab/>
        <w:t>La partie triangulaire rétroréfléchissante du dispositif ne doit pas tourner de plus de 10° autour d</w:t>
      </w:r>
      <w:r w:rsidR="00971BFE">
        <w:rPr>
          <w:lang w:val="fr-FR"/>
        </w:rPr>
        <w:t>’</w:t>
      </w:r>
      <w:r w:rsidRPr="008B062D">
        <w:rPr>
          <w:lang w:val="fr-FR"/>
        </w:rPr>
        <w:t>un axe horizontal ou d</w:t>
      </w:r>
      <w:r w:rsidR="00971BFE">
        <w:rPr>
          <w:lang w:val="fr-FR"/>
        </w:rPr>
        <w:t>’</w:t>
      </w:r>
      <w:r w:rsidRPr="008B062D">
        <w:rPr>
          <w:lang w:val="fr-FR"/>
        </w:rPr>
        <w:t>un axe vertical par rapport à sa position initiale. La rotation autour de l</w:t>
      </w:r>
      <w:r w:rsidR="00971BFE">
        <w:rPr>
          <w:lang w:val="fr-FR"/>
        </w:rPr>
        <w:t>’</w:t>
      </w:r>
      <w:r w:rsidRPr="008B062D">
        <w:rPr>
          <w:lang w:val="fr-FR"/>
        </w:rPr>
        <w:t>axe horizontal ou de l</w:t>
      </w:r>
      <w:r w:rsidR="00971BFE">
        <w:rPr>
          <w:lang w:val="fr-FR"/>
        </w:rPr>
        <w:t>’</w:t>
      </w:r>
      <w:r w:rsidRPr="008B062D">
        <w:rPr>
          <w:lang w:val="fr-FR"/>
        </w:rPr>
        <w:t>axe vertical doit être déterminée au moyen d</w:t>
      </w:r>
      <w:r w:rsidR="00971BFE">
        <w:rPr>
          <w:lang w:val="fr-FR"/>
        </w:rPr>
        <w:t>’</w:t>
      </w:r>
      <w:r w:rsidRPr="008B062D">
        <w:rPr>
          <w:lang w:val="fr-FR"/>
        </w:rPr>
        <w:t>un plan virtuel à la position initiale de la partie triangulaire rétroréfléchissante du dispositif, laquelle est orthogonale à la base et au courant d</w:t>
      </w:r>
      <w:r w:rsidR="00971BFE">
        <w:rPr>
          <w:lang w:val="fr-FR"/>
        </w:rPr>
        <w:t>’</w:t>
      </w:r>
      <w:r w:rsidRPr="008B062D">
        <w:rPr>
          <w:lang w:val="fr-FR"/>
        </w:rPr>
        <w:t>air.</w:t>
      </w:r>
    </w:p>
    <w:p w:rsidR="00EB1041" w:rsidRPr="008B062D" w:rsidRDefault="00EB1041" w:rsidP="00066FC9">
      <w:pPr>
        <w:pStyle w:val="SingleTxtG"/>
        <w:keepNext/>
        <w:ind w:left="2268" w:hanging="1134"/>
        <w:jc w:val="left"/>
        <w:rPr>
          <w:lang w:val="fr-FR" w:eastAsia="en-GB"/>
        </w:rPr>
      </w:pPr>
      <w:r w:rsidRPr="008B062D">
        <w:rPr>
          <w:lang w:val="fr-FR" w:eastAsia="en-GB"/>
        </w:rPr>
        <w:t>11.</w:t>
      </w:r>
      <w:r w:rsidRPr="008B062D">
        <w:rPr>
          <w:lang w:val="fr-FR" w:eastAsia="en-GB"/>
        </w:rPr>
        <w:tab/>
        <w:t>Essai de résistan</w:t>
      </w:r>
      <w:r w:rsidR="00E54DCB">
        <w:rPr>
          <w:lang w:val="fr-FR" w:eastAsia="en-GB"/>
        </w:rPr>
        <w:t>ce du dispositif catadioptrique</w:t>
      </w:r>
      <w:r w:rsidR="00E54DCB">
        <w:rPr>
          <w:lang w:val="fr-FR" w:eastAsia="en-GB"/>
        </w:rPr>
        <w:br/>
      </w:r>
      <w:r w:rsidRPr="008B062D">
        <w:rPr>
          <w:lang w:val="fr-FR" w:eastAsia="en-GB"/>
        </w:rPr>
        <w:t>ou du matériau catadioptrique fluorescent</w:t>
      </w:r>
    </w:p>
    <w:p w:rsidR="00EB1041" w:rsidRPr="008B062D" w:rsidRDefault="00EB1041" w:rsidP="00066FC9">
      <w:pPr>
        <w:pStyle w:val="SingleTxtG"/>
        <w:keepNext/>
        <w:ind w:left="2268" w:hanging="1134"/>
        <w:jc w:val="left"/>
        <w:rPr>
          <w:lang w:val="fr-FR" w:eastAsia="en-GB"/>
        </w:rPr>
      </w:pPr>
      <w:r w:rsidRPr="008B062D">
        <w:rPr>
          <w:lang w:val="fr-FR" w:eastAsia="en-GB"/>
        </w:rPr>
        <w:t>11.1</w:t>
      </w:r>
      <w:r w:rsidRPr="008B062D">
        <w:rPr>
          <w:lang w:val="fr-FR" w:eastAsia="en-GB"/>
        </w:rPr>
        <w:tab/>
        <w:t>Essai de résistance à la pénétration par l</w:t>
      </w:r>
      <w:r w:rsidR="00971BFE">
        <w:rPr>
          <w:lang w:val="fr-FR" w:eastAsia="en-GB"/>
        </w:rPr>
        <w:t>’</w:t>
      </w:r>
      <w:r w:rsidRPr="008B062D">
        <w:rPr>
          <w:lang w:val="fr-FR" w:eastAsia="en-GB"/>
        </w:rPr>
        <w:t>eau</w:t>
      </w:r>
    </w:p>
    <w:p w:rsidR="00EB1041" w:rsidRPr="008B062D" w:rsidRDefault="00EB1041" w:rsidP="00250926">
      <w:pPr>
        <w:pStyle w:val="SingleTxtG"/>
        <w:ind w:left="2268" w:hanging="1134"/>
        <w:rPr>
          <w:lang w:val="fr-FR" w:eastAsia="en-GB"/>
        </w:rPr>
      </w:pPr>
      <w:r w:rsidRPr="008B062D">
        <w:rPr>
          <w:lang w:val="fr-FR" w:eastAsia="en-GB"/>
        </w:rPr>
        <w:t>11.1.1</w:t>
      </w:r>
      <w:r w:rsidRPr="008B062D">
        <w:rPr>
          <w:lang w:val="fr-FR" w:eastAsia="en-GB"/>
        </w:rPr>
        <w:tab/>
        <w:t>Le triangle (après montage s</w:t>
      </w:r>
      <w:r w:rsidR="00971BFE">
        <w:rPr>
          <w:lang w:val="fr-FR" w:eastAsia="en-GB"/>
        </w:rPr>
        <w:t>’</w:t>
      </w:r>
      <w:r w:rsidRPr="008B062D">
        <w:rPr>
          <w:lang w:val="fr-FR" w:eastAsia="en-GB"/>
        </w:rPr>
        <w:t>il s</w:t>
      </w:r>
      <w:r w:rsidR="00971BFE">
        <w:rPr>
          <w:lang w:val="fr-FR" w:eastAsia="en-GB"/>
        </w:rPr>
        <w:t>’</w:t>
      </w:r>
      <w:r w:rsidRPr="008B062D">
        <w:rPr>
          <w:lang w:val="fr-FR" w:eastAsia="en-GB"/>
        </w:rPr>
        <w:t>agit d</w:t>
      </w:r>
      <w:r w:rsidR="00971BFE">
        <w:rPr>
          <w:lang w:val="fr-FR" w:eastAsia="en-GB"/>
        </w:rPr>
        <w:t>’</w:t>
      </w:r>
      <w:r w:rsidRPr="008B062D">
        <w:rPr>
          <w:lang w:val="fr-FR" w:eastAsia="en-GB"/>
        </w:rPr>
        <w:t>un triangle repliable) est immergé pendant 10 minutes dans un bassin d</w:t>
      </w:r>
      <w:r w:rsidR="00971BFE">
        <w:rPr>
          <w:lang w:val="fr-FR" w:eastAsia="en-GB"/>
        </w:rPr>
        <w:t>’</w:t>
      </w:r>
      <w:r w:rsidRPr="008B062D">
        <w:rPr>
          <w:lang w:val="fr-FR" w:eastAsia="en-GB"/>
        </w:rPr>
        <w:t xml:space="preserve">eau à 50 °C </w:t>
      </w:r>
      <w:r w:rsidR="008511E1">
        <w:rPr>
          <w:sz w:val="18"/>
          <w:szCs w:val="18"/>
        </w:rPr>
        <w:sym w:font="Symbol" w:char="F0B1"/>
      </w:r>
      <w:r w:rsidRPr="008B062D">
        <w:rPr>
          <w:lang w:val="fr-FR" w:eastAsia="en-GB"/>
        </w:rPr>
        <w:t xml:space="preserve"> 5 °C, le point le plus haut de la partie supérieure de la plage éclairante étant de 20 mm environ sous la surface de l</w:t>
      </w:r>
      <w:r w:rsidR="00971BFE">
        <w:rPr>
          <w:lang w:val="fr-FR" w:eastAsia="en-GB"/>
        </w:rPr>
        <w:t>’</w:t>
      </w:r>
      <w:r w:rsidRPr="008B062D">
        <w:rPr>
          <w:lang w:val="fr-FR" w:eastAsia="en-GB"/>
        </w:rPr>
        <w:t>eau. Aussitôt après, il est immergé dans les mêmes conditions dans un bassin d</w:t>
      </w:r>
      <w:r w:rsidR="00971BFE">
        <w:rPr>
          <w:lang w:val="fr-FR" w:eastAsia="en-GB"/>
        </w:rPr>
        <w:t>’</w:t>
      </w:r>
      <w:r w:rsidR="00693679">
        <w:rPr>
          <w:lang w:val="fr-FR" w:eastAsia="en-GB"/>
        </w:rPr>
        <w:t>eau à 25 °C </w:t>
      </w:r>
      <w:r w:rsidR="008511E1">
        <w:rPr>
          <w:sz w:val="18"/>
          <w:szCs w:val="18"/>
        </w:rPr>
        <w:sym w:font="Symbol" w:char="F0B1"/>
      </w:r>
      <w:r w:rsidR="00693679">
        <w:rPr>
          <w:lang w:val="fr-FR" w:eastAsia="en-GB"/>
        </w:rPr>
        <w:t> </w:t>
      </w:r>
      <w:r w:rsidRPr="008B062D">
        <w:rPr>
          <w:lang w:val="fr-FR" w:eastAsia="en-GB"/>
        </w:rPr>
        <w:t>5 °C.</w:t>
      </w:r>
    </w:p>
    <w:p w:rsidR="00EB1041" w:rsidRPr="008B062D" w:rsidRDefault="00EB1041" w:rsidP="00250926">
      <w:pPr>
        <w:pStyle w:val="SingleTxtG"/>
        <w:ind w:left="2268" w:hanging="1134"/>
        <w:rPr>
          <w:lang w:val="fr-FR" w:eastAsia="en-GB"/>
        </w:rPr>
      </w:pPr>
      <w:r w:rsidRPr="008B062D">
        <w:rPr>
          <w:lang w:val="fr-FR" w:eastAsia="en-GB"/>
        </w:rPr>
        <w:t xml:space="preserve">11.1.2 </w:t>
      </w:r>
      <w:r w:rsidRPr="008B062D">
        <w:rPr>
          <w:lang w:val="fr-FR" w:eastAsia="en-GB"/>
        </w:rPr>
        <w:tab/>
        <w:t>Après cet essai, l</w:t>
      </w:r>
      <w:r w:rsidR="00971BFE">
        <w:rPr>
          <w:lang w:val="fr-FR" w:eastAsia="en-GB"/>
        </w:rPr>
        <w:t>’</w:t>
      </w:r>
      <w:r w:rsidRPr="008B062D">
        <w:rPr>
          <w:lang w:val="fr-FR" w:eastAsia="en-GB"/>
        </w:rPr>
        <w:t>eau ne doit pas avoir pénétré sur la face réfléchissante du dispositif catadioptrique. Si un examen visuel décèle sans ambiguïté la présence de l</w:t>
      </w:r>
      <w:r w:rsidR="00971BFE">
        <w:rPr>
          <w:lang w:val="fr-FR" w:eastAsia="en-GB"/>
        </w:rPr>
        <w:t>’</w:t>
      </w:r>
      <w:r w:rsidRPr="008B062D">
        <w:rPr>
          <w:lang w:val="fr-FR" w:eastAsia="en-GB"/>
        </w:rPr>
        <w:t>eau, le dispositif est considéré comme ne satisfaisant pas à l</w:t>
      </w:r>
      <w:r w:rsidR="00971BFE">
        <w:rPr>
          <w:lang w:val="fr-FR" w:eastAsia="en-GB"/>
        </w:rPr>
        <w:t>’</w:t>
      </w:r>
      <w:r w:rsidRPr="008B062D">
        <w:rPr>
          <w:lang w:val="fr-FR" w:eastAsia="en-GB"/>
        </w:rPr>
        <w:t>essai. Une pénétration d</w:t>
      </w:r>
      <w:r w:rsidR="00971BFE">
        <w:rPr>
          <w:lang w:val="fr-FR" w:eastAsia="en-GB"/>
        </w:rPr>
        <w:t>’</w:t>
      </w:r>
      <w:r w:rsidRPr="008B062D">
        <w:rPr>
          <w:lang w:val="fr-FR" w:eastAsia="en-GB"/>
        </w:rPr>
        <w:t>eau ou de vapeur d</w:t>
      </w:r>
      <w:r w:rsidR="00971BFE">
        <w:rPr>
          <w:lang w:val="fr-FR" w:eastAsia="en-GB"/>
        </w:rPr>
        <w:t>’</w:t>
      </w:r>
      <w:r w:rsidRPr="008B062D">
        <w:rPr>
          <w:lang w:val="fr-FR" w:eastAsia="en-GB"/>
        </w:rPr>
        <w:t>eau sur les bords du matériau catadioptrique fluorescent n</w:t>
      </w:r>
      <w:r w:rsidR="00971BFE">
        <w:rPr>
          <w:lang w:val="fr-FR" w:eastAsia="en-GB"/>
        </w:rPr>
        <w:t>’</w:t>
      </w:r>
      <w:r w:rsidRPr="008B062D">
        <w:rPr>
          <w:lang w:val="fr-FR" w:eastAsia="en-GB"/>
        </w:rPr>
        <w:t>est pas considérée comme un défaut.</w:t>
      </w:r>
    </w:p>
    <w:p w:rsidR="00EB1041" w:rsidRPr="008B062D" w:rsidRDefault="00EB1041" w:rsidP="00250926">
      <w:pPr>
        <w:pStyle w:val="SingleTxtG"/>
        <w:ind w:left="2268" w:hanging="1134"/>
        <w:rPr>
          <w:lang w:val="fr-FR" w:eastAsia="en-GB"/>
        </w:rPr>
      </w:pPr>
      <w:r w:rsidRPr="008B062D">
        <w:rPr>
          <w:lang w:val="fr-FR" w:eastAsia="en-GB"/>
        </w:rPr>
        <w:t xml:space="preserve">11.1.3 </w:t>
      </w:r>
      <w:r w:rsidRPr="008B062D">
        <w:rPr>
          <w:lang w:val="fr-FR" w:eastAsia="en-GB"/>
        </w:rPr>
        <w:tab/>
        <w:t>Si l</w:t>
      </w:r>
      <w:r w:rsidR="00971BFE">
        <w:rPr>
          <w:lang w:val="fr-FR" w:eastAsia="en-GB"/>
        </w:rPr>
        <w:t>’</w:t>
      </w:r>
      <w:r w:rsidRPr="008B062D">
        <w:rPr>
          <w:lang w:val="fr-FR" w:eastAsia="en-GB"/>
        </w:rPr>
        <w:t>examen visuel ne permet pas de déceler la présence d</w:t>
      </w:r>
      <w:r w:rsidR="00971BFE">
        <w:rPr>
          <w:lang w:val="fr-FR" w:eastAsia="en-GB"/>
        </w:rPr>
        <w:t>’</w:t>
      </w:r>
      <w:r w:rsidRPr="008B062D">
        <w:rPr>
          <w:lang w:val="fr-FR" w:eastAsia="en-GB"/>
        </w:rPr>
        <w:t>eau, ou en cas de doute, on mesure de nouveau le CIL dans les mêmes conditions que celles spécifiées au paragraphe 1.2 ci-dessus après avoir légèrement secoué le dispositif catadioptrique pour éliminer l</w:t>
      </w:r>
      <w:r w:rsidR="00971BFE">
        <w:rPr>
          <w:lang w:val="fr-FR" w:eastAsia="en-GB"/>
        </w:rPr>
        <w:t>’</w:t>
      </w:r>
      <w:r w:rsidRPr="008B062D">
        <w:rPr>
          <w:lang w:val="fr-FR" w:eastAsia="en-GB"/>
        </w:rPr>
        <w:t>excès d</w:t>
      </w:r>
      <w:r w:rsidR="00971BFE">
        <w:rPr>
          <w:lang w:val="fr-FR" w:eastAsia="en-GB"/>
        </w:rPr>
        <w:t>’</w:t>
      </w:r>
      <w:r w:rsidRPr="008B062D">
        <w:rPr>
          <w:lang w:val="fr-FR" w:eastAsia="en-GB"/>
        </w:rPr>
        <w:t>eau extérieure. Le CIL ainsi mesuré ne doit pas être inférieur de plus de 40 % aux valeurs relevées avant l</w:t>
      </w:r>
      <w:r w:rsidR="00971BFE">
        <w:rPr>
          <w:lang w:val="fr-FR" w:eastAsia="en-GB"/>
        </w:rPr>
        <w:t>’</w:t>
      </w:r>
      <w:r w:rsidRPr="008B062D">
        <w:rPr>
          <w:lang w:val="fr-FR" w:eastAsia="en-GB"/>
        </w:rPr>
        <w:t>essai.</w:t>
      </w:r>
    </w:p>
    <w:p w:rsidR="00EB1041" w:rsidRPr="008B062D" w:rsidRDefault="00EB1041" w:rsidP="00066FC9">
      <w:pPr>
        <w:pStyle w:val="SingleTxtG"/>
        <w:keepNext/>
        <w:ind w:left="2268" w:hanging="1134"/>
        <w:jc w:val="left"/>
        <w:rPr>
          <w:lang w:val="fr-FR" w:eastAsia="en-GB"/>
        </w:rPr>
      </w:pPr>
      <w:r w:rsidRPr="008B062D">
        <w:rPr>
          <w:lang w:val="fr-FR" w:eastAsia="en-GB"/>
        </w:rPr>
        <w:t>11.2</w:t>
      </w:r>
      <w:r w:rsidRPr="008B062D">
        <w:rPr>
          <w:lang w:val="fr-FR" w:eastAsia="en-GB"/>
        </w:rPr>
        <w:tab/>
        <w:t>Essai de résistance de la face postérieure accessible du dispositif catadioptrique miroité</w:t>
      </w:r>
    </w:p>
    <w:p w:rsidR="00EB1041" w:rsidRPr="008B062D" w:rsidRDefault="00EB1041" w:rsidP="001E18D4">
      <w:pPr>
        <w:pStyle w:val="SingleTxtG"/>
        <w:ind w:left="2268"/>
        <w:rPr>
          <w:lang w:val="fr-FR" w:eastAsia="en-GB"/>
        </w:rPr>
      </w:pPr>
      <w:r w:rsidRPr="008B062D">
        <w:rPr>
          <w:lang w:val="fr-FR" w:eastAsia="en-GB"/>
        </w:rPr>
        <w:t>Après avoir brossé la face postérieure du dispositif catadioptrique avec une brosse de nylon dure, on recouvre cette face ou on l</w:t>
      </w:r>
      <w:r w:rsidR="00971BFE">
        <w:rPr>
          <w:lang w:val="fr-FR" w:eastAsia="en-GB"/>
        </w:rPr>
        <w:t>’</w:t>
      </w:r>
      <w:r w:rsidRPr="008B062D">
        <w:rPr>
          <w:lang w:val="fr-FR" w:eastAsia="en-GB"/>
        </w:rPr>
        <w:t xml:space="preserve">humecte </w:t>
      </w:r>
      <w:r w:rsidR="00693679">
        <w:rPr>
          <w:lang w:val="fr-FR" w:eastAsia="en-GB"/>
        </w:rPr>
        <w:t>fortement avec un mélange de 70 </w:t>
      </w:r>
      <w:r w:rsidRPr="008B062D">
        <w:rPr>
          <w:lang w:val="fr-FR" w:eastAsia="en-GB"/>
        </w:rPr>
        <w:t>% de n-heptane et 30 % de toluène, pendant une minute. On enlève ensuite le mélange et on laisse sécher le dispositif. Dès la fin de l</w:t>
      </w:r>
      <w:r w:rsidR="00971BFE">
        <w:rPr>
          <w:lang w:val="fr-FR" w:eastAsia="en-GB"/>
        </w:rPr>
        <w:t>’</w:t>
      </w:r>
      <w:r w:rsidRPr="008B062D">
        <w:rPr>
          <w:lang w:val="fr-FR" w:eastAsia="en-GB"/>
        </w:rPr>
        <w:t>évaporation, on brosse la face postérieure avec la même brosse que précédemment. On mesure ensuite le C</w:t>
      </w:r>
      <w:r w:rsidR="00693679">
        <w:rPr>
          <w:lang w:val="fr-FR" w:eastAsia="en-GB"/>
        </w:rPr>
        <w:t>IL comme spécifié au paragraphe </w:t>
      </w:r>
      <w:r w:rsidRPr="008B062D">
        <w:rPr>
          <w:lang w:val="fr-FR" w:eastAsia="en-GB"/>
        </w:rPr>
        <w:t>1.2 ci-dessus après avoir recouvert d</w:t>
      </w:r>
      <w:r w:rsidR="00971BFE">
        <w:rPr>
          <w:lang w:val="fr-FR" w:eastAsia="en-GB"/>
        </w:rPr>
        <w:t>’</w:t>
      </w:r>
      <w:r w:rsidRPr="008B062D">
        <w:rPr>
          <w:lang w:val="fr-FR" w:eastAsia="en-GB"/>
        </w:rPr>
        <w:t>encre de Chine toute la surface postérieure miroitée. Le CIL ainsi mesuré ne doit p</w:t>
      </w:r>
      <w:r w:rsidR="00693679">
        <w:rPr>
          <w:lang w:val="fr-FR" w:eastAsia="en-GB"/>
        </w:rPr>
        <w:t>as être inférieur de plus de 40 </w:t>
      </w:r>
      <w:r w:rsidRPr="008B062D">
        <w:rPr>
          <w:lang w:val="fr-FR" w:eastAsia="en-GB"/>
        </w:rPr>
        <w:t>% aux valeurs relevées avant l</w:t>
      </w:r>
      <w:r w:rsidR="00971BFE">
        <w:rPr>
          <w:lang w:val="fr-FR" w:eastAsia="en-GB"/>
        </w:rPr>
        <w:t>’</w:t>
      </w:r>
      <w:r w:rsidRPr="008B062D">
        <w:rPr>
          <w:lang w:val="fr-FR" w:eastAsia="en-GB"/>
        </w:rPr>
        <w:t>essai. Cet essai n</w:t>
      </w:r>
      <w:r w:rsidR="00971BFE">
        <w:rPr>
          <w:lang w:val="fr-FR" w:eastAsia="en-GB"/>
        </w:rPr>
        <w:t>’</w:t>
      </w:r>
      <w:r w:rsidRPr="008B062D">
        <w:rPr>
          <w:lang w:val="fr-FR" w:eastAsia="en-GB"/>
        </w:rPr>
        <w:t>est pas applicable au matériau catadioptrique fluorescent.</w:t>
      </w:r>
    </w:p>
    <w:p w:rsidR="00EB1041" w:rsidRPr="008B062D" w:rsidRDefault="00EB1041" w:rsidP="009D1F14">
      <w:pPr>
        <w:pStyle w:val="SingleTxtG"/>
        <w:keepNext/>
        <w:ind w:left="2268" w:hanging="1134"/>
        <w:jc w:val="left"/>
        <w:rPr>
          <w:lang w:val="fr-FR"/>
        </w:rPr>
      </w:pPr>
      <w:r w:rsidRPr="008B062D">
        <w:rPr>
          <w:lang w:val="fr-FR"/>
        </w:rPr>
        <w:t xml:space="preserve">12. </w:t>
      </w:r>
      <w:r w:rsidRPr="008B062D">
        <w:rPr>
          <w:lang w:val="fr-FR"/>
        </w:rPr>
        <w:tab/>
        <w:t>Essai de résistance aux intempéries du facteur de luminance et de la couleu</w:t>
      </w:r>
      <w:r w:rsidR="00693679">
        <w:rPr>
          <w:lang w:val="fr-FR"/>
        </w:rPr>
        <w:t>r</w:t>
      </w:r>
      <w:r w:rsidR="00693679">
        <w:rPr>
          <w:lang w:val="fr-FR"/>
        </w:rPr>
        <w:br/>
      </w:r>
      <w:r w:rsidRPr="008B062D">
        <w:rPr>
          <w:lang w:val="fr-FR"/>
        </w:rPr>
        <w:t>des matières fluorescentes (triangle de présignalisation de type 1) et catadioptriques fluorescentes (triangle de présignalisation de type 2)</w:t>
      </w:r>
    </w:p>
    <w:p w:rsidR="00EB1041" w:rsidRPr="008B062D" w:rsidRDefault="00EB1041" w:rsidP="00250926">
      <w:pPr>
        <w:pStyle w:val="SingleTxtG"/>
        <w:ind w:left="2268" w:hanging="1134"/>
        <w:rPr>
          <w:bCs/>
          <w:lang w:val="fr-FR"/>
        </w:rPr>
      </w:pPr>
      <w:r w:rsidRPr="008B062D">
        <w:rPr>
          <w:lang w:val="fr-FR"/>
        </w:rPr>
        <w:t xml:space="preserve">12.1 </w:t>
      </w:r>
      <w:r w:rsidRPr="008B062D">
        <w:rPr>
          <w:lang w:val="fr-FR"/>
        </w:rPr>
        <w:tab/>
        <w:t>L</w:t>
      </w:r>
      <w:r w:rsidR="00971BFE">
        <w:rPr>
          <w:lang w:val="fr-FR"/>
        </w:rPr>
        <w:t>’</w:t>
      </w:r>
      <w:r w:rsidRPr="008B062D">
        <w:rPr>
          <w:lang w:val="fr-FR"/>
        </w:rPr>
        <w:t>un des échantillons de matériau fluorescent présentés conformément au paragraphe 3.5 du présent Règlement est soumis à l</w:t>
      </w:r>
      <w:r w:rsidR="00971BFE">
        <w:rPr>
          <w:lang w:val="fr-FR"/>
        </w:rPr>
        <w:t>’</w:t>
      </w:r>
      <w:r w:rsidRPr="008B062D">
        <w:rPr>
          <w:lang w:val="fr-FR"/>
        </w:rPr>
        <w:t>essai de résistance à la température et au rayonnement décrit à l</w:t>
      </w:r>
      <w:r w:rsidR="00971BFE">
        <w:rPr>
          <w:lang w:val="fr-FR"/>
        </w:rPr>
        <w:t>’</w:t>
      </w:r>
      <w:r w:rsidRPr="008B062D">
        <w:rPr>
          <w:lang w:val="fr-FR"/>
        </w:rPr>
        <w:t>annexe 9 du présent Règlement jusqu</w:t>
      </w:r>
      <w:r w:rsidR="00971BFE">
        <w:rPr>
          <w:lang w:val="fr-FR"/>
        </w:rPr>
        <w:t>’</w:t>
      </w:r>
      <w:r w:rsidRPr="008B062D">
        <w:rPr>
          <w:lang w:val="fr-FR"/>
        </w:rPr>
        <w:t>à ce que l</w:t>
      </w:r>
      <w:r w:rsidR="00971BFE">
        <w:rPr>
          <w:lang w:val="fr-FR"/>
        </w:rPr>
        <w:t>’</w:t>
      </w:r>
      <w:r w:rsidRPr="008B062D">
        <w:rPr>
          <w:lang w:val="fr-FR"/>
        </w:rPr>
        <w:t>échantillon de référence n</w:t>
      </w:r>
      <w:r w:rsidRPr="008B062D">
        <w:rPr>
          <w:vertAlign w:val="superscript"/>
          <w:lang w:val="fr-FR"/>
        </w:rPr>
        <w:t>o</w:t>
      </w:r>
      <w:r w:rsidRPr="008B062D">
        <w:rPr>
          <w:lang w:val="fr-FR"/>
        </w:rPr>
        <w:t> 5 ait atteint le contraste n</w:t>
      </w:r>
      <w:r w:rsidRPr="008B062D">
        <w:rPr>
          <w:vertAlign w:val="superscript"/>
          <w:lang w:val="fr-FR"/>
        </w:rPr>
        <w:t>o</w:t>
      </w:r>
      <w:r w:rsidRPr="008B062D">
        <w:rPr>
          <w:lang w:val="fr-FR"/>
        </w:rPr>
        <w:t> 4 de l</w:t>
      </w:r>
      <w:r w:rsidR="00971BFE">
        <w:rPr>
          <w:lang w:val="fr-FR"/>
        </w:rPr>
        <w:t>’</w:t>
      </w:r>
      <w:r w:rsidRPr="008B062D">
        <w:rPr>
          <w:lang w:val="fr-FR"/>
        </w:rPr>
        <w:t>échelle de gris ou que les équivalents d</w:t>
      </w:r>
      <w:r w:rsidR="00971BFE">
        <w:rPr>
          <w:lang w:val="fr-FR"/>
        </w:rPr>
        <w:t>’</w:t>
      </w:r>
      <w:r w:rsidRPr="008B062D">
        <w:rPr>
          <w:lang w:val="fr-FR"/>
        </w:rPr>
        <w:t>exposition à la lumière pour que l</w:t>
      </w:r>
      <w:r w:rsidR="00971BFE">
        <w:rPr>
          <w:lang w:val="fr-FR"/>
        </w:rPr>
        <w:t>’</w:t>
      </w:r>
      <w:r w:rsidRPr="008B062D">
        <w:rPr>
          <w:lang w:val="fr-FR"/>
        </w:rPr>
        <w:t>échantillon de référence laine bleue n</w:t>
      </w:r>
      <w:r w:rsidRPr="008B062D">
        <w:rPr>
          <w:vertAlign w:val="superscript"/>
          <w:lang w:val="fr-FR"/>
        </w:rPr>
        <w:t>o</w:t>
      </w:r>
      <w:r w:rsidRPr="008B062D">
        <w:rPr>
          <w:lang w:val="fr-FR"/>
        </w:rPr>
        <w:t> 5 se dégrade au degré 4 de l</w:t>
      </w:r>
      <w:r w:rsidR="00971BFE">
        <w:rPr>
          <w:lang w:val="fr-FR"/>
        </w:rPr>
        <w:t>’</w:t>
      </w:r>
      <w:r w:rsidRPr="008B062D">
        <w:rPr>
          <w:lang w:val="fr-FR"/>
        </w:rPr>
        <w:t>échelle de gris aient été atteints sous l</w:t>
      </w:r>
      <w:r w:rsidR="00971BFE">
        <w:rPr>
          <w:lang w:val="fr-FR"/>
        </w:rPr>
        <w:t>’</w:t>
      </w:r>
      <w:r w:rsidRPr="008B062D">
        <w:rPr>
          <w:lang w:val="fr-FR"/>
        </w:rPr>
        <w:t>effet d</w:t>
      </w:r>
      <w:r w:rsidR="00971BFE">
        <w:rPr>
          <w:lang w:val="fr-FR"/>
        </w:rPr>
        <w:t>’</w:t>
      </w:r>
      <w:r w:rsidRPr="008B062D">
        <w:rPr>
          <w:lang w:val="fr-FR"/>
        </w:rPr>
        <w:t>une lampe à arc au xénon.</w:t>
      </w:r>
    </w:p>
    <w:p w:rsidR="00EB1041" w:rsidRPr="008B062D" w:rsidRDefault="00EB1041" w:rsidP="00250926">
      <w:pPr>
        <w:pStyle w:val="SingleTxtG"/>
        <w:ind w:left="2268" w:hanging="1134"/>
        <w:rPr>
          <w:lang w:val="fr-FR"/>
        </w:rPr>
      </w:pPr>
      <w:r w:rsidRPr="008B062D">
        <w:rPr>
          <w:lang w:val="fr-FR"/>
        </w:rPr>
        <w:t xml:space="preserve">12.2 </w:t>
      </w:r>
      <w:r w:rsidRPr="008B062D">
        <w:rPr>
          <w:lang w:val="fr-FR"/>
        </w:rPr>
        <w:tab/>
      </w:r>
      <w:r w:rsidRPr="008B062D">
        <w:rPr>
          <w:lang w:val="fr-FR" w:eastAsia="fr-FR"/>
        </w:rPr>
        <w:t xml:space="preserve">Après cet essai, les coordonnées de la couleur de la matière fluorescente doivent satisfaire à la spécification du paragraphe 7.2.2.2 du présent </w:t>
      </w:r>
      <w:r w:rsidRPr="008B062D">
        <w:rPr>
          <w:lang w:val="fr-FR"/>
        </w:rPr>
        <w:t>Règlement</w:t>
      </w:r>
      <w:r w:rsidRPr="008B062D">
        <w:rPr>
          <w:lang w:val="fr-FR" w:eastAsia="fr-FR"/>
        </w:rPr>
        <w:t xml:space="preserve">. Son </w:t>
      </w:r>
      <w:r w:rsidR="00F378A7">
        <w:rPr>
          <w:lang w:val="fr-FR" w:eastAsia="fr-FR"/>
        </w:rPr>
        <w:t>facteur de luminance (voir par. </w:t>
      </w:r>
      <w:r w:rsidRPr="008B062D">
        <w:rPr>
          <w:lang w:val="fr-FR" w:eastAsia="fr-FR"/>
        </w:rPr>
        <w:t>3 ci-dessus) doit satisfaire aux prescriptions du paragraphe 7.2.2.3 du présent Règlement et ne doit pas avoir augmenté de plus de 5 % par rapport à la valeur obt</w:t>
      </w:r>
      <w:r w:rsidR="00F378A7">
        <w:rPr>
          <w:lang w:val="fr-FR" w:eastAsia="fr-FR"/>
        </w:rPr>
        <w:t>enue conformément au paragraphe </w:t>
      </w:r>
      <w:r w:rsidRPr="008B062D">
        <w:rPr>
          <w:lang w:val="fr-FR" w:eastAsia="fr-FR"/>
        </w:rPr>
        <w:t>1.7.2 ci-dessus.</w:t>
      </w:r>
    </w:p>
    <w:p w:rsidR="00EB1041" w:rsidRPr="008B062D" w:rsidRDefault="00EB1041" w:rsidP="00250926">
      <w:pPr>
        <w:pStyle w:val="SingleTxtG"/>
        <w:ind w:left="2268" w:hanging="1134"/>
        <w:rPr>
          <w:lang w:val="fr-FR"/>
        </w:rPr>
      </w:pPr>
      <w:r w:rsidRPr="008B062D">
        <w:rPr>
          <w:lang w:val="fr-FR"/>
        </w:rPr>
        <w:t>12.3</w:t>
      </w:r>
      <w:r w:rsidRPr="008B062D">
        <w:rPr>
          <w:lang w:val="fr-FR"/>
        </w:rPr>
        <w:tab/>
        <w:t>L</w:t>
      </w:r>
      <w:r w:rsidR="00971BFE">
        <w:rPr>
          <w:lang w:val="fr-FR"/>
        </w:rPr>
        <w:t>’</w:t>
      </w:r>
      <w:r w:rsidRPr="008B062D">
        <w:rPr>
          <w:lang w:val="fr-FR"/>
        </w:rPr>
        <w:t>échantillon</w:t>
      </w:r>
      <w:r w:rsidRPr="008B062D">
        <w:rPr>
          <w:lang w:val="fr-FR" w:eastAsia="fr-FR"/>
        </w:rPr>
        <w:t xml:space="preserve"> ne doit pas présenter de détériorations apparentes, telles que fissures, écaillage ou décollement de la matière fluorescente ou </w:t>
      </w:r>
      <w:r w:rsidRPr="008B062D">
        <w:rPr>
          <w:lang w:val="fr-FR"/>
        </w:rPr>
        <w:t>catadioptrique fluorescente</w:t>
      </w:r>
      <w:r w:rsidRPr="008B062D">
        <w:rPr>
          <w:szCs w:val="24"/>
          <w:lang w:val="fr-FR" w:eastAsia="fr-FR"/>
        </w:rPr>
        <w:t>.</w:t>
      </w:r>
    </w:p>
    <w:p w:rsidR="00A43ABD" w:rsidRDefault="00EB1041" w:rsidP="00EB1041">
      <w:pPr>
        <w:pStyle w:val="SingleTxtG"/>
        <w:ind w:left="2268" w:hanging="1134"/>
        <w:rPr>
          <w:szCs w:val="24"/>
          <w:lang w:val="fr-FR" w:eastAsia="fr-FR"/>
        </w:rPr>
      </w:pPr>
      <w:r w:rsidRPr="008B062D">
        <w:rPr>
          <w:lang w:val="fr-FR"/>
        </w:rPr>
        <w:t>12.4</w:t>
      </w:r>
      <w:r w:rsidRPr="008B062D">
        <w:rPr>
          <w:lang w:val="fr-FR"/>
        </w:rPr>
        <w:tab/>
        <w:t>Lorsque</w:t>
      </w:r>
      <w:r w:rsidRPr="008B062D">
        <w:rPr>
          <w:szCs w:val="24"/>
          <w:lang w:val="fr-FR" w:eastAsia="fr-FR"/>
        </w:rPr>
        <w:t xml:space="preserve"> la matière fluorescente est constituée par un film adhésif ayant déjà subi avec succès les essais susmentionnés lors d</w:t>
      </w:r>
      <w:r w:rsidR="00971BFE">
        <w:rPr>
          <w:szCs w:val="24"/>
          <w:lang w:val="fr-FR" w:eastAsia="fr-FR"/>
        </w:rPr>
        <w:t>’</w:t>
      </w:r>
      <w:r w:rsidRPr="008B062D">
        <w:rPr>
          <w:szCs w:val="24"/>
          <w:lang w:val="fr-FR" w:eastAsia="fr-FR"/>
        </w:rPr>
        <w:t>une homologation antérieure, il n</w:t>
      </w:r>
      <w:r w:rsidR="00971BFE">
        <w:rPr>
          <w:szCs w:val="24"/>
          <w:lang w:val="fr-FR" w:eastAsia="fr-FR"/>
        </w:rPr>
        <w:t>’</w:t>
      </w:r>
      <w:r w:rsidRPr="008B062D">
        <w:rPr>
          <w:szCs w:val="24"/>
          <w:lang w:val="fr-FR" w:eastAsia="fr-FR"/>
        </w:rPr>
        <w:t>y a pas lieu de recommencer les essais; mention doit en être faite sur la fiche de communication concernant l</w:t>
      </w:r>
      <w:r w:rsidR="00971BFE">
        <w:rPr>
          <w:szCs w:val="24"/>
          <w:lang w:val="fr-FR" w:eastAsia="fr-FR"/>
        </w:rPr>
        <w:t>’</w:t>
      </w:r>
      <w:r w:rsidRPr="008B062D">
        <w:rPr>
          <w:szCs w:val="24"/>
          <w:lang w:val="fr-FR" w:eastAsia="fr-FR"/>
        </w:rPr>
        <w:t>homologation (annexe 1 du présent Règlement), sous le chiffre 12 («Remarques»).</w:t>
      </w:r>
    </w:p>
    <w:p w:rsidR="009D3E1D" w:rsidRDefault="009D3E1D" w:rsidP="00EB1041">
      <w:pPr>
        <w:pStyle w:val="SingleTxtG"/>
        <w:ind w:left="2268" w:hanging="1134"/>
        <w:rPr>
          <w:lang w:val="fr-FR"/>
        </w:rPr>
        <w:sectPr w:rsidR="009D3E1D" w:rsidSect="004B1660">
          <w:headerReference w:type="even" r:id="rId41"/>
          <w:headerReference w:type="default" r:id="rId42"/>
          <w:footnotePr>
            <w:numRestart w:val="eachSect"/>
          </w:footnotePr>
          <w:endnotePr>
            <w:numFmt w:val="decimal"/>
          </w:endnotePr>
          <w:pgSz w:w="11907" w:h="16840" w:code="9"/>
          <w:pgMar w:top="1701" w:right="1134" w:bottom="2268" w:left="1134" w:header="794" w:footer="1701" w:gutter="0"/>
          <w:cols w:space="720"/>
          <w:docGrid w:linePitch="272"/>
        </w:sectPr>
      </w:pPr>
    </w:p>
    <w:p w:rsidR="00EC0778" w:rsidRPr="00EC0778" w:rsidRDefault="00EC0778" w:rsidP="00EC0778">
      <w:pPr>
        <w:pStyle w:val="HChG"/>
      </w:pPr>
      <w:bookmarkStart w:id="50" w:name="_Toc386120432"/>
      <w:r>
        <w:rPr>
          <w:lang w:val="fr-FR"/>
        </w:rPr>
        <w:t>Annexe 6</w:t>
      </w:r>
    </w:p>
    <w:p w:rsidR="00D17F3A" w:rsidRPr="008B062D" w:rsidRDefault="00EC0778" w:rsidP="00EC0778">
      <w:pPr>
        <w:pStyle w:val="HChG"/>
        <w:rPr>
          <w:lang w:val="fr-FR"/>
        </w:rPr>
      </w:pPr>
      <w:r>
        <w:rPr>
          <w:lang w:val="fr-FR"/>
        </w:rPr>
        <w:tab/>
      </w:r>
      <w:r>
        <w:rPr>
          <w:lang w:val="fr-FR"/>
        </w:rPr>
        <w:tab/>
      </w:r>
      <w:r w:rsidR="00D17F3A" w:rsidRPr="008B062D">
        <w:rPr>
          <w:lang w:val="fr-FR"/>
        </w:rPr>
        <w:t>Méthode de mesure du CIL du dispositif catadioptrique</w:t>
      </w:r>
      <w:r>
        <w:rPr>
          <w:lang w:val="fr-FR"/>
        </w:rPr>
        <w:br/>
      </w:r>
      <w:r w:rsidR="00D17F3A" w:rsidRPr="008B062D">
        <w:rPr>
          <w:lang w:val="fr-FR"/>
        </w:rPr>
        <w:t>et du matériau catadioptrique fluorescent</w:t>
      </w:r>
      <w:bookmarkEnd w:id="50"/>
    </w:p>
    <w:p w:rsidR="00D17F3A" w:rsidRPr="008B062D" w:rsidRDefault="00EC0778" w:rsidP="00632913">
      <w:pPr>
        <w:keepNext/>
        <w:spacing w:after="100"/>
        <w:ind w:left="2268" w:right="1134" w:hanging="1134"/>
        <w:rPr>
          <w:lang w:val="fr-FR" w:eastAsia="en-GB"/>
        </w:rPr>
      </w:pPr>
      <w:r>
        <w:rPr>
          <w:lang w:val="fr-FR" w:eastAsia="en-GB"/>
        </w:rPr>
        <w:t>1.</w:t>
      </w:r>
      <w:r w:rsidR="00D17F3A" w:rsidRPr="008B062D">
        <w:rPr>
          <w:lang w:val="fr-FR" w:eastAsia="en-GB"/>
        </w:rPr>
        <w:tab/>
        <w:t>Définitions</w:t>
      </w:r>
    </w:p>
    <w:p w:rsidR="00D17F3A" w:rsidRPr="008B062D" w:rsidRDefault="00D17F3A" w:rsidP="00632913">
      <w:pPr>
        <w:pStyle w:val="SingleTxtG"/>
        <w:spacing w:after="100"/>
        <w:ind w:left="2268"/>
        <w:rPr>
          <w:lang w:val="fr-FR" w:eastAsia="en-GB"/>
        </w:rPr>
      </w:pPr>
      <w:r w:rsidRPr="008B062D">
        <w:rPr>
          <w:lang w:val="fr-FR" w:eastAsia="en-GB"/>
        </w:rPr>
        <w:t>La terminologie est explicitée par les figures 1 à 4.</w:t>
      </w:r>
    </w:p>
    <w:p w:rsidR="00D17F3A" w:rsidRPr="008B062D" w:rsidRDefault="00D17F3A" w:rsidP="00632913">
      <w:pPr>
        <w:keepNext/>
        <w:spacing w:after="100"/>
        <w:ind w:left="2268" w:right="1134" w:hanging="1134"/>
        <w:rPr>
          <w:lang w:val="fr-FR" w:eastAsia="en-GB"/>
        </w:rPr>
      </w:pPr>
      <w:r w:rsidRPr="008B062D">
        <w:rPr>
          <w:lang w:val="fr-FR" w:eastAsia="en-GB"/>
        </w:rPr>
        <w:t xml:space="preserve">2. </w:t>
      </w:r>
      <w:r w:rsidRPr="008B062D">
        <w:rPr>
          <w:lang w:val="fr-FR" w:eastAsia="en-GB"/>
        </w:rPr>
        <w:tab/>
        <w:t>Spécifications dimensi</w:t>
      </w:r>
      <w:r w:rsidR="009A3681">
        <w:rPr>
          <w:lang w:val="fr-FR" w:eastAsia="en-GB"/>
        </w:rPr>
        <w:t>onnelles et physiques relatives</w:t>
      </w:r>
      <w:r w:rsidR="009A3681">
        <w:rPr>
          <w:lang w:val="fr-FR" w:eastAsia="en-GB"/>
        </w:rPr>
        <w:br/>
      </w:r>
      <w:r w:rsidRPr="008B062D">
        <w:rPr>
          <w:lang w:val="fr-FR" w:eastAsia="en-GB"/>
        </w:rPr>
        <w:t>à la photométrie des rétroréflecteurs</w:t>
      </w:r>
    </w:p>
    <w:p w:rsidR="00D17F3A" w:rsidRPr="008B062D" w:rsidRDefault="00D17F3A" w:rsidP="00632913">
      <w:pPr>
        <w:keepNext/>
        <w:spacing w:after="100"/>
        <w:ind w:left="2268" w:right="1134" w:hanging="1134"/>
        <w:jc w:val="both"/>
        <w:rPr>
          <w:lang w:val="fr-FR" w:eastAsia="en-GB"/>
        </w:rPr>
      </w:pPr>
      <w:r w:rsidRPr="008B062D">
        <w:rPr>
          <w:lang w:val="fr-FR" w:eastAsia="en-GB"/>
        </w:rPr>
        <w:t>2.1</w:t>
      </w:r>
      <w:r w:rsidRPr="008B062D">
        <w:rPr>
          <w:lang w:val="fr-FR" w:eastAsia="en-GB"/>
        </w:rPr>
        <w:tab/>
        <w:t>On utilise le système angulaire de la CIE illustré à la figure 1.</w:t>
      </w:r>
    </w:p>
    <w:p w:rsidR="00D17F3A" w:rsidRPr="008B062D" w:rsidRDefault="00D17F3A" w:rsidP="00632913">
      <w:pPr>
        <w:pStyle w:val="SingleTxtG"/>
        <w:spacing w:after="100"/>
        <w:ind w:left="2268"/>
        <w:rPr>
          <w:lang w:val="fr-FR" w:eastAsia="en-GB"/>
        </w:rPr>
      </w:pPr>
      <w:r w:rsidRPr="008B062D">
        <w:rPr>
          <w:lang w:val="fr-FR" w:eastAsia="en-GB"/>
        </w:rPr>
        <w:t>La figure 2 représente un support (goniomètre) approprié.</w:t>
      </w:r>
    </w:p>
    <w:p w:rsidR="00D17F3A" w:rsidRPr="008B062D" w:rsidRDefault="00D17F3A" w:rsidP="00632913">
      <w:pPr>
        <w:spacing w:after="100"/>
        <w:ind w:left="2268" w:right="1134" w:hanging="1134"/>
        <w:jc w:val="both"/>
        <w:rPr>
          <w:lang w:val="fr-FR" w:eastAsia="en-GB"/>
        </w:rPr>
      </w:pPr>
      <w:r w:rsidRPr="008B062D">
        <w:rPr>
          <w:lang w:val="fr-FR" w:eastAsia="en-GB"/>
        </w:rPr>
        <w:t>2.2</w:t>
      </w:r>
      <w:r w:rsidRPr="008B062D">
        <w:rPr>
          <w:lang w:val="fr-FR" w:eastAsia="en-GB"/>
        </w:rPr>
        <w:tab/>
        <w:t>La distance de mesure est choisie dans un ordre de grandeur permettant de</w:t>
      </w:r>
      <w:r w:rsidR="009A3681">
        <w:rPr>
          <w:lang w:val="fr-FR" w:eastAsia="en-GB"/>
        </w:rPr>
        <w:t> </w:t>
      </w:r>
      <w:r w:rsidRPr="008B062D">
        <w:rPr>
          <w:lang w:val="fr-FR" w:eastAsia="en-GB"/>
        </w:rPr>
        <w:t xml:space="preserve">respecter au moins les limites indiquées pour les angles </w:t>
      </w:r>
      <w:r w:rsidRPr="008B062D">
        <w:rPr>
          <w:rFonts w:ascii="Symbol" w:hAnsi="Symbol" w:cs="Symbol"/>
          <w:lang w:val="fr-FR" w:eastAsia="en-GB"/>
        </w:rPr>
        <w:t></w:t>
      </w:r>
      <w:r w:rsidRPr="008B062D">
        <w:rPr>
          <w:lang w:val="fr-FR" w:eastAsia="en-GB"/>
        </w:rPr>
        <w:t xml:space="preserve">, </w:t>
      </w:r>
      <w:r w:rsidRPr="008B062D">
        <w:rPr>
          <w:rFonts w:ascii="Symbol" w:hAnsi="Symbol" w:cs="Symbol"/>
          <w:lang w:val="fr-FR" w:eastAsia="en-GB"/>
        </w:rPr>
        <w:t></w:t>
      </w:r>
      <w:r w:rsidRPr="008B062D">
        <w:rPr>
          <w:rFonts w:ascii="Symbol" w:hAnsi="Symbol" w:cs="Symbol"/>
          <w:lang w:val="fr-FR" w:eastAsia="en-GB"/>
        </w:rPr>
        <w:t></w:t>
      </w:r>
      <w:r w:rsidRPr="008B062D">
        <w:rPr>
          <w:lang w:val="fr-FR" w:eastAsia="en-GB"/>
        </w:rPr>
        <w:t xml:space="preserve">et </w:t>
      </w:r>
      <w:r w:rsidRPr="008B062D">
        <w:rPr>
          <w:rFonts w:ascii="Symbol" w:hAnsi="Symbol" w:cs="Symbol"/>
          <w:lang w:val="fr-FR" w:eastAsia="en-GB"/>
        </w:rPr>
        <w:t></w:t>
      </w:r>
      <w:r w:rsidRPr="008B062D">
        <w:rPr>
          <w:rFonts w:ascii="Symbol" w:hAnsi="Symbol" w:cs="Symbol"/>
          <w:lang w:val="fr-FR" w:eastAsia="en-GB"/>
        </w:rPr>
        <w:t></w:t>
      </w:r>
      <w:r w:rsidR="009A3681">
        <w:rPr>
          <w:lang w:val="fr-FR" w:eastAsia="en-GB"/>
        </w:rPr>
        <w:t>par la figure </w:t>
      </w:r>
      <w:r w:rsidRPr="008B062D">
        <w:rPr>
          <w:lang w:val="fr-FR" w:eastAsia="en-GB"/>
        </w:rPr>
        <w:t>4, mais ne doit pas être inférieure à 10 m ou à l</w:t>
      </w:r>
      <w:r w:rsidR="00971BFE">
        <w:rPr>
          <w:lang w:val="fr-FR" w:eastAsia="en-GB"/>
        </w:rPr>
        <w:t>’</w:t>
      </w:r>
      <w:r w:rsidRPr="008B062D">
        <w:rPr>
          <w:lang w:val="fr-FR" w:eastAsia="en-GB"/>
        </w:rPr>
        <w:t>équivalent optique de cette distance.</w:t>
      </w:r>
    </w:p>
    <w:p w:rsidR="00D17F3A" w:rsidRPr="008B062D" w:rsidRDefault="00D17F3A" w:rsidP="00632913">
      <w:pPr>
        <w:keepNext/>
        <w:spacing w:after="100"/>
        <w:ind w:left="2268" w:right="1134" w:hanging="1134"/>
        <w:jc w:val="both"/>
        <w:rPr>
          <w:lang w:val="fr-FR" w:eastAsia="en-GB"/>
        </w:rPr>
      </w:pPr>
      <w:r w:rsidRPr="008B062D">
        <w:rPr>
          <w:lang w:val="fr-FR" w:eastAsia="en-GB"/>
        </w:rPr>
        <w:t>2.3</w:t>
      </w:r>
      <w:r w:rsidRPr="008B062D">
        <w:rPr>
          <w:lang w:val="fr-FR" w:eastAsia="en-GB"/>
        </w:rPr>
        <w:tab/>
        <w:t>L</w:t>
      </w:r>
      <w:r w:rsidR="00971BFE">
        <w:rPr>
          <w:lang w:val="fr-FR" w:eastAsia="en-GB"/>
        </w:rPr>
        <w:t>’</w:t>
      </w:r>
      <w:r w:rsidRPr="008B062D">
        <w:rPr>
          <w:lang w:val="fr-FR" w:eastAsia="en-GB"/>
        </w:rPr>
        <w:t>éclairement de la surface utile du rétroréflecteur, mesuré perpendiculairement à la lumière incidente, doit être suffisamment uniforme. Pour vérifier cette uniformité, il faut un élément de mesure dont la surface sensible ne dépasse pas le dixième de la surface à examiner. L</w:t>
      </w:r>
      <w:r w:rsidR="00971BFE">
        <w:rPr>
          <w:lang w:val="fr-FR" w:eastAsia="en-GB"/>
        </w:rPr>
        <w:t>’</w:t>
      </w:r>
      <w:r w:rsidRPr="008B062D">
        <w:rPr>
          <w:lang w:val="fr-FR" w:eastAsia="en-GB"/>
        </w:rPr>
        <w:t>écart entre les valeurs de l</w:t>
      </w:r>
      <w:r w:rsidR="00971BFE">
        <w:rPr>
          <w:lang w:val="fr-FR" w:eastAsia="en-GB"/>
        </w:rPr>
        <w:t>’</w:t>
      </w:r>
      <w:r w:rsidRPr="008B062D">
        <w:rPr>
          <w:lang w:val="fr-FR" w:eastAsia="en-GB"/>
        </w:rPr>
        <w:t>éclairement doit satisfaire à la condition suivante:</w:t>
      </w:r>
    </w:p>
    <w:p w:rsidR="00D17F3A" w:rsidRPr="008B062D" w:rsidRDefault="00D17F3A" w:rsidP="00632913">
      <w:pPr>
        <w:pStyle w:val="SingleTxtG"/>
        <w:spacing w:after="100"/>
        <w:ind w:left="2268"/>
        <w:rPr>
          <w:lang w:val="fr-FR" w:eastAsia="en-GB"/>
        </w:rPr>
      </w:pPr>
      <w:r w:rsidRPr="00D17F3A">
        <w:rPr>
          <w:rFonts w:eastAsia="Times New Roman"/>
          <w:position w:val="-22"/>
          <w:lang w:val="fr-FR" w:eastAsia="en-GB"/>
        </w:rPr>
        <w:object w:dxaOrig="1980" w:dyaOrig="560">
          <v:shape id="_x0000_i1033" type="#_x0000_t75" style="width:99.75pt;height:27.75pt" o:ole="">
            <v:imagedata r:id="rId43" o:title=""/>
          </v:shape>
          <o:OLEObject Type="Embed" ProgID="Equation.3" ShapeID="_x0000_i1033" DrawAspect="Content" ObjectID="_1545491804" r:id="rId44"/>
        </w:object>
      </w:r>
    </w:p>
    <w:p w:rsidR="00D17F3A" w:rsidRPr="008B062D" w:rsidRDefault="00D17F3A" w:rsidP="00632913">
      <w:pPr>
        <w:spacing w:after="100"/>
        <w:ind w:left="2268" w:right="1134" w:hanging="1134"/>
        <w:jc w:val="both"/>
        <w:rPr>
          <w:lang w:val="fr-FR" w:eastAsia="en-GB"/>
        </w:rPr>
      </w:pPr>
      <w:r w:rsidRPr="008B062D">
        <w:rPr>
          <w:lang w:val="fr-FR" w:eastAsia="en-GB"/>
        </w:rPr>
        <w:t xml:space="preserve">2.4 </w:t>
      </w:r>
      <w:r w:rsidRPr="008B062D">
        <w:rPr>
          <w:lang w:val="fr-FR" w:eastAsia="en-GB"/>
        </w:rPr>
        <w:tab/>
        <w:t>La température de couleur et la répartition spectrale de la source</w:t>
      </w:r>
    </w:p>
    <w:p w:rsidR="00D17F3A" w:rsidRPr="008B062D" w:rsidRDefault="00D17F3A" w:rsidP="00632913">
      <w:pPr>
        <w:pStyle w:val="SingleTxtG"/>
        <w:spacing w:after="100"/>
        <w:ind w:left="2268"/>
        <w:rPr>
          <w:lang w:val="fr-FR" w:eastAsia="en-GB"/>
        </w:rPr>
      </w:pPr>
      <w:r w:rsidRPr="008B062D">
        <w:rPr>
          <w:lang w:val="fr-FR" w:eastAsia="en-GB"/>
        </w:rPr>
        <w:t>La source utilisée pour éclairer le rétroréflecteur doit représenter aussi fidèlement que possible l</w:t>
      </w:r>
      <w:r w:rsidR="00971BFE">
        <w:rPr>
          <w:lang w:val="fr-FR" w:eastAsia="en-GB"/>
        </w:rPr>
        <w:t>’</w:t>
      </w:r>
      <w:r w:rsidRPr="008B062D">
        <w:rPr>
          <w:lang w:val="fr-FR" w:eastAsia="en-GB"/>
        </w:rPr>
        <w:t>illuminant A de la CIE, tant du point de vue de la température de couleur que de celui de la répartition spectrale.</w:t>
      </w:r>
    </w:p>
    <w:p w:rsidR="00D17F3A" w:rsidRPr="008B062D" w:rsidRDefault="00D17F3A" w:rsidP="00632913">
      <w:pPr>
        <w:spacing w:after="100"/>
        <w:ind w:left="2268" w:right="1134" w:hanging="1134"/>
        <w:jc w:val="both"/>
        <w:rPr>
          <w:lang w:val="fr-FR" w:eastAsia="en-GB"/>
        </w:rPr>
      </w:pPr>
      <w:r w:rsidRPr="008B062D">
        <w:rPr>
          <w:lang w:val="fr-FR" w:eastAsia="en-GB"/>
        </w:rPr>
        <w:t>2.5</w:t>
      </w:r>
      <w:r w:rsidRPr="008B062D">
        <w:rPr>
          <w:lang w:val="fr-FR" w:eastAsia="en-GB"/>
        </w:rPr>
        <w:tab/>
        <w:t xml:space="preserve">La tête photométrique (élément de mesure) </w:t>
      </w:r>
    </w:p>
    <w:p w:rsidR="00D17F3A" w:rsidRPr="008B062D" w:rsidRDefault="00D17F3A" w:rsidP="00632913">
      <w:pPr>
        <w:spacing w:after="100"/>
        <w:ind w:left="2268" w:right="1134" w:hanging="1134"/>
        <w:jc w:val="both"/>
        <w:rPr>
          <w:lang w:val="fr-FR" w:eastAsia="en-GB"/>
        </w:rPr>
      </w:pPr>
      <w:r w:rsidRPr="008B062D">
        <w:rPr>
          <w:lang w:val="fr-FR" w:eastAsia="en-GB"/>
        </w:rPr>
        <w:t xml:space="preserve">2.5.1 </w:t>
      </w:r>
      <w:r w:rsidRPr="008B062D">
        <w:rPr>
          <w:lang w:val="fr-FR" w:eastAsia="en-GB"/>
        </w:rPr>
        <w:tab/>
        <w:t>La tête photométrique doit être réglée sur l</w:t>
      </w:r>
      <w:r w:rsidR="00971BFE">
        <w:rPr>
          <w:lang w:val="fr-FR" w:eastAsia="en-GB"/>
        </w:rPr>
        <w:t>’</w:t>
      </w:r>
      <w:r w:rsidRPr="008B062D">
        <w:rPr>
          <w:lang w:val="fr-FR" w:eastAsia="en-GB"/>
        </w:rPr>
        <w:t>efficacité lumineuse spectrale aux fins de l</w:t>
      </w:r>
      <w:r w:rsidR="00971BFE">
        <w:rPr>
          <w:lang w:val="fr-FR" w:eastAsia="en-GB"/>
        </w:rPr>
        <w:t>’</w:t>
      </w:r>
      <w:r w:rsidRPr="008B062D">
        <w:rPr>
          <w:lang w:val="fr-FR" w:eastAsia="en-GB"/>
        </w:rPr>
        <w:t>observateur de référence photométrique CIE en vision photopique.</w:t>
      </w:r>
    </w:p>
    <w:p w:rsidR="00D17F3A" w:rsidRPr="008B062D" w:rsidRDefault="00D17F3A" w:rsidP="00632913">
      <w:pPr>
        <w:spacing w:after="100"/>
        <w:ind w:left="2268" w:right="1134" w:hanging="1134"/>
        <w:jc w:val="both"/>
        <w:rPr>
          <w:lang w:val="fr-FR" w:eastAsia="en-GB"/>
        </w:rPr>
      </w:pPr>
      <w:r w:rsidRPr="008B062D">
        <w:rPr>
          <w:lang w:val="fr-FR" w:eastAsia="en-GB"/>
        </w:rPr>
        <w:t xml:space="preserve">2.5.2 </w:t>
      </w:r>
      <w:r w:rsidRPr="008B062D">
        <w:rPr>
          <w:lang w:val="fr-FR" w:eastAsia="en-GB"/>
        </w:rPr>
        <w:tab/>
        <w:t>L</w:t>
      </w:r>
      <w:r w:rsidR="00971BFE">
        <w:rPr>
          <w:lang w:val="fr-FR" w:eastAsia="en-GB"/>
        </w:rPr>
        <w:t>’</w:t>
      </w:r>
      <w:r w:rsidRPr="008B062D">
        <w:rPr>
          <w:lang w:val="fr-FR" w:eastAsia="en-GB"/>
        </w:rPr>
        <w:t>appareil ne doit révéler aucun changement perceptible de sensibilité locale dans la zone de son ouverture; dans le cas contraire, il faut ajouter les dispositifs nécessaires, par exemple une fenêtre diffusante placée à une certaine distance face à la surface sensible.</w:t>
      </w:r>
    </w:p>
    <w:p w:rsidR="00D17F3A" w:rsidRPr="008B062D" w:rsidRDefault="00D17F3A" w:rsidP="00632913">
      <w:pPr>
        <w:spacing w:after="100"/>
        <w:ind w:left="2268" w:right="1134" w:hanging="1134"/>
        <w:jc w:val="both"/>
        <w:rPr>
          <w:lang w:val="fr-FR" w:eastAsia="en-GB"/>
        </w:rPr>
      </w:pPr>
      <w:r w:rsidRPr="008B062D">
        <w:rPr>
          <w:lang w:val="fr-FR" w:eastAsia="en-GB"/>
        </w:rPr>
        <w:t xml:space="preserve">2.5.3 </w:t>
      </w:r>
      <w:r w:rsidRPr="008B062D">
        <w:rPr>
          <w:lang w:val="fr-FR" w:eastAsia="en-GB"/>
        </w:rPr>
        <w:tab/>
        <w:t>L</w:t>
      </w:r>
      <w:r w:rsidR="00971BFE">
        <w:rPr>
          <w:lang w:val="fr-FR" w:eastAsia="en-GB"/>
        </w:rPr>
        <w:t>’</w:t>
      </w:r>
      <w:r w:rsidRPr="008B062D">
        <w:rPr>
          <w:lang w:val="fr-FR" w:eastAsia="en-GB"/>
        </w:rPr>
        <w:t>expérience a montré que la non-linéarité des têtes photométriques peut poser un problème étant donné les très faibles quantités de lumière qui sont la règle en ce qui concerne la photométrie des rétroréflecteurs. Il est donc recommandé d</w:t>
      </w:r>
      <w:r w:rsidR="00971BFE">
        <w:rPr>
          <w:lang w:val="fr-FR" w:eastAsia="en-GB"/>
        </w:rPr>
        <w:t>’</w:t>
      </w:r>
      <w:r w:rsidRPr="008B062D">
        <w:rPr>
          <w:lang w:val="fr-FR" w:eastAsia="en-GB"/>
        </w:rPr>
        <w:t>effectuer sur la tête photométrique une vérification à des niveaux d</w:t>
      </w:r>
      <w:r w:rsidR="00971BFE">
        <w:rPr>
          <w:lang w:val="fr-FR" w:eastAsia="en-GB"/>
        </w:rPr>
        <w:t>’</w:t>
      </w:r>
      <w:r w:rsidRPr="008B062D">
        <w:rPr>
          <w:lang w:val="fr-FR" w:eastAsia="en-GB"/>
        </w:rPr>
        <w:t>éclairement comparables.</w:t>
      </w:r>
    </w:p>
    <w:p w:rsidR="00D17F3A" w:rsidRPr="008B062D" w:rsidRDefault="00D17F3A" w:rsidP="00632913">
      <w:pPr>
        <w:spacing w:after="100"/>
        <w:ind w:left="2268" w:right="1134" w:hanging="1134"/>
        <w:jc w:val="both"/>
        <w:rPr>
          <w:lang w:val="fr-FR" w:eastAsia="en-GB"/>
        </w:rPr>
      </w:pPr>
      <w:r w:rsidRPr="008B062D">
        <w:rPr>
          <w:lang w:val="fr-FR" w:eastAsia="en-GB"/>
        </w:rPr>
        <w:t xml:space="preserve">2.6 </w:t>
      </w:r>
      <w:r w:rsidRPr="008B062D">
        <w:rPr>
          <w:lang w:val="fr-FR" w:eastAsia="en-GB"/>
        </w:rPr>
        <w:tab/>
        <w:t>L</w:t>
      </w:r>
      <w:r w:rsidR="00971BFE">
        <w:rPr>
          <w:lang w:val="fr-FR" w:eastAsia="en-GB"/>
        </w:rPr>
        <w:t>’</w:t>
      </w:r>
      <w:r w:rsidRPr="008B062D">
        <w:rPr>
          <w:lang w:val="fr-FR" w:eastAsia="en-GB"/>
        </w:rPr>
        <w:t>influence d</w:t>
      </w:r>
      <w:r w:rsidR="00971BFE">
        <w:rPr>
          <w:lang w:val="fr-FR" w:eastAsia="en-GB"/>
        </w:rPr>
        <w:t>’</w:t>
      </w:r>
      <w:r w:rsidRPr="008B062D">
        <w:rPr>
          <w:lang w:val="fr-FR" w:eastAsia="en-GB"/>
        </w:rPr>
        <w:t xml:space="preserve">une réflexion régulière </w:t>
      </w:r>
    </w:p>
    <w:p w:rsidR="00D17F3A" w:rsidRPr="008B062D" w:rsidRDefault="00D17F3A" w:rsidP="00632913">
      <w:pPr>
        <w:pStyle w:val="SingleTxtG"/>
        <w:spacing w:after="100"/>
        <w:ind w:left="2268"/>
        <w:rPr>
          <w:lang w:val="fr-FR" w:eastAsia="en-GB"/>
        </w:rPr>
      </w:pPr>
      <w:r w:rsidRPr="008B062D">
        <w:rPr>
          <w:lang w:val="fr-FR" w:eastAsia="en-GB"/>
        </w:rPr>
        <w:t>L</w:t>
      </w:r>
      <w:r w:rsidR="00971BFE">
        <w:rPr>
          <w:lang w:val="fr-FR" w:eastAsia="en-GB"/>
        </w:rPr>
        <w:t>’</w:t>
      </w:r>
      <w:r w:rsidRPr="008B062D">
        <w:rPr>
          <w:lang w:val="fr-FR" w:eastAsia="en-GB"/>
        </w:rPr>
        <w:t>intensité et la répartition de la réflexion régulière de la surface du dispositif catadioptrique dépend de la planéité du brillant de la surface. En général, le meilleur moyen d</w:t>
      </w:r>
      <w:r w:rsidR="00971BFE">
        <w:rPr>
          <w:lang w:val="fr-FR" w:eastAsia="en-GB"/>
        </w:rPr>
        <w:t>’</w:t>
      </w:r>
      <w:r w:rsidRPr="008B062D">
        <w:rPr>
          <w:lang w:val="fr-FR" w:eastAsia="en-GB"/>
        </w:rPr>
        <w:t>éviter la réflexion régulière est de placer l</w:t>
      </w:r>
      <w:r w:rsidR="00971BFE">
        <w:rPr>
          <w:lang w:val="fr-FR" w:eastAsia="en-GB"/>
        </w:rPr>
        <w:t>’</w:t>
      </w:r>
      <w:r w:rsidRPr="008B062D">
        <w:rPr>
          <w:lang w:val="fr-FR" w:eastAsia="en-GB"/>
        </w:rPr>
        <w:t xml:space="preserve">axe de référence de telle sorte que la réflexion régulière soit dirigée vers le côté de la source opposé à la tête photométrique (par exemple à </w:t>
      </w:r>
      <w:r w:rsidRPr="008B062D">
        <w:rPr>
          <w:rFonts w:ascii="Symbol" w:hAnsi="Symbol" w:cs="Symbol"/>
          <w:lang w:val="fr-FR" w:eastAsia="en-GB"/>
        </w:rPr>
        <w:t></w:t>
      </w:r>
      <w:r w:rsidRPr="008B062D">
        <w:rPr>
          <w:sz w:val="12"/>
          <w:szCs w:val="12"/>
          <w:lang w:val="fr-FR" w:eastAsia="en-GB"/>
        </w:rPr>
        <w:t xml:space="preserve">1 </w:t>
      </w:r>
      <w:r w:rsidRPr="008B062D">
        <w:rPr>
          <w:lang w:val="fr-FR" w:eastAsia="en-GB"/>
        </w:rPr>
        <w:t xml:space="preserve">= -5°). </w:t>
      </w:r>
    </w:p>
    <w:p w:rsidR="00D17F3A" w:rsidRPr="008B062D" w:rsidRDefault="00D17F3A" w:rsidP="0025312F">
      <w:pPr>
        <w:keepNext/>
        <w:spacing w:after="120"/>
        <w:ind w:left="2268" w:right="1134" w:hanging="1134"/>
        <w:rPr>
          <w:lang w:val="fr-FR" w:eastAsia="en-GB"/>
        </w:rPr>
      </w:pPr>
      <w:r w:rsidRPr="008B062D">
        <w:rPr>
          <w:lang w:val="fr-FR" w:eastAsia="en-GB"/>
        </w:rPr>
        <w:t xml:space="preserve">3. </w:t>
      </w:r>
      <w:r w:rsidRPr="008B062D">
        <w:rPr>
          <w:lang w:val="fr-FR" w:eastAsia="en-GB"/>
        </w:rPr>
        <w:tab/>
        <w:t>Précautions à prendre pour la mesure de la photométrie de la rétroréflexion</w:t>
      </w:r>
    </w:p>
    <w:p w:rsidR="00D17F3A" w:rsidRPr="008B062D" w:rsidRDefault="00D17F3A" w:rsidP="00D17F3A">
      <w:pPr>
        <w:spacing w:after="120"/>
        <w:ind w:left="2268" w:right="1134" w:hanging="1134"/>
        <w:jc w:val="both"/>
        <w:rPr>
          <w:lang w:val="fr-FR" w:eastAsia="en-GB"/>
        </w:rPr>
      </w:pPr>
      <w:r w:rsidRPr="008B062D">
        <w:rPr>
          <w:lang w:val="fr-FR" w:eastAsia="en-GB"/>
        </w:rPr>
        <w:t xml:space="preserve">3.1 </w:t>
      </w:r>
      <w:r w:rsidRPr="008B062D">
        <w:rPr>
          <w:lang w:val="fr-FR" w:eastAsia="en-GB"/>
        </w:rPr>
        <w:tab/>
        <w:t>Lumière résiduelle et diffuse</w:t>
      </w:r>
    </w:p>
    <w:p w:rsidR="00D17F3A" w:rsidRPr="008B062D" w:rsidRDefault="00D17F3A" w:rsidP="00D17F3A">
      <w:pPr>
        <w:spacing w:after="120"/>
        <w:ind w:left="2268" w:right="1134" w:hanging="1134"/>
        <w:jc w:val="both"/>
        <w:rPr>
          <w:rFonts w:eastAsia="Times New Roman"/>
          <w:lang w:val="fr-FR" w:eastAsia="en-GB"/>
        </w:rPr>
      </w:pPr>
      <w:r w:rsidRPr="008B062D">
        <w:rPr>
          <w:lang w:val="fr-FR" w:eastAsia="en-GB"/>
        </w:rPr>
        <w:t xml:space="preserve">3.1.1 </w:t>
      </w:r>
      <w:r w:rsidRPr="008B062D">
        <w:rPr>
          <w:lang w:val="fr-FR" w:eastAsia="en-GB"/>
        </w:rPr>
        <w:tab/>
      </w:r>
      <w:r w:rsidRPr="008B062D">
        <w:rPr>
          <w:lang w:val="fr-FR" w:eastAsia="en-GB"/>
        </w:rPr>
        <w:tab/>
      </w:r>
      <w:r w:rsidRPr="008B062D">
        <w:rPr>
          <w:rFonts w:eastAsia="Times New Roman"/>
          <w:lang w:val="fr-FR" w:eastAsia="en-GB"/>
        </w:rPr>
        <w:t>Comme il s</w:t>
      </w:r>
      <w:r w:rsidR="00971BFE">
        <w:rPr>
          <w:rFonts w:eastAsia="Times New Roman"/>
          <w:lang w:val="fr-FR" w:eastAsia="en-GB"/>
        </w:rPr>
        <w:t>’</w:t>
      </w:r>
      <w:r w:rsidRPr="008B062D">
        <w:rPr>
          <w:rFonts w:eastAsia="Times New Roman"/>
          <w:lang w:val="fr-FR" w:eastAsia="en-GB"/>
        </w:rPr>
        <w:t xml:space="preserve">agit de mesurer des niveaux de lumière très bas, des </w:t>
      </w:r>
      <w:r w:rsidRPr="00C15684">
        <w:rPr>
          <w:rFonts w:eastAsia="Times New Roman"/>
          <w:lang w:val="fr-FR" w:eastAsia="en-GB"/>
        </w:rPr>
        <w:t>précautions particulières sont nécessaires pour minimaliser les</w:t>
      </w:r>
      <w:r w:rsidRPr="008B062D">
        <w:rPr>
          <w:rFonts w:eastAsia="Times New Roman"/>
          <w:lang w:val="fr-FR" w:eastAsia="en-GB"/>
        </w:rPr>
        <w:t xml:space="preserve"> </w:t>
      </w:r>
      <w:r w:rsidRPr="00C15684">
        <w:rPr>
          <w:rFonts w:eastAsia="Times New Roman"/>
          <w:lang w:val="fr-FR" w:eastAsia="en-GB"/>
        </w:rPr>
        <w:t>erreurs dues à la lumière diffuse.</w:t>
      </w:r>
      <w:r w:rsidRPr="008B062D">
        <w:rPr>
          <w:rFonts w:eastAsia="Times New Roman"/>
          <w:lang w:val="fr-FR" w:eastAsia="en-GB"/>
        </w:rPr>
        <w:t xml:space="preserve"> </w:t>
      </w:r>
      <w:r w:rsidRPr="00C15684">
        <w:rPr>
          <w:rFonts w:eastAsia="Times New Roman"/>
          <w:lang w:val="fr-FR" w:eastAsia="en-GB"/>
        </w:rPr>
        <w:t>La</w:t>
      </w:r>
      <w:r w:rsidRPr="008B062D">
        <w:rPr>
          <w:rFonts w:eastAsia="Times New Roman"/>
          <w:lang w:val="fr-FR" w:eastAsia="en-GB"/>
        </w:rPr>
        <w:t xml:space="preserve"> </w:t>
      </w:r>
      <w:r w:rsidRPr="00C15684">
        <w:rPr>
          <w:rFonts w:eastAsia="Times New Roman"/>
          <w:lang w:val="fr-FR" w:eastAsia="en-GB"/>
        </w:rPr>
        <w:t>surface de l</w:t>
      </w:r>
      <w:r w:rsidR="00971BFE">
        <w:rPr>
          <w:rFonts w:eastAsia="Times New Roman"/>
          <w:lang w:val="fr-FR" w:eastAsia="en-GB"/>
        </w:rPr>
        <w:t>’</w:t>
      </w:r>
      <w:r w:rsidRPr="00C15684">
        <w:rPr>
          <w:rFonts w:eastAsia="Times New Roman"/>
          <w:lang w:val="fr-FR" w:eastAsia="en-GB"/>
        </w:rPr>
        <w:t>arrière-plan de</w:t>
      </w:r>
      <w:r w:rsidRPr="008B062D">
        <w:rPr>
          <w:rFonts w:eastAsia="Times New Roman"/>
          <w:lang w:val="fr-FR" w:eastAsia="en-GB"/>
        </w:rPr>
        <w:t xml:space="preserve"> </w:t>
      </w:r>
      <w:r w:rsidRPr="00C15684">
        <w:rPr>
          <w:rFonts w:eastAsia="Times New Roman"/>
          <w:lang w:val="fr-FR" w:eastAsia="en-GB"/>
        </w:rPr>
        <w:t>l</w:t>
      </w:r>
      <w:r w:rsidR="00971BFE">
        <w:rPr>
          <w:rFonts w:eastAsia="Times New Roman"/>
          <w:lang w:val="fr-FR" w:eastAsia="en-GB"/>
        </w:rPr>
        <w:t>’</w:t>
      </w:r>
      <w:r w:rsidRPr="00C15684">
        <w:rPr>
          <w:rFonts w:eastAsia="Times New Roman"/>
          <w:lang w:val="fr-FR" w:eastAsia="en-GB"/>
        </w:rPr>
        <w:t>échantillon et du cadre du po</w:t>
      </w:r>
      <w:r w:rsidR="00A476D7">
        <w:rPr>
          <w:rFonts w:eastAsia="Times New Roman"/>
          <w:lang w:val="fr-FR" w:eastAsia="en-GB"/>
        </w:rPr>
        <w:t>rte</w:t>
      </w:r>
      <w:r w:rsidR="00A476D7">
        <w:rPr>
          <w:rFonts w:eastAsia="Times New Roman"/>
          <w:lang w:val="fr-FR" w:eastAsia="en-GB"/>
        </w:rPr>
        <w:noBreakHyphen/>
      </w:r>
      <w:r w:rsidRPr="008B062D">
        <w:rPr>
          <w:rFonts w:eastAsia="Times New Roman"/>
          <w:lang w:val="fr-FR" w:eastAsia="en-GB"/>
        </w:rPr>
        <w:t xml:space="preserve">échantillon doit être noire </w:t>
      </w:r>
      <w:r w:rsidRPr="00C15684">
        <w:rPr>
          <w:rFonts w:eastAsia="Times New Roman"/>
          <w:lang w:val="fr-FR" w:eastAsia="en-GB"/>
        </w:rPr>
        <w:t>et</w:t>
      </w:r>
      <w:r w:rsidRPr="008B062D">
        <w:rPr>
          <w:rFonts w:eastAsia="Times New Roman"/>
          <w:lang w:val="fr-FR" w:eastAsia="en-GB"/>
        </w:rPr>
        <w:t xml:space="preserve"> </w:t>
      </w:r>
      <w:r w:rsidRPr="00C15684">
        <w:rPr>
          <w:rFonts w:eastAsia="Times New Roman"/>
          <w:lang w:val="fr-FR" w:eastAsia="en-GB"/>
        </w:rPr>
        <w:t>mate et le champ de vision de la tête photométrique, ainsi que la</w:t>
      </w:r>
      <w:r w:rsidRPr="008B062D">
        <w:rPr>
          <w:rFonts w:eastAsia="Times New Roman"/>
          <w:lang w:val="fr-FR" w:eastAsia="en-GB"/>
        </w:rPr>
        <w:t xml:space="preserve"> </w:t>
      </w:r>
      <w:r w:rsidRPr="00C15684">
        <w:rPr>
          <w:rFonts w:eastAsia="Times New Roman"/>
          <w:lang w:val="fr-FR" w:eastAsia="en-GB"/>
        </w:rPr>
        <w:t>largeur angulaire de la lumière émanant tant de l</w:t>
      </w:r>
      <w:r w:rsidR="00971BFE">
        <w:rPr>
          <w:rFonts w:eastAsia="Times New Roman"/>
          <w:lang w:val="fr-FR" w:eastAsia="en-GB"/>
        </w:rPr>
        <w:t>’</w:t>
      </w:r>
      <w:r w:rsidRPr="00C15684">
        <w:rPr>
          <w:rFonts w:eastAsia="Times New Roman"/>
          <w:lang w:val="fr-FR" w:eastAsia="en-GB"/>
        </w:rPr>
        <w:t>échantillon que de</w:t>
      </w:r>
      <w:r w:rsidRPr="008B062D">
        <w:rPr>
          <w:rFonts w:eastAsia="Times New Roman"/>
          <w:lang w:val="fr-FR" w:eastAsia="en-GB"/>
        </w:rPr>
        <w:t xml:space="preserve"> </w:t>
      </w:r>
      <w:r w:rsidRPr="00C15684">
        <w:rPr>
          <w:rFonts w:eastAsia="Times New Roman"/>
          <w:lang w:val="fr-FR" w:eastAsia="en-GB"/>
        </w:rPr>
        <w:t>la source doivent être limités au maximum.</w:t>
      </w:r>
    </w:p>
    <w:p w:rsidR="00D17F3A" w:rsidRPr="00C15684" w:rsidRDefault="00D17F3A" w:rsidP="00D17F3A">
      <w:pPr>
        <w:spacing w:after="120"/>
        <w:ind w:left="2268" w:right="1134" w:hanging="1134"/>
        <w:jc w:val="both"/>
        <w:rPr>
          <w:rFonts w:ascii="Courier New" w:eastAsia="Times New Roman" w:hAnsi="Courier New" w:cs="Courier New"/>
          <w:sz w:val="25"/>
          <w:szCs w:val="25"/>
          <w:lang w:val="fr-FR"/>
        </w:rPr>
      </w:pPr>
      <w:r w:rsidRPr="008B062D">
        <w:rPr>
          <w:lang w:val="fr-FR" w:eastAsia="en-GB"/>
        </w:rPr>
        <w:t xml:space="preserve">3.1.2 </w:t>
      </w:r>
      <w:r w:rsidRPr="008B062D">
        <w:rPr>
          <w:lang w:val="fr-FR" w:eastAsia="en-GB"/>
        </w:rPr>
        <w:tab/>
      </w:r>
      <w:r w:rsidRPr="008B062D">
        <w:rPr>
          <w:rFonts w:eastAsia="Times New Roman"/>
          <w:lang w:val="fr-FR"/>
        </w:rPr>
        <w:t>Des enceintes doivent être utilisées pour protéger l</w:t>
      </w:r>
      <w:r w:rsidR="00971BFE">
        <w:rPr>
          <w:rFonts w:eastAsia="Times New Roman"/>
          <w:lang w:val="fr-FR"/>
        </w:rPr>
        <w:t>’</w:t>
      </w:r>
      <w:r w:rsidRPr="008B062D">
        <w:rPr>
          <w:rFonts w:eastAsia="Times New Roman"/>
          <w:lang w:val="fr-FR"/>
        </w:rPr>
        <w:t xml:space="preserve">échantillon et </w:t>
      </w:r>
      <w:r w:rsidRPr="00C15684">
        <w:rPr>
          <w:rFonts w:eastAsia="Times New Roman"/>
          <w:lang w:val="fr-FR"/>
        </w:rPr>
        <w:t xml:space="preserve">la tête photométrique contre la </w:t>
      </w:r>
      <w:r w:rsidRPr="008B062D">
        <w:rPr>
          <w:rFonts w:eastAsia="Times New Roman"/>
          <w:lang w:val="fr-FR"/>
        </w:rPr>
        <w:t xml:space="preserve">lumière réfléchie par le sol et </w:t>
      </w:r>
      <w:r w:rsidRPr="00C15684">
        <w:rPr>
          <w:rFonts w:eastAsia="Times New Roman"/>
          <w:lang w:val="fr-FR"/>
        </w:rPr>
        <w:t>les</w:t>
      </w:r>
      <w:r w:rsidRPr="008B062D">
        <w:rPr>
          <w:rFonts w:eastAsia="Times New Roman"/>
          <w:lang w:val="fr-FR"/>
        </w:rPr>
        <w:t xml:space="preserve"> </w:t>
      </w:r>
      <w:r w:rsidRPr="00C15684">
        <w:rPr>
          <w:rFonts w:eastAsia="Times New Roman"/>
          <w:lang w:val="fr-FR"/>
        </w:rPr>
        <w:t>parois de l</w:t>
      </w:r>
      <w:r w:rsidR="00971BFE">
        <w:rPr>
          <w:rFonts w:eastAsia="Times New Roman"/>
          <w:lang w:val="fr-FR"/>
        </w:rPr>
        <w:t>’</w:t>
      </w:r>
      <w:r w:rsidRPr="00C15684">
        <w:rPr>
          <w:rFonts w:eastAsia="Times New Roman"/>
          <w:lang w:val="fr-FR"/>
        </w:rPr>
        <w:t>installation d</w:t>
      </w:r>
      <w:r w:rsidR="00971BFE">
        <w:rPr>
          <w:rFonts w:eastAsia="Times New Roman"/>
          <w:lang w:val="fr-FR"/>
        </w:rPr>
        <w:t>’</w:t>
      </w:r>
      <w:r w:rsidRPr="00C15684">
        <w:rPr>
          <w:rFonts w:eastAsia="Times New Roman"/>
          <w:lang w:val="fr-FR"/>
        </w:rPr>
        <w:t>essai, qui est relativement longue.</w:t>
      </w:r>
      <w:r w:rsidRPr="008B062D">
        <w:rPr>
          <w:rFonts w:eastAsia="Times New Roman"/>
          <w:lang w:val="fr-FR"/>
        </w:rPr>
        <w:t xml:space="preserve"> </w:t>
      </w:r>
      <w:r w:rsidRPr="00C15684">
        <w:rPr>
          <w:rFonts w:eastAsia="Times New Roman"/>
          <w:lang w:val="fr-FR"/>
        </w:rPr>
        <w:t>On</w:t>
      </w:r>
      <w:r w:rsidRPr="008B062D">
        <w:rPr>
          <w:rFonts w:eastAsia="Times New Roman"/>
          <w:lang w:val="fr-FR"/>
        </w:rPr>
        <w:t xml:space="preserve"> </w:t>
      </w:r>
      <w:r w:rsidRPr="00C15684">
        <w:rPr>
          <w:rFonts w:eastAsia="Times New Roman"/>
          <w:lang w:val="fr-FR"/>
        </w:rPr>
        <w:t>ne saurait trop souligner l</w:t>
      </w:r>
      <w:r w:rsidR="00971BFE">
        <w:rPr>
          <w:rFonts w:eastAsia="Times New Roman"/>
          <w:lang w:val="fr-FR"/>
        </w:rPr>
        <w:t>’</w:t>
      </w:r>
      <w:r w:rsidRPr="00C15684">
        <w:rPr>
          <w:rFonts w:eastAsia="Times New Roman"/>
          <w:lang w:val="fr-FR"/>
        </w:rPr>
        <w:t>importance qu</w:t>
      </w:r>
      <w:r w:rsidR="00971BFE">
        <w:rPr>
          <w:rFonts w:eastAsia="Times New Roman"/>
          <w:lang w:val="fr-FR"/>
        </w:rPr>
        <w:t>’</w:t>
      </w:r>
      <w:r w:rsidRPr="00C15684">
        <w:rPr>
          <w:rFonts w:eastAsia="Times New Roman"/>
          <w:lang w:val="fr-FR"/>
        </w:rPr>
        <w:t>il y a à vérifier, à</w:t>
      </w:r>
      <w:r w:rsidRPr="008B062D">
        <w:rPr>
          <w:rFonts w:eastAsia="Times New Roman"/>
          <w:lang w:val="fr-FR"/>
        </w:rPr>
        <w:t xml:space="preserve"> </w:t>
      </w:r>
      <w:r w:rsidRPr="00C15684">
        <w:rPr>
          <w:rFonts w:eastAsia="Times New Roman"/>
          <w:lang w:val="fr-FR"/>
        </w:rPr>
        <w:t>partir de la tête photométrique, s</w:t>
      </w:r>
      <w:r w:rsidR="00971BFE">
        <w:rPr>
          <w:rFonts w:eastAsia="Times New Roman"/>
          <w:lang w:val="fr-FR"/>
        </w:rPr>
        <w:t>’</w:t>
      </w:r>
      <w:r w:rsidRPr="00C15684">
        <w:rPr>
          <w:rFonts w:eastAsia="Times New Roman"/>
          <w:lang w:val="fr-FR"/>
        </w:rPr>
        <w:t>il y a des sources de lumière</w:t>
      </w:r>
      <w:r w:rsidRPr="008B062D">
        <w:rPr>
          <w:rFonts w:eastAsia="Times New Roman"/>
          <w:lang w:val="fr-FR"/>
        </w:rPr>
        <w:t xml:space="preserve"> diffuse.</w:t>
      </w:r>
    </w:p>
    <w:p w:rsidR="00D17F3A" w:rsidRPr="008B062D" w:rsidRDefault="00D17F3A" w:rsidP="00D17F3A">
      <w:pPr>
        <w:spacing w:after="120"/>
        <w:ind w:left="2268" w:right="1134" w:hanging="1134"/>
        <w:jc w:val="both"/>
        <w:rPr>
          <w:rFonts w:ascii="Courier New" w:eastAsia="Times New Roman" w:hAnsi="Courier New" w:cs="Courier New"/>
          <w:sz w:val="25"/>
          <w:szCs w:val="25"/>
          <w:lang w:val="fr-FR"/>
        </w:rPr>
      </w:pPr>
      <w:r w:rsidRPr="008B062D">
        <w:rPr>
          <w:lang w:val="fr-FR" w:eastAsia="en-GB"/>
        </w:rPr>
        <w:t xml:space="preserve">3.1.3 </w:t>
      </w:r>
      <w:r w:rsidRPr="008B062D">
        <w:rPr>
          <w:lang w:val="fr-FR" w:eastAsia="en-GB"/>
        </w:rPr>
        <w:tab/>
      </w:r>
      <w:r w:rsidRPr="008B062D">
        <w:rPr>
          <w:rFonts w:eastAsia="Times New Roman"/>
          <w:lang w:val="fr-FR"/>
        </w:rPr>
        <w:t xml:space="preserve">Un moyen utile de réduire la quantité de lumière diffuse dans le </w:t>
      </w:r>
      <w:r w:rsidRPr="008B2491">
        <w:rPr>
          <w:rFonts w:eastAsia="Times New Roman"/>
          <w:lang w:val="fr-FR"/>
        </w:rPr>
        <w:t xml:space="preserve">laboratoire consiste à utiliser </w:t>
      </w:r>
      <w:r w:rsidRPr="008B062D">
        <w:rPr>
          <w:rFonts w:eastAsia="Times New Roman"/>
          <w:lang w:val="fr-FR"/>
        </w:rPr>
        <w:t xml:space="preserve">comme source un système optique </w:t>
      </w:r>
      <w:r w:rsidRPr="008B2491">
        <w:rPr>
          <w:rFonts w:eastAsia="Times New Roman"/>
          <w:lang w:val="fr-FR"/>
        </w:rPr>
        <w:t>du</w:t>
      </w:r>
      <w:r w:rsidRPr="008B062D">
        <w:rPr>
          <w:rFonts w:eastAsia="Times New Roman"/>
          <w:lang w:val="fr-FR"/>
        </w:rPr>
        <w:t xml:space="preserve"> </w:t>
      </w:r>
      <w:r w:rsidRPr="008B2491">
        <w:rPr>
          <w:rFonts w:eastAsia="Times New Roman"/>
          <w:lang w:val="fr-FR"/>
        </w:rPr>
        <w:t>type projecteur de diapositives.</w:t>
      </w:r>
      <w:r w:rsidRPr="008B062D">
        <w:rPr>
          <w:rFonts w:eastAsia="Times New Roman"/>
          <w:lang w:val="fr-FR"/>
        </w:rPr>
        <w:t xml:space="preserve"> </w:t>
      </w:r>
      <w:r w:rsidRPr="008B2491">
        <w:rPr>
          <w:rFonts w:eastAsia="Times New Roman"/>
          <w:lang w:val="fr-FR"/>
        </w:rPr>
        <w:t>Avec</w:t>
      </w:r>
      <w:r w:rsidRPr="008B062D">
        <w:rPr>
          <w:rFonts w:eastAsia="Times New Roman"/>
          <w:lang w:val="fr-FR"/>
        </w:rPr>
        <w:t xml:space="preserve"> </w:t>
      </w:r>
      <w:r w:rsidRPr="008B2491">
        <w:rPr>
          <w:rFonts w:eastAsia="Times New Roman"/>
          <w:lang w:val="fr-FR"/>
        </w:rPr>
        <w:t xml:space="preserve">un tel système, un </w:t>
      </w:r>
      <w:r w:rsidRPr="008B062D">
        <w:rPr>
          <w:rFonts w:eastAsia="Times New Roman"/>
          <w:lang w:val="fr-FR"/>
        </w:rPr>
        <w:t xml:space="preserve">diaphragme </w:t>
      </w:r>
      <w:r w:rsidRPr="008B2491">
        <w:rPr>
          <w:rFonts w:eastAsia="Times New Roman"/>
          <w:lang w:val="fr-FR"/>
        </w:rPr>
        <w:t>iris ou un diaphragme ayant des ouvertures appropriées peut être</w:t>
      </w:r>
      <w:r w:rsidRPr="008B062D">
        <w:rPr>
          <w:rFonts w:eastAsia="Times New Roman"/>
          <w:lang w:val="fr-FR"/>
        </w:rPr>
        <w:t xml:space="preserve"> </w:t>
      </w:r>
      <w:r w:rsidRPr="008B2491">
        <w:rPr>
          <w:rFonts w:eastAsia="Times New Roman"/>
          <w:lang w:val="fr-FR"/>
        </w:rPr>
        <w:t>utilisé pour réduire la zone éclairée de l</w:t>
      </w:r>
      <w:r w:rsidR="00971BFE">
        <w:rPr>
          <w:rFonts w:eastAsia="Times New Roman"/>
          <w:lang w:val="fr-FR"/>
        </w:rPr>
        <w:t>’</w:t>
      </w:r>
      <w:r w:rsidRPr="008B2491">
        <w:rPr>
          <w:rFonts w:eastAsia="Times New Roman"/>
          <w:lang w:val="fr-FR"/>
        </w:rPr>
        <w:t>échantillon à la</w:t>
      </w:r>
      <w:r w:rsidRPr="008B062D">
        <w:rPr>
          <w:rFonts w:eastAsia="Times New Roman"/>
          <w:lang w:val="fr-FR"/>
        </w:rPr>
        <w:t xml:space="preserve"> </w:t>
      </w:r>
      <w:r w:rsidRPr="008B2491">
        <w:rPr>
          <w:rFonts w:eastAsia="Times New Roman"/>
          <w:lang w:val="fr-FR"/>
        </w:rPr>
        <w:t>superficie minimale nécessa</w:t>
      </w:r>
      <w:r w:rsidRPr="008B062D">
        <w:rPr>
          <w:rFonts w:eastAsia="Times New Roman"/>
          <w:lang w:val="fr-FR"/>
        </w:rPr>
        <w:t xml:space="preserve">ire pour obtenir un éclairement </w:t>
      </w:r>
      <w:r w:rsidRPr="008B2491">
        <w:rPr>
          <w:rFonts w:eastAsia="Times New Roman"/>
          <w:lang w:val="fr-FR"/>
        </w:rPr>
        <w:t>uniforme</w:t>
      </w:r>
      <w:r w:rsidRPr="008B062D">
        <w:rPr>
          <w:rFonts w:eastAsia="Times New Roman"/>
          <w:lang w:val="fr-FR"/>
        </w:rPr>
        <w:t xml:space="preserve"> </w:t>
      </w:r>
      <w:r w:rsidRPr="008B2491">
        <w:rPr>
          <w:rFonts w:eastAsia="Times New Roman"/>
          <w:lang w:val="fr-FR"/>
        </w:rPr>
        <w:t>sur sa surface.</w:t>
      </w:r>
    </w:p>
    <w:p w:rsidR="00D17F3A" w:rsidRPr="008B062D" w:rsidRDefault="00D17F3A" w:rsidP="00D17F3A">
      <w:pPr>
        <w:spacing w:after="120"/>
        <w:ind w:left="2268" w:right="1134" w:hanging="1134"/>
        <w:jc w:val="both"/>
        <w:rPr>
          <w:rFonts w:ascii="Courier New" w:eastAsia="Times New Roman" w:hAnsi="Courier New" w:cs="Courier New"/>
          <w:sz w:val="25"/>
          <w:szCs w:val="25"/>
          <w:lang w:val="fr-FR"/>
        </w:rPr>
      </w:pPr>
      <w:r w:rsidRPr="008B062D">
        <w:rPr>
          <w:lang w:val="fr-FR" w:eastAsia="en-GB"/>
        </w:rPr>
        <w:t xml:space="preserve">3.1.4 </w:t>
      </w:r>
      <w:r w:rsidRPr="008B062D">
        <w:rPr>
          <w:lang w:val="fr-FR" w:eastAsia="en-GB"/>
        </w:rPr>
        <w:tab/>
      </w:r>
      <w:r w:rsidRPr="008B062D">
        <w:rPr>
          <w:rFonts w:eastAsia="Times New Roman"/>
          <w:lang w:val="fr-FR"/>
        </w:rPr>
        <w:t xml:space="preserve">Il faut toujours tenir compte de la lumière diffuse résiduelle en la </w:t>
      </w:r>
      <w:r w:rsidRPr="008B2491">
        <w:rPr>
          <w:rFonts w:eastAsia="Times New Roman"/>
          <w:lang w:val="fr-FR"/>
        </w:rPr>
        <w:t>mesurant lorsque l</w:t>
      </w:r>
      <w:r w:rsidR="00971BFE">
        <w:rPr>
          <w:rFonts w:eastAsia="Times New Roman"/>
          <w:lang w:val="fr-FR"/>
        </w:rPr>
        <w:t>’</w:t>
      </w:r>
      <w:r w:rsidRPr="008B2491">
        <w:rPr>
          <w:rFonts w:eastAsia="Times New Roman"/>
          <w:lang w:val="fr-FR"/>
        </w:rPr>
        <w:t>échantillon</w:t>
      </w:r>
      <w:r w:rsidRPr="008B062D">
        <w:rPr>
          <w:rFonts w:eastAsia="Times New Roman"/>
          <w:lang w:val="fr-FR"/>
        </w:rPr>
        <w:t xml:space="preserve"> est recouvert d</w:t>
      </w:r>
      <w:r w:rsidR="00971BFE">
        <w:rPr>
          <w:rFonts w:eastAsia="Times New Roman"/>
          <w:lang w:val="fr-FR"/>
        </w:rPr>
        <w:t>’</w:t>
      </w:r>
      <w:r w:rsidRPr="008B062D">
        <w:rPr>
          <w:rFonts w:eastAsia="Times New Roman"/>
          <w:lang w:val="fr-FR"/>
        </w:rPr>
        <w:t xml:space="preserve">un papier noir </w:t>
      </w:r>
      <w:r w:rsidRPr="008B2491">
        <w:rPr>
          <w:rFonts w:eastAsia="Times New Roman"/>
          <w:lang w:val="fr-FR"/>
        </w:rPr>
        <w:t>mat</w:t>
      </w:r>
      <w:r w:rsidRPr="008B062D">
        <w:rPr>
          <w:rFonts w:eastAsia="Times New Roman"/>
          <w:lang w:val="fr-FR"/>
        </w:rPr>
        <w:t xml:space="preserve"> </w:t>
      </w:r>
      <w:r w:rsidRPr="008B2491">
        <w:rPr>
          <w:rFonts w:eastAsia="Times New Roman"/>
          <w:lang w:val="fr-FR"/>
        </w:rPr>
        <w:t>opaque plié en accordéon, ayant l</w:t>
      </w:r>
      <w:r w:rsidRPr="008B062D">
        <w:rPr>
          <w:rFonts w:eastAsia="Times New Roman"/>
          <w:lang w:val="fr-FR"/>
        </w:rPr>
        <w:t xml:space="preserve">a même taille et la même forme, </w:t>
      </w:r>
      <w:r w:rsidRPr="008B2491">
        <w:rPr>
          <w:rFonts w:eastAsia="Times New Roman"/>
          <w:lang w:val="fr-FR"/>
        </w:rPr>
        <w:t>ou</w:t>
      </w:r>
      <w:r w:rsidRPr="008B062D">
        <w:rPr>
          <w:rFonts w:eastAsia="Times New Roman"/>
          <w:lang w:val="fr-FR"/>
        </w:rPr>
        <w:t xml:space="preserve"> </w:t>
      </w:r>
      <w:r w:rsidRPr="008B2491">
        <w:rPr>
          <w:rFonts w:eastAsia="Times New Roman"/>
          <w:lang w:val="fr-FR"/>
        </w:rPr>
        <w:t>d</w:t>
      </w:r>
      <w:r w:rsidR="00971BFE">
        <w:rPr>
          <w:rFonts w:eastAsia="Times New Roman"/>
          <w:lang w:val="fr-FR"/>
        </w:rPr>
        <w:t>’</w:t>
      </w:r>
      <w:r w:rsidRPr="008B2491">
        <w:rPr>
          <w:rFonts w:eastAsia="Times New Roman"/>
          <w:lang w:val="fr-FR"/>
        </w:rPr>
        <w:t>une surface noire spéculaire orientée convenablement avec un piège</w:t>
      </w:r>
      <w:r w:rsidRPr="008B062D">
        <w:rPr>
          <w:rFonts w:eastAsia="Times New Roman"/>
          <w:lang w:val="fr-FR"/>
        </w:rPr>
        <w:t xml:space="preserve"> </w:t>
      </w:r>
      <w:r w:rsidRPr="008B2491">
        <w:rPr>
          <w:rFonts w:eastAsia="Times New Roman"/>
          <w:lang w:val="fr-FR"/>
        </w:rPr>
        <w:t>de lumière.</w:t>
      </w:r>
      <w:r w:rsidRPr="008B062D">
        <w:rPr>
          <w:rFonts w:eastAsia="Times New Roman"/>
          <w:lang w:val="fr-FR"/>
        </w:rPr>
        <w:t xml:space="preserve"> </w:t>
      </w:r>
      <w:r w:rsidRPr="008B2491">
        <w:rPr>
          <w:rFonts w:eastAsia="Times New Roman"/>
          <w:lang w:val="fr-FR"/>
        </w:rPr>
        <w:t>La</w:t>
      </w:r>
      <w:r w:rsidRPr="008B062D">
        <w:rPr>
          <w:rFonts w:eastAsia="Times New Roman"/>
          <w:lang w:val="fr-FR"/>
        </w:rPr>
        <w:t xml:space="preserve"> </w:t>
      </w:r>
      <w:r w:rsidRPr="008B2491">
        <w:rPr>
          <w:rFonts w:eastAsia="Times New Roman"/>
          <w:lang w:val="fr-FR"/>
        </w:rPr>
        <w:t>valeur obtenue est à soustraire de la valeur mesurée</w:t>
      </w:r>
      <w:r w:rsidRPr="008B062D">
        <w:rPr>
          <w:rFonts w:eastAsia="Times New Roman"/>
          <w:lang w:val="fr-FR"/>
        </w:rPr>
        <w:t xml:space="preserve"> </w:t>
      </w:r>
      <w:r w:rsidRPr="008B2491">
        <w:rPr>
          <w:rFonts w:eastAsia="Times New Roman"/>
          <w:lang w:val="fr-FR"/>
        </w:rPr>
        <w:t>sur le dispositif catadioptrique.</w:t>
      </w:r>
    </w:p>
    <w:p w:rsidR="00D17F3A" w:rsidRPr="008B062D" w:rsidRDefault="00D17F3A" w:rsidP="0025312F">
      <w:pPr>
        <w:keepNext/>
        <w:spacing w:after="120"/>
        <w:ind w:left="2268" w:right="1134" w:hanging="1134"/>
        <w:rPr>
          <w:lang w:val="fr-FR" w:eastAsia="en-GB"/>
        </w:rPr>
      </w:pPr>
      <w:r w:rsidRPr="008B062D">
        <w:rPr>
          <w:lang w:val="fr-FR" w:eastAsia="en-GB"/>
        </w:rPr>
        <w:t xml:space="preserve">3.2 </w:t>
      </w:r>
      <w:r w:rsidRPr="008B062D">
        <w:rPr>
          <w:lang w:val="fr-FR" w:eastAsia="en-GB"/>
        </w:rPr>
        <w:tab/>
        <w:t>Stabilité de l</w:t>
      </w:r>
      <w:r w:rsidR="00971BFE">
        <w:rPr>
          <w:lang w:val="fr-FR" w:eastAsia="en-GB"/>
        </w:rPr>
        <w:t>’</w:t>
      </w:r>
      <w:r w:rsidRPr="008B062D">
        <w:rPr>
          <w:lang w:val="fr-FR" w:eastAsia="en-GB"/>
        </w:rPr>
        <w:t>appareil</w:t>
      </w:r>
    </w:p>
    <w:p w:rsidR="00D17F3A" w:rsidRPr="008B062D" w:rsidRDefault="00D17F3A" w:rsidP="00D17F3A">
      <w:pPr>
        <w:spacing w:after="120"/>
        <w:ind w:left="2268" w:right="1134" w:hanging="1134"/>
        <w:jc w:val="both"/>
        <w:rPr>
          <w:rFonts w:ascii="Courier New" w:eastAsia="Times New Roman" w:hAnsi="Courier New" w:cs="Courier New"/>
          <w:sz w:val="25"/>
          <w:szCs w:val="25"/>
          <w:lang w:val="fr-FR"/>
        </w:rPr>
      </w:pPr>
      <w:r w:rsidRPr="008B062D">
        <w:rPr>
          <w:lang w:val="fr-FR" w:eastAsia="en-GB"/>
        </w:rPr>
        <w:t xml:space="preserve">3.2.1 </w:t>
      </w:r>
      <w:r w:rsidRPr="008B062D">
        <w:rPr>
          <w:lang w:val="fr-FR" w:eastAsia="en-GB"/>
        </w:rPr>
        <w:tab/>
      </w:r>
      <w:r w:rsidRPr="008B062D">
        <w:rPr>
          <w:rFonts w:eastAsia="Times New Roman"/>
          <w:lang w:val="fr-FR"/>
        </w:rPr>
        <w:t xml:space="preserve">La source lumineuse et la tête photométrique doivent rester stables </w:t>
      </w:r>
      <w:r w:rsidRPr="00D00D30">
        <w:rPr>
          <w:rFonts w:eastAsia="Times New Roman"/>
          <w:lang w:val="fr-FR"/>
        </w:rPr>
        <w:t>pendant toute la durée de l</w:t>
      </w:r>
      <w:r w:rsidR="00971BFE">
        <w:rPr>
          <w:rFonts w:eastAsia="Times New Roman"/>
          <w:lang w:val="fr-FR"/>
        </w:rPr>
        <w:t>’</w:t>
      </w:r>
      <w:r w:rsidRPr="00D00D30">
        <w:rPr>
          <w:rFonts w:eastAsia="Times New Roman"/>
          <w:lang w:val="fr-FR"/>
        </w:rPr>
        <w:t>essai.</w:t>
      </w:r>
      <w:r w:rsidRPr="008B062D">
        <w:rPr>
          <w:rFonts w:eastAsia="Times New Roman"/>
          <w:lang w:val="fr-FR"/>
        </w:rPr>
        <w:t xml:space="preserve"> </w:t>
      </w:r>
      <w:r w:rsidRPr="00D00D30">
        <w:rPr>
          <w:rFonts w:eastAsia="Times New Roman"/>
          <w:lang w:val="fr-FR"/>
        </w:rPr>
        <w:t>Étant</w:t>
      </w:r>
      <w:r w:rsidRPr="008B062D">
        <w:rPr>
          <w:rFonts w:eastAsia="Times New Roman"/>
          <w:lang w:val="fr-FR"/>
        </w:rPr>
        <w:t xml:space="preserve"> </w:t>
      </w:r>
      <w:r w:rsidRPr="00D00D30">
        <w:rPr>
          <w:rFonts w:eastAsia="Times New Roman"/>
          <w:lang w:val="fr-FR"/>
        </w:rPr>
        <w:t>donné que la sensibilité</w:t>
      </w:r>
      <w:r w:rsidRPr="008B062D">
        <w:rPr>
          <w:rFonts w:eastAsia="Times New Roman"/>
          <w:lang w:val="fr-FR"/>
        </w:rPr>
        <w:t xml:space="preserve"> </w:t>
      </w:r>
      <w:r w:rsidRPr="00D00D30">
        <w:rPr>
          <w:rFonts w:eastAsia="Times New Roman"/>
          <w:lang w:val="fr-FR"/>
        </w:rPr>
        <w:t>et l</w:t>
      </w:r>
      <w:r w:rsidR="00971BFE">
        <w:rPr>
          <w:rFonts w:eastAsia="Times New Roman"/>
          <w:lang w:val="fr-FR"/>
        </w:rPr>
        <w:t>’</w:t>
      </w:r>
      <w:r w:rsidRPr="00D00D30">
        <w:rPr>
          <w:rFonts w:eastAsia="Times New Roman"/>
          <w:lang w:val="fr-FR"/>
        </w:rPr>
        <w:t>adaptation à la fonction V (</w:t>
      </w:r>
      <w:r w:rsidRPr="008B062D">
        <w:rPr>
          <w:rFonts w:eastAsia="Times New Roman"/>
          <w:lang w:val="fr-FR"/>
        </w:rPr>
        <w:t xml:space="preserve"> </w:t>
      </w:r>
      <w:r w:rsidRPr="00D00D30">
        <w:rPr>
          <w:rFonts w:eastAsia="Times New Roman"/>
          <w:lang w:val="fr-FR"/>
        </w:rPr>
        <w:t>λ) de la plupart des têtes</w:t>
      </w:r>
      <w:r w:rsidRPr="008B062D">
        <w:rPr>
          <w:rFonts w:eastAsia="Times New Roman"/>
          <w:lang w:val="fr-FR"/>
        </w:rPr>
        <w:t xml:space="preserve"> </w:t>
      </w:r>
      <w:r w:rsidRPr="00D00D30">
        <w:rPr>
          <w:rFonts w:eastAsia="Times New Roman"/>
          <w:lang w:val="fr-FR"/>
        </w:rPr>
        <w:t>photométriques varient selon</w:t>
      </w:r>
      <w:r w:rsidRPr="008B062D">
        <w:rPr>
          <w:rFonts w:eastAsia="Times New Roman"/>
          <w:lang w:val="fr-FR"/>
        </w:rPr>
        <w:t xml:space="preserve"> la température, la température </w:t>
      </w:r>
      <w:r w:rsidRPr="00D00D30">
        <w:rPr>
          <w:rFonts w:eastAsia="Times New Roman"/>
          <w:lang w:val="fr-FR"/>
        </w:rPr>
        <w:t>ambiante</w:t>
      </w:r>
      <w:r w:rsidRPr="008B062D">
        <w:rPr>
          <w:rFonts w:eastAsia="Times New Roman"/>
          <w:lang w:val="fr-FR"/>
        </w:rPr>
        <w:t xml:space="preserve"> </w:t>
      </w:r>
      <w:r w:rsidRPr="00D00D30">
        <w:rPr>
          <w:rFonts w:eastAsia="Times New Roman"/>
          <w:lang w:val="fr-FR"/>
        </w:rPr>
        <w:t>du laboratoire ne doit pas beaucoup changer pendant cette durée.</w:t>
      </w:r>
      <w:r w:rsidRPr="008B062D">
        <w:rPr>
          <w:rFonts w:eastAsia="Times New Roman"/>
          <w:lang w:val="fr-FR"/>
        </w:rPr>
        <w:t xml:space="preserve"> </w:t>
      </w:r>
      <w:r w:rsidRPr="00D00D30">
        <w:rPr>
          <w:rFonts w:eastAsia="Times New Roman"/>
          <w:lang w:val="fr-FR"/>
        </w:rPr>
        <w:t>Il</w:t>
      </w:r>
      <w:r w:rsidRPr="008B062D">
        <w:rPr>
          <w:rFonts w:eastAsia="Times New Roman"/>
          <w:lang w:val="fr-FR"/>
        </w:rPr>
        <w:t xml:space="preserve"> </w:t>
      </w:r>
      <w:r w:rsidRPr="00D00D30">
        <w:rPr>
          <w:rFonts w:eastAsia="Times New Roman"/>
          <w:lang w:val="fr-FR"/>
        </w:rPr>
        <w:t xml:space="preserve">faudrait toujours prévoir </w:t>
      </w:r>
      <w:r w:rsidRPr="008B062D">
        <w:rPr>
          <w:rFonts w:eastAsia="Times New Roman"/>
          <w:lang w:val="fr-FR"/>
        </w:rPr>
        <w:t xml:space="preserve">un délai suffisamment long pour </w:t>
      </w:r>
      <w:r w:rsidRPr="00D00D30">
        <w:rPr>
          <w:rFonts w:eastAsia="Times New Roman"/>
          <w:lang w:val="fr-FR"/>
        </w:rPr>
        <w:t>permettre</w:t>
      </w:r>
      <w:r w:rsidRPr="008B062D">
        <w:rPr>
          <w:rFonts w:eastAsia="Times New Roman"/>
          <w:lang w:val="fr-FR"/>
        </w:rPr>
        <w:t xml:space="preserve"> </w:t>
      </w:r>
      <w:r w:rsidRPr="00D00D30">
        <w:rPr>
          <w:rFonts w:eastAsia="Times New Roman"/>
          <w:lang w:val="fr-FR"/>
        </w:rPr>
        <w:t>à l</w:t>
      </w:r>
      <w:r w:rsidR="00971BFE">
        <w:rPr>
          <w:rFonts w:eastAsia="Times New Roman"/>
          <w:lang w:val="fr-FR"/>
        </w:rPr>
        <w:t>’</w:t>
      </w:r>
      <w:r w:rsidRPr="00D00D30">
        <w:rPr>
          <w:rFonts w:eastAsia="Times New Roman"/>
          <w:lang w:val="fr-FR"/>
        </w:rPr>
        <w:t>appareil de se stabiliser avant le début des mesures.</w:t>
      </w:r>
    </w:p>
    <w:p w:rsidR="00D17F3A" w:rsidRPr="008B062D" w:rsidRDefault="00D17F3A" w:rsidP="00D17F3A">
      <w:pPr>
        <w:spacing w:after="120"/>
        <w:ind w:left="2268" w:right="1134" w:hanging="1134"/>
        <w:jc w:val="both"/>
        <w:rPr>
          <w:rFonts w:ascii="Courier New" w:eastAsia="Times New Roman" w:hAnsi="Courier New" w:cs="Courier New"/>
          <w:sz w:val="25"/>
          <w:szCs w:val="25"/>
          <w:lang w:val="fr-FR"/>
        </w:rPr>
      </w:pPr>
      <w:r w:rsidRPr="008B062D">
        <w:rPr>
          <w:lang w:val="fr-FR" w:eastAsia="en-GB"/>
        </w:rPr>
        <w:t>3.2.2</w:t>
      </w:r>
      <w:r w:rsidRPr="008B062D">
        <w:rPr>
          <w:lang w:val="fr-FR" w:eastAsia="en-GB"/>
        </w:rPr>
        <w:tab/>
      </w:r>
      <w:r w:rsidRPr="008B062D">
        <w:rPr>
          <w:rFonts w:eastAsia="Times New Roman"/>
          <w:lang w:val="fr-FR"/>
        </w:rPr>
        <w:t>L</w:t>
      </w:r>
      <w:r w:rsidR="00971BFE">
        <w:rPr>
          <w:rFonts w:eastAsia="Times New Roman"/>
          <w:lang w:val="fr-FR"/>
        </w:rPr>
        <w:t>’</w:t>
      </w:r>
      <w:r w:rsidRPr="008B062D">
        <w:rPr>
          <w:rFonts w:eastAsia="Times New Roman"/>
          <w:lang w:val="fr-FR"/>
        </w:rPr>
        <w:t xml:space="preserve">alimentation de la source de lumière doit être convenablement </w:t>
      </w:r>
      <w:r w:rsidRPr="00D00D30">
        <w:rPr>
          <w:rFonts w:eastAsia="Times New Roman"/>
          <w:lang w:val="fr-FR"/>
        </w:rPr>
        <w:t>stabilisée afin que l</w:t>
      </w:r>
      <w:r w:rsidR="00971BFE">
        <w:rPr>
          <w:rFonts w:eastAsia="Times New Roman"/>
          <w:lang w:val="fr-FR"/>
        </w:rPr>
        <w:t>’</w:t>
      </w:r>
      <w:r w:rsidRPr="00D00D30">
        <w:rPr>
          <w:rFonts w:eastAsia="Times New Roman"/>
          <w:lang w:val="fr-FR"/>
        </w:rPr>
        <w:t>intensi</w:t>
      </w:r>
      <w:r w:rsidRPr="008B062D">
        <w:rPr>
          <w:rFonts w:eastAsia="Times New Roman"/>
          <w:lang w:val="fr-FR"/>
        </w:rPr>
        <w:t xml:space="preserve">té lumineuse de la lampe puisse </w:t>
      </w:r>
      <w:r w:rsidRPr="00D00D30">
        <w:rPr>
          <w:rFonts w:eastAsia="Times New Roman"/>
          <w:lang w:val="fr-FR"/>
        </w:rPr>
        <w:t>être</w:t>
      </w:r>
      <w:r w:rsidRPr="008B062D">
        <w:rPr>
          <w:rFonts w:eastAsia="Times New Roman"/>
          <w:lang w:val="fr-FR"/>
        </w:rPr>
        <w:t xml:space="preserve"> </w:t>
      </w:r>
      <w:r w:rsidRPr="00D00D30">
        <w:rPr>
          <w:rFonts w:eastAsia="Times New Roman"/>
          <w:lang w:val="fr-FR"/>
        </w:rPr>
        <w:t>maintenue dans les limites requises pendant toute la durée de</w:t>
      </w:r>
      <w:r w:rsidRPr="008B062D">
        <w:rPr>
          <w:rFonts w:eastAsia="Times New Roman"/>
          <w:lang w:val="fr-FR"/>
        </w:rPr>
        <w:t xml:space="preserve"> </w:t>
      </w:r>
      <w:r w:rsidRPr="00D00D30">
        <w:rPr>
          <w:rFonts w:eastAsia="Times New Roman"/>
          <w:lang w:val="fr-FR"/>
        </w:rPr>
        <w:t>l</w:t>
      </w:r>
      <w:r w:rsidR="00971BFE">
        <w:rPr>
          <w:rFonts w:eastAsia="Times New Roman"/>
          <w:lang w:val="fr-FR"/>
        </w:rPr>
        <w:t>’</w:t>
      </w:r>
      <w:r w:rsidRPr="00D00D30">
        <w:rPr>
          <w:rFonts w:eastAsia="Times New Roman"/>
          <w:lang w:val="fr-FR"/>
        </w:rPr>
        <w:t>essai.</w:t>
      </w:r>
    </w:p>
    <w:p w:rsidR="00D17F3A" w:rsidRPr="008B062D" w:rsidRDefault="00D17F3A" w:rsidP="00D17F3A">
      <w:pPr>
        <w:spacing w:after="120"/>
        <w:ind w:left="2268" w:right="1134" w:hanging="1134"/>
        <w:jc w:val="both"/>
        <w:rPr>
          <w:rFonts w:ascii="Courier New" w:eastAsia="Times New Roman" w:hAnsi="Courier New" w:cs="Courier New"/>
          <w:sz w:val="25"/>
          <w:szCs w:val="25"/>
          <w:lang w:val="fr-FR"/>
        </w:rPr>
      </w:pPr>
      <w:r w:rsidRPr="008B062D">
        <w:rPr>
          <w:lang w:val="fr-FR" w:eastAsia="en-GB"/>
        </w:rPr>
        <w:t xml:space="preserve">3.2.3 </w:t>
      </w:r>
      <w:r w:rsidRPr="008B062D">
        <w:rPr>
          <w:lang w:val="fr-FR" w:eastAsia="en-GB"/>
        </w:rPr>
        <w:tab/>
      </w:r>
      <w:r w:rsidRPr="008B062D">
        <w:rPr>
          <w:rFonts w:eastAsia="Times New Roman"/>
          <w:lang w:val="fr-FR"/>
        </w:rPr>
        <w:t xml:space="preserve">Un moyen utile de vérifier la stabilité générale du photomètre </w:t>
      </w:r>
      <w:r w:rsidRPr="00D00D30">
        <w:rPr>
          <w:rFonts w:eastAsia="Times New Roman"/>
          <w:lang w:val="fr-FR"/>
        </w:rPr>
        <w:t>catadioptrique pendant une série d</w:t>
      </w:r>
      <w:r w:rsidR="00971BFE">
        <w:rPr>
          <w:rFonts w:eastAsia="Times New Roman"/>
          <w:lang w:val="fr-FR"/>
        </w:rPr>
        <w:t>’</w:t>
      </w:r>
      <w:r w:rsidRPr="00D00D30">
        <w:rPr>
          <w:rFonts w:eastAsia="Times New Roman"/>
          <w:lang w:val="fr-FR"/>
        </w:rPr>
        <w:t>essais consiste à mesurer</w:t>
      </w:r>
      <w:r w:rsidRPr="008B062D">
        <w:rPr>
          <w:rFonts w:eastAsia="Times New Roman"/>
          <w:lang w:val="fr-FR"/>
        </w:rPr>
        <w:t xml:space="preserve"> </w:t>
      </w:r>
      <w:r w:rsidRPr="00D00D30">
        <w:rPr>
          <w:rFonts w:eastAsia="Times New Roman"/>
          <w:lang w:val="fr-FR"/>
        </w:rPr>
        <w:t>périodiquement le CIL d</w:t>
      </w:r>
      <w:r w:rsidR="00971BFE">
        <w:rPr>
          <w:rFonts w:eastAsia="Times New Roman"/>
          <w:lang w:val="fr-FR"/>
        </w:rPr>
        <w:t>’</w:t>
      </w:r>
      <w:r w:rsidRPr="00D00D30">
        <w:rPr>
          <w:rFonts w:eastAsia="Times New Roman"/>
          <w:lang w:val="fr-FR"/>
        </w:rPr>
        <w:t>un étalon de référence stable</w:t>
      </w:r>
      <w:r w:rsidRPr="008B062D">
        <w:rPr>
          <w:rFonts w:eastAsia="Times New Roman"/>
          <w:lang w:val="fr-FR"/>
        </w:rPr>
        <w:t>.</w:t>
      </w:r>
    </w:p>
    <w:p w:rsidR="00D17F3A" w:rsidRDefault="00D17F3A" w:rsidP="00D17F3A">
      <w:pPr>
        <w:spacing w:after="120"/>
        <w:ind w:left="2268" w:right="1134" w:hanging="1134"/>
        <w:jc w:val="both"/>
        <w:rPr>
          <w:rFonts w:eastAsia="Times New Roman"/>
          <w:lang w:val="fr-FR"/>
        </w:rPr>
      </w:pPr>
      <w:r w:rsidRPr="008B062D">
        <w:rPr>
          <w:lang w:val="fr-FR" w:eastAsia="en-GB"/>
        </w:rPr>
        <w:t xml:space="preserve">3.2.4 </w:t>
      </w:r>
      <w:r w:rsidRPr="008B062D">
        <w:rPr>
          <w:lang w:val="fr-FR" w:eastAsia="en-GB"/>
        </w:rPr>
        <w:tab/>
      </w:r>
      <w:r w:rsidRPr="008B062D">
        <w:rPr>
          <w:rFonts w:eastAsia="Times New Roman"/>
          <w:lang w:val="fr-FR"/>
        </w:rPr>
        <w:t>Une autre technique consiste à incorporer à l</w:t>
      </w:r>
      <w:r w:rsidR="00971BFE">
        <w:rPr>
          <w:rFonts w:eastAsia="Times New Roman"/>
          <w:lang w:val="fr-FR"/>
        </w:rPr>
        <w:t>’</w:t>
      </w:r>
      <w:r w:rsidRPr="008B062D">
        <w:rPr>
          <w:rFonts w:eastAsia="Times New Roman"/>
          <w:lang w:val="fr-FR"/>
        </w:rPr>
        <w:t xml:space="preserve">appareil un détecteur </w:t>
      </w:r>
      <w:r w:rsidRPr="0012754E">
        <w:rPr>
          <w:rFonts w:eastAsia="Times New Roman"/>
          <w:lang w:val="fr-FR"/>
        </w:rPr>
        <w:t>auxiliaire pour vérifier ou cont</w:t>
      </w:r>
      <w:r w:rsidRPr="008B062D">
        <w:rPr>
          <w:rFonts w:eastAsia="Times New Roman"/>
          <w:lang w:val="fr-FR"/>
        </w:rPr>
        <w:t xml:space="preserve">rôler le rendement de la source </w:t>
      </w:r>
      <w:r w:rsidRPr="0012754E">
        <w:rPr>
          <w:rFonts w:eastAsia="Times New Roman"/>
          <w:lang w:val="fr-FR"/>
        </w:rPr>
        <w:t>de</w:t>
      </w:r>
      <w:r w:rsidRPr="008B062D">
        <w:rPr>
          <w:rFonts w:eastAsia="Times New Roman"/>
          <w:lang w:val="fr-FR"/>
        </w:rPr>
        <w:t xml:space="preserve"> </w:t>
      </w:r>
      <w:r w:rsidRPr="0012754E">
        <w:rPr>
          <w:rFonts w:eastAsia="Times New Roman"/>
          <w:lang w:val="fr-FR"/>
        </w:rPr>
        <w:t>lumière. On</w:t>
      </w:r>
      <w:r w:rsidRPr="008B062D">
        <w:rPr>
          <w:rFonts w:eastAsia="Times New Roman"/>
          <w:lang w:val="fr-FR"/>
        </w:rPr>
        <w:t xml:space="preserve"> </w:t>
      </w:r>
      <w:r w:rsidRPr="0012754E">
        <w:rPr>
          <w:rFonts w:eastAsia="Times New Roman"/>
          <w:lang w:val="fr-FR"/>
        </w:rPr>
        <w:t>peut vérifier les indications fournies par ce détecteur</w:t>
      </w:r>
      <w:r w:rsidRPr="008B062D">
        <w:rPr>
          <w:rFonts w:eastAsia="Times New Roman"/>
          <w:lang w:val="fr-FR"/>
        </w:rPr>
        <w:t xml:space="preserve"> </w:t>
      </w:r>
      <w:r w:rsidRPr="0012754E">
        <w:rPr>
          <w:rFonts w:eastAsia="Times New Roman"/>
          <w:lang w:val="fr-FR"/>
        </w:rPr>
        <w:t>pour déceler tout changement au stade de la lecture, mais une</w:t>
      </w:r>
      <w:r w:rsidRPr="008B062D">
        <w:rPr>
          <w:rFonts w:eastAsia="Times New Roman"/>
          <w:lang w:val="fr-FR"/>
        </w:rPr>
        <w:t xml:space="preserve"> </w:t>
      </w:r>
      <w:r w:rsidRPr="0012754E">
        <w:rPr>
          <w:rFonts w:eastAsia="Times New Roman"/>
          <w:lang w:val="fr-FR"/>
        </w:rPr>
        <w:t>solution plus perfectionnée cons</w:t>
      </w:r>
      <w:r w:rsidRPr="008B062D">
        <w:rPr>
          <w:rFonts w:eastAsia="Times New Roman"/>
          <w:lang w:val="fr-FR"/>
        </w:rPr>
        <w:t xml:space="preserve">iste à utiliser ces indications </w:t>
      </w:r>
      <w:r w:rsidRPr="0012754E">
        <w:rPr>
          <w:rFonts w:eastAsia="Times New Roman"/>
          <w:lang w:val="fr-FR"/>
        </w:rPr>
        <w:t>pour</w:t>
      </w:r>
      <w:r w:rsidRPr="008B062D">
        <w:rPr>
          <w:rFonts w:eastAsia="Times New Roman"/>
          <w:lang w:val="fr-FR"/>
        </w:rPr>
        <w:t xml:space="preserve"> </w:t>
      </w:r>
      <w:r w:rsidRPr="0012754E">
        <w:rPr>
          <w:rFonts w:eastAsia="Times New Roman"/>
          <w:lang w:val="fr-FR"/>
        </w:rPr>
        <w:t>modifier électroniqu</w:t>
      </w:r>
      <w:r w:rsidRPr="008B062D">
        <w:rPr>
          <w:rFonts w:eastAsia="Times New Roman"/>
          <w:lang w:val="fr-FR"/>
        </w:rPr>
        <w:t xml:space="preserve">ement la sensibilité de la tête </w:t>
      </w:r>
      <w:r w:rsidRPr="0012754E">
        <w:rPr>
          <w:rFonts w:eastAsia="Times New Roman"/>
          <w:lang w:val="fr-FR"/>
        </w:rPr>
        <w:t>catadioptrique</w:t>
      </w:r>
      <w:r w:rsidRPr="008B062D">
        <w:rPr>
          <w:rFonts w:eastAsia="Times New Roman"/>
          <w:lang w:val="fr-FR"/>
        </w:rPr>
        <w:t xml:space="preserve"> </w:t>
      </w:r>
      <w:r w:rsidRPr="0012754E">
        <w:rPr>
          <w:rFonts w:eastAsia="Times New Roman"/>
          <w:lang w:val="fr-FR"/>
        </w:rPr>
        <w:t>principale du photomètre e</w:t>
      </w:r>
      <w:r w:rsidRPr="008B062D">
        <w:rPr>
          <w:rFonts w:eastAsia="Times New Roman"/>
          <w:lang w:val="fr-FR"/>
        </w:rPr>
        <w:t xml:space="preserve">t compenser automatiquement les </w:t>
      </w:r>
      <w:r w:rsidRPr="0012754E">
        <w:rPr>
          <w:rFonts w:eastAsia="Times New Roman"/>
          <w:lang w:val="fr-FR"/>
        </w:rPr>
        <w:t>variations</w:t>
      </w:r>
      <w:r w:rsidRPr="008B062D">
        <w:rPr>
          <w:rFonts w:eastAsia="Times New Roman"/>
          <w:lang w:val="fr-FR"/>
        </w:rPr>
        <w:t xml:space="preserve"> </w:t>
      </w:r>
      <w:r w:rsidRPr="0012754E">
        <w:rPr>
          <w:rFonts w:eastAsia="Times New Roman"/>
          <w:lang w:val="fr-FR"/>
        </w:rPr>
        <w:t>du flux lumineux émanant de la source.</w:t>
      </w:r>
    </w:p>
    <w:p w:rsidR="00D17F3A" w:rsidRPr="008B062D" w:rsidRDefault="00D17F3A" w:rsidP="00632913">
      <w:pPr>
        <w:pStyle w:val="Heading1"/>
        <w:rPr>
          <w:lang w:val="fr-FR" w:eastAsia="en-GB"/>
        </w:rPr>
      </w:pPr>
      <w:bookmarkStart w:id="51" w:name="_Toc386120433"/>
      <w:r w:rsidRPr="008B062D">
        <w:rPr>
          <w:lang w:val="fr-FR" w:eastAsia="en-GB"/>
        </w:rPr>
        <w:t>Figure 1</w:t>
      </w:r>
      <w:bookmarkEnd w:id="51"/>
    </w:p>
    <w:p w:rsidR="00F378A7" w:rsidRDefault="00D17F3A" w:rsidP="00632913">
      <w:pPr>
        <w:pStyle w:val="Heading1"/>
        <w:spacing w:after="120"/>
        <w:rPr>
          <w:b/>
          <w:lang w:val="fr-FR" w:eastAsia="en-GB"/>
        </w:rPr>
      </w:pPr>
      <w:bookmarkStart w:id="52" w:name="_Toc386120434"/>
      <w:r w:rsidRPr="008B062D">
        <w:rPr>
          <w:b/>
          <w:lang w:val="fr-FR" w:eastAsia="en-GB"/>
        </w:rPr>
        <w:t>Système de coordonnées de la CIE</w:t>
      </w:r>
      <w:bookmarkEnd w:id="52"/>
    </w:p>
    <w:p w:rsidR="00101772" w:rsidRPr="00150DB2" w:rsidRDefault="00F64E2C" w:rsidP="00101772">
      <w:pPr>
        <w:ind w:left="1134"/>
      </w:pPr>
      <w:r>
        <w:rPr>
          <w:noProof/>
          <w:bdr w:val="single" w:sz="4" w:space="0" w:color="auto"/>
          <w:lang w:val="en-GB" w:eastAsia="en-GB"/>
        </w:rPr>
        <w:drawing>
          <wp:inline distT="0" distB="0" distL="0" distR="0" wp14:anchorId="1A73C66A" wp14:editId="668F901F">
            <wp:extent cx="4634230" cy="3886200"/>
            <wp:effectExtent l="0" t="0" r="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5">
                      <a:extLst>
                        <a:ext uri="{28A0092B-C50C-407E-A947-70E740481C1C}">
                          <a14:useLocalDpi xmlns:a14="http://schemas.microsoft.com/office/drawing/2010/main" val="0"/>
                        </a:ext>
                      </a:extLst>
                    </a:blip>
                    <a:srcRect l="-775" t="-1884" r="775" b="18"/>
                    <a:stretch>
                      <a:fillRect/>
                    </a:stretch>
                  </pic:blipFill>
                  <pic:spPr bwMode="auto">
                    <a:xfrm>
                      <a:off x="0" y="0"/>
                      <a:ext cx="4634230" cy="3886200"/>
                    </a:xfrm>
                    <a:prstGeom prst="rect">
                      <a:avLst/>
                    </a:prstGeom>
                    <a:noFill/>
                    <a:ln>
                      <a:noFill/>
                    </a:ln>
                  </pic:spPr>
                </pic:pic>
              </a:graphicData>
            </a:graphic>
          </wp:inline>
        </w:drawing>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1"/>
        <w:gridCol w:w="2505"/>
        <w:gridCol w:w="2505"/>
      </w:tblGrid>
      <w:tr w:rsidR="00D13313" w:rsidRPr="008B6C23" w:rsidTr="00253F7E">
        <w:tc>
          <w:tcPr>
            <w:tcW w:w="2361" w:type="dxa"/>
          </w:tcPr>
          <w:p w:rsidR="00640581" w:rsidRPr="008B6C23" w:rsidRDefault="00D13313" w:rsidP="00D13313">
            <w:pPr>
              <w:pStyle w:val="SingleTxtG"/>
              <w:keepNext/>
              <w:spacing w:before="240"/>
              <w:ind w:left="0" w:right="0"/>
              <w:rPr>
                <w:sz w:val="18"/>
                <w:szCs w:val="18"/>
                <w:lang w:val="fr-FR"/>
              </w:rPr>
            </w:pPr>
            <w:r w:rsidRPr="008B6C23">
              <w:rPr>
                <w:sz w:val="18"/>
                <w:szCs w:val="18"/>
                <w:lang w:val="fr-FR"/>
              </w:rPr>
              <w:t>1: Premier axe</w:t>
            </w:r>
          </w:p>
        </w:tc>
        <w:tc>
          <w:tcPr>
            <w:tcW w:w="2505" w:type="dxa"/>
          </w:tcPr>
          <w:p w:rsidR="00640581" w:rsidRPr="008B6C23" w:rsidRDefault="00D13313" w:rsidP="00D13313">
            <w:pPr>
              <w:pStyle w:val="SingleTxtG"/>
              <w:keepNext/>
              <w:spacing w:before="240"/>
              <w:ind w:left="0" w:right="0"/>
              <w:rPr>
                <w:sz w:val="18"/>
                <w:szCs w:val="18"/>
                <w:lang w:val="fr-FR"/>
              </w:rPr>
            </w:pPr>
            <w:r w:rsidRPr="008B6C23">
              <w:rPr>
                <w:sz w:val="18"/>
                <w:szCs w:val="18"/>
                <w:lang w:val="fr-FR"/>
              </w:rPr>
              <w:t>I: Axe d</w:t>
            </w:r>
            <w:r w:rsidR="00971BFE">
              <w:rPr>
                <w:sz w:val="18"/>
                <w:szCs w:val="18"/>
                <w:lang w:val="fr-FR"/>
              </w:rPr>
              <w:t>’</w:t>
            </w:r>
            <w:r w:rsidRPr="008B6C23">
              <w:rPr>
                <w:sz w:val="18"/>
                <w:szCs w:val="18"/>
                <w:lang w:val="fr-FR"/>
              </w:rPr>
              <w:t>éclairage</w:t>
            </w:r>
          </w:p>
        </w:tc>
        <w:tc>
          <w:tcPr>
            <w:tcW w:w="2505" w:type="dxa"/>
          </w:tcPr>
          <w:p w:rsidR="00640581" w:rsidRPr="008B6C23" w:rsidRDefault="00304C12" w:rsidP="00D13313">
            <w:pPr>
              <w:pStyle w:val="SingleTxtG"/>
              <w:keepNext/>
              <w:spacing w:before="240"/>
              <w:ind w:left="0" w:right="0"/>
              <w:rPr>
                <w:sz w:val="18"/>
                <w:szCs w:val="18"/>
                <w:lang w:val="fr-FR"/>
              </w:rPr>
            </w:pPr>
            <w:r w:rsidRPr="008B6C23">
              <w:rPr>
                <w:sz w:val="18"/>
                <w:szCs w:val="18"/>
                <w:lang w:val="fr-FR"/>
              </w:rPr>
              <w:sym w:font="Symbol" w:char="F061"/>
            </w:r>
            <w:r w:rsidRPr="008B6C23">
              <w:rPr>
                <w:sz w:val="18"/>
                <w:szCs w:val="18"/>
                <w:lang w:val="fr-FR"/>
              </w:rPr>
              <w:t>: Angle d</w:t>
            </w:r>
            <w:r w:rsidR="00971BFE">
              <w:rPr>
                <w:sz w:val="18"/>
                <w:szCs w:val="18"/>
                <w:lang w:val="fr-FR"/>
              </w:rPr>
              <w:t>’</w:t>
            </w:r>
            <w:r w:rsidRPr="008B6C23">
              <w:rPr>
                <w:sz w:val="18"/>
                <w:szCs w:val="18"/>
                <w:lang w:val="fr-FR"/>
              </w:rPr>
              <w:t>observation</w:t>
            </w:r>
          </w:p>
        </w:tc>
      </w:tr>
      <w:tr w:rsidR="00D13313" w:rsidRPr="008B6C23" w:rsidTr="00253F7E">
        <w:tc>
          <w:tcPr>
            <w:tcW w:w="2361" w:type="dxa"/>
          </w:tcPr>
          <w:p w:rsidR="00640581" w:rsidRPr="008B6C23" w:rsidRDefault="00D13313" w:rsidP="00D13313">
            <w:pPr>
              <w:pStyle w:val="SingleTxtG"/>
              <w:keepNext/>
              <w:ind w:left="0" w:right="0"/>
              <w:rPr>
                <w:sz w:val="18"/>
                <w:szCs w:val="18"/>
                <w:lang w:val="fr-FR"/>
              </w:rPr>
            </w:pPr>
            <w:r w:rsidRPr="008B6C23">
              <w:rPr>
                <w:sz w:val="18"/>
                <w:szCs w:val="18"/>
                <w:lang w:val="fr-FR"/>
              </w:rPr>
              <w:t>2: Second axe</w:t>
            </w:r>
          </w:p>
        </w:tc>
        <w:tc>
          <w:tcPr>
            <w:tcW w:w="2505" w:type="dxa"/>
          </w:tcPr>
          <w:p w:rsidR="00640581" w:rsidRPr="008B6C23" w:rsidRDefault="00D13313" w:rsidP="00D13313">
            <w:pPr>
              <w:pStyle w:val="SingleTxtG"/>
              <w:keepNext/>
              <w:ind w:left="0" w:right="0"/>
              <w:rPr>
                <w:sz w:val="18"/>
                <w:szCs w:val="18"/>
                <w:lang w:val="fr-FR"/>
              </w:rPr>
            </w:pPr>
            <w:r w:rsidRPr="008B6C23">
              <w:rPr>
                <w:sz w:val="18"/>
                <w:szCs w:val="18"/>
                <w:lang w:val="fr-FR"/>
              </w:rPr>
              <w:t>O: Axe d</w:t>
            </w:r>
            <w:r w:rsidR="00971BFE">
              <w:rPr>
                <w:sz w:val="18"/>
                <w:szCs w:val="18"/>
                <w:lang w:val="fr-FR"/>
              </w:rPr>
              <w:t>’</w:t>
            </w:r>
            <w:r w:rsidRPr="008B6C23">
              <w:rPr>
                <w:sz w:val="18"/>
                <w:szCs w:val="18"/>
                <w:lang w:val="fr-FR"/>
              </w:rPr>
              <w:t>observation</w:t>
            </w:r>
          </w:p>
        </w:tc>
        <w:tc>
          <w:tcPr>
            <w:tcW w:w="2505" w:type="dxa"/>
          </w:tcPr>
          <w:p w:rsidR="00640581" w:rsidRPr="008B6C23" w:rsidRDefault="00304C12" w:rsidP="00D13313">
            <w:pPr>
              <w:pStyle w:val="SingleTxtG"/>
              <w:keepNext/>
              <w:ind w:left="0" w:right="0"/>
              <w:rPr>
                <w:sz w:val="18"/>
                <w:szCs w:val="18"/>
                <w:lang w:val="fr-FR"/>
              </w:rPr>
            </w:pPr>
            <w:r w:rsidRPr="008B6C23">
              <w:rPr>
                <w:sz w:val="18"/>
                <w:szCs w:val="18"/>
                <w:lang w:val="fr-FR"/>
              </w:rPr>
              <w:sym w:font="Symbol" w:char="F062"/>
            </w:r>
            <w:r w:rsidRPr="008B6C23">
              <w:rPr>
                <w:sz w:val="18"/>
                <w:szCs w:val="18"/>
                <w:vertAlign w:val="subscript"/>
                <w:lang w:val="fr-FR"/>
              </w:rPr>
              <w:t>1</w:t>
            </w:r>
            <w:r w:rsidRPr="008B6C23">
              <w:rPr>
                <w:sz w:val="18"/>
                <w:szCs w:val="18"/>
                <w:lang w:val="fr-FR"/>
              </w:rPr>
              <w:t xml:space="preserve">, </w:t>
            </w:r>
            <w:r w:rsidRPr="008B6C23">
              <w:rPr>
                <w:sz w:val="18"/>
                <w:szCs w:val="18"/>
                <w:lang w:val="fr-FR"/>
              </w:rPr>
              <w:sym w:font="Symbol" w:char="F062"/>
            </w:r>
            <w:r w:rsidRPr="008B6C23">
              <w:rPr>
                <w:sz w:val="18"/>
                <w:szCs w:val="18"/>
                <w:vertAlign w:val="subscript"/>
                <w:lang w:val="fr-FR"/>
              </w:rPr>
              <w:t>2</w:t>
            </w:r>
            <w:r w:rsidRPr="008B6C23">
              <w:rPr>
                <w:sz w:val="18"/>
                <w:szCs w:val="18"/>
                <w:lang w:val="fr-FR"/>
              </w:rPr>
              <w:t>:</w:t>
            </w:r>
            <w:r w:rsidR="008B6C23" w:rsidRPr="008B6C23">
              <w:rPr>
                <w:sz w:val="18"/>
                <w:szCs w:val="18"/>
                <w:lang w:val="fr-FR"/>
              </w:rPr>
              <w:t xml:space="preserve"> Angles d</w:t>
            </w:r>
            <w:r w:rsidR="00971BFE">
              <w:rPr>
                <w:sz w:val="18"/>
                <w:szCs w:val="18"/>
                <w:lang w:val="fr-FR"/>
              </w:rPr>
              <w:t>’</w:t>
            </w:r>
            <w:r w:rsidR="008B6C23" w:rsidRPr="008B6C23">
              <w:rPr>
                <w:sz w:val="18"/>
                <w:szCs w:val="18"/>
                <w:lang w:val="fr-FR"/>
              </w:rPr>
              <w:t>éclairage</w:t>
            </w:r>
          </w:p>
        </w:tc>
      </w:tr>
      <w:tr w:rsidR="00D13313" w:rsidRPr="008B6C23" w:rsidTr="00253F7E">
        <w:tc>
          <w:tcPr>
            <w:tcW w:w="2361" w:type="dxa"/>
          </w:tcPr>
          <w:p w:rsidR="00640581" w:rsidRPr="008B6C23" w:rsidRDefault="00640581" w:rsidP="00D13313">
            <w:pPr>
              <w:pStyle w:val="SingleTxtG"/>
              <w:keepNext/>
              <w:ind w:left="0" w:right="0"/>
              <w:rPr>
                <w:sz w:val="18"/>
                <w:szCs w:val="18"/>
                <w:lang w:val="fr-FR"/>
              </w:rPr>
            </w:pPr>
          </w:p>
        </w:tc>
        <w:tc>
          <w:tcPr>
            <w:tcW w:w="2505" w:type="dxa"/>
          </w:tcPr>
          <w:p w:rsidR="00640581" w:rsidRPr="008B6C23" w:rsidRDefault="00304C12" w:rsidP="00D13313">
            <w:pPr>
              <w:pStyle w:val="SingleTxtG"/>
              <w:keepNext/>
              <w:ind w:left="0" w:right="0"/>
              <w:rPr>
                <w:sz w:val="18"/>
                <w:szCs w:val="18"/>
                <w:lang w:val="fr-FR"/>
              </w:rPr>
            </w:pPr>
            <w:r w:rsidRPr="008B6C23">
              <w:rPr>
                <w:sz w:val="18"/>
                <w:szCs w:val="18"/>
                <w:lang w:val="fr-FR"/>
              </w:rPr>
              <w:t>R: Axe de référence</w:t>
            </w:r>
          </w:p>
        </w:tc>
        <w:tc>
          <w:tcPr>
            <w:tcW w:w="2505" w:type="dxa"/>
          </w:tcPr>
          <w:p w:rsidR="00640581" w:rsidRPr="008B6C23" w:rsidRDefault="008B6C23" w:rsidP="00D13313">
            <w:pPr>
              <w:pStyle w:val="SingleTxtG"/>
              <w:keepNext/>
              <w:ind w:left="0" w:right="0"/>
              <w:rPr>
                <w:sz w:val="18"/>
                <w:szCs w:val="18"/>
                <w:lang w:val="fr-FR"/>
              </w:rPr>
            </w:pPr>
            <w:r w:rsidRPr="008B6C23">
              <w:rPr>
                <w:sz w:val="18"/>
                <w:szCs w:val="18"/>
                <w:lang w:val="fr-FR"/>
              </w:rPr>
              <w:sym w:font="Symbol" w:char="F065"/>
            </w:r>
            <w:r w:rsidRPr="008B6C23">
              <w:rPr>
                <w:sz w:val="18"/>
                <w:szCs w:val="18"/>
                <w:lang w:val="fr-FR"/>
              </w:rPr>
              <w:t>: Angle de rotation</w:t>
            </w:r>
          </w:p>
        </w:tc>
      </w:tr>
    </w:tbl>
    <w:p w:rsidR="00253F7E" w:rsidRPr="008B062D" w:rsidRDefault="00253F7E" w:rsidP="00253F7E">
      <w:pPr>
        <w:pStyle w:val="SingleTxtG"/>
        <w:ind w:firstLine="567"/>
        <w:rPr>
          <w:lang w:val="fr-FR" w:eastAsia="en-GB"/>
        </w:rPr>
      </w:pPr>
      <w:r w:rsidRPr="008B062D">
        <w:rPr>
          <w:lang w:val="fr-FR" w:eastAsia="en-GB"/>
        </w:rPr>
        <w:t>Système angulaire de la CIE utilisé pour mesurer les rétroréflecteurs. Le premier axe est perpendiculaire au plan contenant l</w:t>
      </w:r>
      <w:r w:rsidR="00971BFE">
        <w:rPr>
          <w:lang w:val="fr-FR" w:eastAsia="en-GB"/>
        </w:rPr>
        <w:t>’</w:t>
      </w:r>
      <w:r w:rsidRPr="008B062D">
        <w:rPr>
          <w:lang w:val="fr-FR" w:eastAsia="en-GB"/>
        </w:rPr>
        <w:t>axe d</w:t>
      </w:r>
      <w:r w:rsidR="00971BFE">
        <w:rPr>
          <w:lang w:val="fr-FR" w:eastAsia="en-GB"/>
        </w:rPr>
        <w:t>’</w:t>
      </w:r>
      <w:r w:rsidRPr="008B062D">
        <w:rPr>
          <w:lang w:val="fr-FR" w:eastAsia="en-GB"/>
        </w:rPr>
        <w:t>observation et l</w:t>
      </w:r>
      <w:r w:rsidR="00971BFE">
        <w:rPr>
          <w:lang w:val="fr-FR" w:eastAsia="en-GB"/>
        </w:rPr>
        <w:t>’</w:t>
      </w:r>
      <w:r w:rsidRPr="008B062D">
        <w:rPr>
          <w:lang w:val="fr-FR" w:eastAsia="en-GB"/>
        </w:rPr>
        <w:t>axe d</w:t>
      </w:r>
      <w:r w:rsidR="00971BFE">
        <w:rPr>
          <w:lang w:val="fr-FR" w:eastAsia="en-GB"/>
        </w:rPr>
        <w:t>’</w:t>
      </w:r>
      <w:r w:rsidRPr="008B062D">
        <w:rPr>
          <w:lang w:val="fr-FR" w:eastAsia="en-GB"/>
        </w:rPr>
        <w:t>éclairage. Le second axe est perpendiculaire à la fois au premier axe et à l</w:t>
      </w:r>
      <w:r w:rsidR="00971BFE">
        <w:rPr>
          <w:lang w:val="fr-FR" w:eastAsia="en-GB"/>
        </w:rPr>
        <w:t>’</w:t>
      </w:r>
      <w:r w:rsidRPr="008B062D">
        <w:rPr>
          <w:lang w:val="fr-FR" w:eastAsia="en-GB"/>
        </w:rPr>
        <w:t xml:space="preserve">axe de référence. Tous les axes, angles et sens de rotation apparaissent comme étant positifs. </w:t>
      </w:r>
    </w:p>
    <w:p w:rsidR="00253F7E" w:rsidRDefault="00253F7E" w:rsidP="00C966EE">
      <w:pPr>
        <w:pStyle w:val="SingleTxtG"/>
        <w:tabs>
          <w:tab w:val="left" w:pos="1985"/>
        </w:tabs>
        <w:rPr>
          <w:lang w:val="fr-FR" w:eastAsia="en-GB"/>
        </w:rPr>
      </w:pPr>
      <w:r w:rsidRPr="008B062D">
        <w:rPr>
          <w:i/>
          <w:lang w:val="fr-FR" w:eastAsia="en-GB"/>
        </w:rPr>
        <w:t>Notes</w:t>
      </w:r>
      <w:r w:rsidRPr="00253F7E">
        <w:rPr>
          <w:lang w:val="fr-FR" w:eastAsia="en-GB"/>
        </w:rPr>
        <w:t>:</w:t>
      </w:r>
      <w:r w:rsidR="00C966EE">
        <w:rPr>
          <w:lang w:val="fr-FR" w:eastAsia="en-GB"/>
        </w:rPr>
        <w:tab/>
      </w:r>
      <w:r w:rsidR="00F52C97">
        <w:rPr>
          <w:lang w:val="fr-FR" w:eastAsia="en-GB"/>
        </w:rPr>
        <w:t>a)</w:t>
      </w:r>
      <w:r w:rsidRPr="008B062D">
        <w:rPr>
          <w:lang w:val="fr-FR" w:eastAsia="en-GB"/>
        </w:rPr>
        <w:tab/>
        <w:t>L</w:t>
      </w:r>
      <w:r w:rsidR="00971BFE">
        <w:rPr>
          <w:lang w:val="fr-FR" w:eastAsia="en-GB"/>
        </w:rPr>
        <w:t>’</w:t>
      </w:r>
      <w:r w:rsidRPr="008B062D">
        <w:rPr>
          <w:lang w:val="fr-FR" w:eastAsia="en-GB"/>
        </w:rPr>
        <w:t>axe principal fixe est l</w:t>
      </w:r>
      <w:r w:rsidR="00971BFE">
        <w:rPr>
          <w:lang w:val="fr-FR" w:eastAsia="en-GB"/>
        </w:rPr>
        <w:t>’</w:t>
      </w:r>
      <w:r w:rsidRPr="008B062D">
        <w:rPr>
          <w:lang w:val="fr-FR" w:eastAsia="en-GB"/>
        </w:rPr>
        <w:t>axe d</w:t>
      </w:r>
      <w:r w:rsidR="00971BFE">
        <w:rPr>
          <w:lang w:val="fr-FR" w:eastAsia="en-GB"/>
        </w:rPr>
        <w:t>’</w:t>
      </w:r>
      <w:r w:rsidRPr="008B062D">
        <w:rPr>
          <w:lang w:val="fr-FR" w:eastAsia="en-GB"/>
        </w:rPr>
        <w:t>éclairage.</w:t>
      </w:r>
    </w:p>
    <w:p w:rsidR="00253F7E" w:rsidRDefault="00F52C97" w:rsidP="00386B3B">
      <w:pPr>
        <w:pStyle w:val="SingleTxtG"/>
        <w:ind w:left="2552" w:hanging="567"/>
        <w:rPr>
          <w:lang w:val="fr-FR" w:eastAsia="en-GB"/>
        </w:rPr>
      </w:pPr>
      <w:r>
        <w:rPr>
          <w:lang w:val="fr-FR" w:eastAsia="en-GB"/>
        </w:rPr>
        <w:t>b)</w:t>
      </w:r>
      <w:r w:rsidRPr="008B062D">
        <w:rPr>
          <w:lang w:val="fr-FR" w:eastAsia="en-GB"/>
        </w:rPr>
        <w:tab/>
        <w:t>Le premier axe est fixe et perpendiculaire au plan contenant l</w:t>
      </w:r>
      <w:r w:rsidR="00971BFE">
        <w:rPr>
          <w:lang w:val="fr-FR" w:eastAsia="en-GB"/>
        </w:rPr>
        <w:t>’</w:t>
      </w:r>
      <w:r w:rsidRPr="008B062D">
        <w:rPr>
          <w:lang w:val="fr-FR" w:eastAsia="en-GB"/>
        </w:rPr>
        <w:t>axe d</w:t>
      </w:r>
      <w:r w:rsidR="00971BFE">
        <w:rPr>
          <w:lang w:val="fr-FR" w:eastAsia="en-GB"/>
        </w:rPr>
        <w:t>’</w:t>
      </w:r>
      <w:r w:rsidRPr="008B062D">
        <w:rPr>
          <w:lang w:val="fr-FR" w:eastAsia="en-GB"/>
        </w:rPr>
        <w:t>observation et l</w:t>
      </w:r>
      <w:r w:rsidR="00971BFE">
        <w:rPr>
          <w:lang w:val="fr-FR" w:eastAsia="en-GB"/>
        </w:rPr>
        <w:t>’</w:t>
      </w:r>
      <w:r w:rsidRPr="008B062D">
        <w:rPr>
          <w:lang w:val="fr-FR" w:eastAsia="en-GB"/>
        </w:rPr>
        <w:t>axe d</w:t>
      </w:r>
      <w:r w:rsidR="00971BFE">
        <w:rPr>
          <w:lang w:val="fr-FR" w:eastAsia="en-GB"/>
        </w:rPr>
        <w:t>’</w:t>
      </w:r>
      <w:r w:rsidRPr="008B062D">
        <w:rPr>
          <w:lang w:val="fr-FR" w:eastAsia="en-GB"/>
        </w:rPr>
        <w:t>éclairage</w:t>
      </w:r>
      <w:r>
        <w:rPr>
          <w:lang w:val="fr-FR" w:eastAsia="en-GB"/>
        </w:rPr>
        <w:t>;</w:t>
      </w:r>
    </w:p>
    <w:p w:rsidR="00F52C97" w:rsidRDefault="00F52C97" w:rsidP="00386B3B">
      <w:pPr>
        <w:pStyle w:val="SingleTxtG"/>
        <w:ind w:left="2552" w:hanging="567"/>
        <w:rPr>
          <w:lang w:val="fr-FR" w:eastAsia="en-GB"/>
        </w:rPr>
      </w:pPr>
      <w:r>
        <w:rPr>
          <w:lang w:val="fr-FR" w:eastAsia="en-GB"/>
        </w:rPr>
        <w:t>c)</w:t>
      </w:r>
      <w:r w:rsidRPr="008B062D">
        <w:rPr>
          <w:lang w:val="fr-FR" w:eastAsia="en-GB"/>
        </w:rPr>
        <w:tab/>
        <w:t>L</w:t>
      </w:r>
      <w:r w:rsidR="00971BFE">
        <w:rPr>
          <w:lang w:val="fr-FR" w:eastAsia="en-GB"/>
        </w:rPr>
        <w:t>’</w:t>
      </w:r>
      <w:r w:rsidRPr="008B062D">
        <w:rPr>
          <w:lang w:val="fr-FR" w:eastAsia="en-GB"/>
        </w:rPr>
        <w:t>axe de référence est fixe par rapport au rétroréflecteur mais il se déplace avec ß</w:t>
      </w:r>
      <w:r w:rsidRPr="008B062D">
        <w:rPr>
          <w:sz w:val="12"/>
          <w:szCs w:val="12"/>
          <w:lang w:val="fr-FR" w:eastAsia="en-GB"/>
        </w:rPr>
        <w:t xml:space="preserve">1 </w:t>
      </w:r>
      <w:r w:rsidRPr="008B062D">
        <w:rPr>
          <w:lang w:val="fr-FR" w:eastAsia="en-GB"/>
        </w:rPr>
        <w:t>et ß</w:t>
      </w:r>
      <w:r w:rsidRPr="008B062D">
        <w:rPr>
          <w:sz w:val="12"/>
          <w:szCs w:val="12"/>
          <w:lang w:val="fr-FR" w:eastAsia="en-GB"/>
        </w:rPr>
        <w:t>2</w:t>
      </w:r>
      <w:r w:rsidRPr="008B062D">
        <w:rPr>
          <w:lang w:val="fr-FR" w:eastAsia="en-GB"/>
        </w:rPr>
        <w:t>.</w:t>
      </w:r>
    </w:p>
    <w:p w:rsidR="00AF53C9" w:rsidRDefault="00AF53C9" w:rsidP="00386B3B">
      <w:pPr>
        <w:pStyle w:val="SingleTxtG"/>
        <w:ind w:left="2552" w:hanging="567"/>
        <w:rPr>
          <w:lang w:val="fr-FR"/>
        </w:rPr>
      </w:pPr>
      <w:r>
        <w:rPr>
          <w:lang w:val="fr-FR"/>
        </w:rPr>
        <w:br w:type="page"/>
      </w:r>
    </w:p>
    <w:p w:rsidR="00912F19" w:rsidRPr="008B062D" w:rsidRDefault="00912F19" w:rsidP="00912F19">
      <w:pPr>
        <w:pStyle w:val="Heading1"/>
        <w:rPr>
          <w:lang w:val="fr-FR" w:eastAsia="en-GB"/>
        </w:rPr>
      </w:pPr>
      <w:bookmarkStart w:id="53" w:name="_Toc386120435"/>
      <w:r w:rsidRPr="008B062D">
        <w:rPr>
          <w:lang w:val="fr-FR" w:eastAsia="en-GB"/>
        </w:rPr>
        <w:t>Figure 2</w:t>
      </w:r>
      <w:bookmarkEnd w:id="53"/>
    </w:p>
    <w:p w:rsidR="00640581" w:rsidRDefault="00912F19" w:rsidP="00912F19">
      <w:pPr>
        <w:pStyle w:val="Heading1"/>
        <w:spacing w:after="120"/>
        <w:rPr>
          <w:b/>
          <w:lang w:val="fr-FR" w:eastAsia="en-GB"/>
        </w:rPr>
      </w:pPr>
      <w:bookmarkStart w:id="54" w:name="_Toc386120436"/>
      <w:r w:rsidRPr="00912F19">
        <w:rPr>
          <w:b/>
          <w:lang w:val="fr-FR" w:eastAsia="en-GB"/>
        </w:rPr>
        <w:t>Goniomètre intégrant le système angulaire de la CIE</w:t>
      </w:r>
      <w:bookmarkEnd w:id="54"/>
    </w:p>
    <w:p w:rsidR="00912F19" w:rsidRDefault="00912F19" w:rsidP="00912F19">
      <w:pPr>
        <w:pStyle w:val="SingleTxtG"/>
        <w:rPr>
          <w:lang w:val="fr-FR" w:eastAsia="en-GB"/>
        </w:rPr>
      </w:pPr>
      <w:r w:rsidRPr="00912F19">
        <w:rPr>
          <w:noProof/>
          <w:bdr w:val="single" w:sz="4" w:space="0" w:color="auto"/>
          <w:lang w:val="en-GB" w:eastAsia="en-GB"/>
        </w:rPr>
        <w:drawing>
          <wp:inline distT="0" distB="0" distL="0" distR="0" wp14:anchorId="2C98D745" wp14:editId="7E873C04">
            <wp:extent cx="4665600" cy="2721600"/>
            <wp:effectExtent l="0" t="0" r="1905" b="3175"/>
            <wp:docPr id="5" name="Image 5" descr="Reg27 Fig 2 Goniometer mecha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Reg27 Fig 2 Goniometer mechanism"/>
                    <pic:cNvPicPr>
                      <a:picLocks noChangeAspect="1" noChangeArrowheads="1"/>
                    </pic:cNvPicPr>
                  </pic:nvPicPr>
                  <pic:blipFill>
                    <a:blip r:embed="rId46" cstate="print">
                      <a:extLst>
                        <a:ext uri="{28A0092B-C50C-407E-A947-70E740481C1C}">
                          <a14:useLocalDpi xmlns:a14="http://schemas.microsoft.com/office/drawing/2010/main" val="0"/>
                        </a:ext>
                      </a:extLst>
                    </a:blip>
                    <a:srcRect b="23360"/>
                    <a:stretch>
                      <a:fillRect/>
                    </a:stretch>
                  </pic:blipFill>
                  <pic:spPr bwMode="auto">
                    <a:xfrm>
                      <a:off x="0" y="0"/>
                      <a:ext cx="4665600" cy="2721600"/>
                    </a:xfrm>
                    <a:prstGeom prst="rect">
                      <a:avLst/>
                    </a:prstGeom>
                    <a:noFill/>
                    <a:ln>
                      <a:noFill/>
                    </a:ln>
                  </pic:spPr>
                </pic:pic>
              </a:graphicData>
            </a:graphic>
          </wp:inline>
        </w:drawing>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1"/>
        <w:gridCol w:w="2505"/>
        <w:gridCol w:w="2505"/>
      </w:tblGrid>
      <w:tr w:rsidR="00912F19" w:rsidRPr="008B6C23" w:rsidTr="00722034">
        <w:tc>
          <w:tcPr>
            <w:tcW w:w="2361" w:type="dxa"/>
          </w:tcPr>
          <w:p w:rsidR="00912F19" w:rsidRPr="008B6C23" w:rsidRDefault="00912F19" w:rsidP="00D73027">
            <w:pPr>
              <w:pStyle w:val="SingleTxtG"/>
              <w:keepNext/>
              <w:spacing w:before="120"/>
              <w:ind w:left="0" w:right="0"/>
              <w:rPr>
                <w:sz w:val="18"/>
                <w:szCs w:val="18"/>
                <w:lang w:val="fr-FR"/>
              </w:rPr>
            </w:pPr>
            <w:r w:rsidRPr="008B6C23">
              <w:rPr>
                <w:sz w:val="18"/>
                <w:szCs w:val="18"/>
                <w:lang w:val="fr-FR"/>
              </w:rPr>
              <w:t>1: Premier axe</w:t>
            </w:r>
          </w:p>
        </w:tc>
        <w:tc>
          <w:tcPr>
            <w:tcW w:w="2505" w:type="dxa"/>
          </w:tcPr>
          <w:p w:rsidR="00912F19" w:rsidRPr="008B6C23" w:rsidRDefault="00912F19" w:rsidP="00D73027">
            <w:pPr>
              <w:pStyle w:val="SingleTxtG"/>
              <w:keepNext/>
              <w:spacing w:before="120"/>
              <w:ind w:left="0" w:right="0"/>
              <w:rPr>
                <w:sz w:val="18"/>
                <w:szCs w:val="18"/>
                <w:lang w:val="fr-FR"/>
              </w:rPr>
            </w:pPr>
            <w:r w:rsidRPr="008B6C23">
              <w:rPr>
                <w:sz w:val="18"/>
                <w:szCs w:val="18"/>
                <w:lang w:val="fr-FR"/>
              </w:rPr>
              <w:t>I: Axe d</w:t>
            </w:r>
            <w:r w:rsidR="00971BFE">
              <w:rPr>
                <w:sz w:val="18"/>
                <w:szCs w:val="18"/>
                <w:lang w:val="fr-FR"/>
              </w:rPr>
              <w:t>’</w:t>
            </w:r>
            <w:r w:rsidRPr="008B6C23">
              <w:rPr>
                <w:sz w:val="18"/>
                <w:szCs w:val="18"/>
                <w:lang w:val="fr-FR"/>
              </w:rPr>
              <w:t>éclairage</w:t>
            </w:r>
          </w:p>
        </w:tc>
        <w:tc>
          <w:tcPr>
            <w:tcW w:w="2505" w:type="dxa"/>
          </w:tcPr>
          <w:p w:rsidR="00912F19" w:rsidRPr="008B6C23" w:rsidRDefault="00912F19" w:rsidP="00D73027">
            <w:pPr>
              <w:pStyle w:val="SingleTxtG"/>
              <w:keepNext/>
              <w:spacing w:before="120"/>
              <w:ind w:left="0" w:right="0"/>
              <w:rPr>
                <w:sz w:val="18"/>
                <w:szCs w:val="18"/>
                <w:lang w:val="fr-FR"/>
              </w:rPr>
            </w:pPr>
            <w:r w:rsidRPr="008B6C23">
              <w:rPr>
                <w:sz w:val="18"/>
                <w:szCs w:val="18"/>
                <w:lang w:val="fr-FR"/>
              </w:rPr>
              <w:sym w:font="Symbol" w:char="F061"/>
            </w:r>
            <w:r w:rsidRPr="008B6C23">
              <w:rPr>
                <w:sz w:val="18"/>
                <w:szCs w:val="18"/>
                <w:lang w:val="fr-FR"/>
              </w:rPr>
              <w:t>: Angle d</w:t>
            </w:r>
            <w:r w:rsidR="00971BFE">
              <w:rPr>
                <w:sz w:val="18"/>
                <w:szCs w:val="18"/>
                <w:lang w:val="fr-FR"/>
              </w:rPr>
              <w:t>’</w:t>
            </w:r>
            <w:r w:rsidRPr="008B6C23">
              <w:rPr>
                <w:sz w:val="18"/>
                <w:szCs w:val="18"/>
                <w:lang w:val="fr-FR"/>
              </w:rPr>
              <w:t>observation</w:t>
            </w:r>
          </w:p>
        </w:tc>
      </w:tr>
      <w:tr w:rsidR="00912F19" w:rsidRPr="008B6C23" w:rsidTr="00722034">
        <w:tc>
          <w:tcPr>
            <w:tcW w:w="2361" w:type="dxa"/>
          </w:tcPr>
          <w:p w:rsidR="00912F19" w:rsidRPr="008B6C23" w:rsidRDefault="00912F19" w:rsidP="00722034">
            <w:pPr>
              <w:pStyle w:val="SingleTxtG"/>
              <w:keepNext/>
              <w:ind w:left="0" w:right="0"/>
              <w:rPr>
                <w:sz w:val="18"/>
                <w:szCs w:val="18"/>
                <w:lang w:val="fr-FR"/>
              </w:rPr>
            </w:pPr>
            <w:r w:rsidRPr="008B6C23">
              <w:rPr>
                <w:sz w:val="18"/>
                <w:szCs w:val="18"/>
                <w:lang w:val="fr-FR"/>
              </w:rPr>
              <w:t>2: Second axe</w:t>
            </w:r>
          </w:p>
        </w:tc>
        <w:tc>
          <w:tcPr>
            <w:tcW w:w="2505" w:type="dxa"/>
          </w:tcPr>
          <w:p w:rsidR="00912F19" w:rsidRPr="008B6C23" w:rsidRDefault="00912F19" w:rsidP="00722034">
            <w:pPr>
              <w:pStyle w:val="SingleTxtG"/>
              <w:keepNext/>
              <w:ind w:left="0" w:right="0"/>
              <w:rPr>
                <w:sz w:val="18"/>
                <w:szCs w:val="18"/>
                <w:lang w:val="fr-FR"/>
              </w:rPr>
            </w:pPr>
            <w:r w:rsidRPr="008B6C23">
              <w:rPr>
                <w:sz w:val="18"/>
                <w:szCs w:val="18"/>
                <w:lang w:val="fr-FR"/>
              </w:rPr>
              <w:t>O: Axe d</w:t>
            </w:r>
            <w:r w:rsidR="00971BFE">
              <w:rPr>
                <w:sz w:val="18"/>
                <w:szCs w:val="18"/>
                <w:lang w:val="fr-FR"/>
              </w:rPr>
              <w:t>’</w:t>
            </w:r>
            <w:r w:rsidRPr="008B6C23">
              <w:rPr>
                <w:sz w:val="18"/>
                <w:szCs w:val="18"/>
                <w:lang w:val="fr-FR"/>
              </w:rPr>
              <w:t>observation</w:t>
            </w:r>
          </w:p>
        </w:tc>
        <w:tc>
          <w:tcPr>
            <w:tcW w:w="2505" w:type="dxa"/>
          </w:tcPr>
          <w:p w:rsidR="00912F19" w:rsidRPr="008B6C23" w:rsidRDefault="00912F19" w:rsidP="00722034">
            <w:pPr>
              <w:pStyle w:val="SingleTxtG"/>
              <w:keepNext/>
              <w:ind w:left="0" w:right="0"/>
              <w:rPr>
                <w:sz w:val="18"/>
                <w:szCs w:val="18"/>
                <w:lang w:val="fr-FR"/>
              </w:rPr>
            </w:pPr>
            <w:r w:rsidRPr="008B6C23">
              <w:rPr>
                <w:sz w:val="18"/>
                <w:szCs w:val="18"/>
                <w:lang w:val="fr-FR"/>
              </w:rPr>
              <w:sym w:font="Symbol" w:char="F062"/>
            </w:r>
            <w:r w:rsidRPr="008B6C23">
              <w:rPr>
                <w:sz w:val="18"/>
                <w:szCs w:val="18"/>
                <w:vertAlign w:val="subscript"/>
                <w:lang w:val="fr-FR"/>
              </w:rPr>
              <w:t>1</w:t>
            </w:r>
            <w:r w:rsidRPr="008B6C23">
              <w:rPr>
                <w:sz w:val="18"/>
                <w:szCs w:val="18"/>
                <w:lang w:val="fr-FR"/>
              </w:rPr>
              <w:t xml:space="preserve">, </w:t>
            </w:r>
            <w:r w:rsidRPr="008B6C23">
              <w:rPr>
                <w:sz w:val="18"/>
                <w:szCs w:val="18"/>
                <w:lang w:val="fr-FR"/>
              </w:rPr>
              <w:sym w:font="Symbol" w:char="F062"/>
            </w:r>
            <w:r w:rsidRPr="008B6C23">
              <w:rPr>
                <w:sz w:val="18"/>
                <w:szCs w:val="18"/>
                <w:vertAlign w:val="subscript"/>
                <w:lang w:val="fr-FR"/>
              </w:rPr>
              <w:t>2</w:t>
            </w:r>
            <w:r w:rsidRPr="008B6C23">
              <w:rPr>
                <w:sz w:val="18"/>
                <w:szCs w:val="18"/>
                <w:lang w:val="fr-FR"/>
              </w:rPr>
              <w:t>: Angles d</w:t>
            </w:r>
            <w:r w:rsidR="00971BFE">
              <w:rPr>
                <w:sz w:val="18"/>
                <w:szCs w:val="18"/>
                <w:lang w:val="fr-FR"/>
              </w:rPr>
              <w:t>’</w:t>
            </w:r>
            <w:r w:rsidRPr="008B6C23">
              <w:rPr>
                <w:sz w:val="18"/>
                <w:szCs w:val="18"/>
                <w:lang w:val="fr-FR"/>
              </w:rPr>
              <w:t>éclairage</w:t>
            </w:r>
          </w:p>
        </w:tc>
      </w:tr>
      <w:tr w:rsidR="00912F19" w:rsidRPr="008B6C23" w:rsidTr="00722034">
        <w:tc>
          <w:tcPr>
            <w:tcW w:w="2361" w:type="dxa"/>
          </w:tcPr>
          <w:p w:rsidR="00912F19" w:rsidRPr="008B6C23" w:rsidRDefault="00912F19" w:rsidP="00722034">
            <w:pPr>
              <w:pStyle w:val="SingleTxtG"/>
              <w:keepNext/>
              <w:ind w:left="0" w:right="0"/>
              <w:rPr>
                <w:sz w:val="18"/>
                <w:szCs w:val="18"/>
                <w:lang w:val="fr-FR"/>
              </w:rPr>
            </w:pPr>
          </w:p>
        </w:tc>
        <w:tc>
          <w:tcPr>
            <w:tcW w:w="2505" w:type="dxa"/>
          </w:tcPr>
          <w:p w:rsidR="00912F19" w:rsidRPr="008B6C23" w:rsidRDefault="00912F19" w:rsidP="00722034">
            <w:pPr>
              <w:pStyle w:val="SingleTxtG"/>
              <w:keepNext/>
              <w:ind w:left="0" w:right="0"/>
              <w:rPr>
                <w:sz w:val="18"/>
                <w:szCs w:val="18"/>
                <w:lang w:val="fr-FR"/>
              </w:rPr>
            </w:pPr>
            <w:r w:rsidRPr="008B6C23">
              <w:rPr>
                <w:sz w:val="18"/>
                <w:szCs w:val="18"/>
                <w:lang w:val="fr-FR"/>
              </w:rPr>
              <w:t>R: Axe de référence</w:t>
            </w:r>
          </w:p>
        </w:tc>
        <w:tc>
          <w:tcPr>
            <w:tcW w:w="2505" w:type="dxa"/>
          </w:tcPr>
          <w:p w:rsidR="00912F19" w:rsidRPr="008B6C23" w:rsidRDefault="00912F19" w:rsidP="00722034">
            <w:pPr>
              <w:pStyle w:val="SingleTxtG"/>
              <w:keepNext/>
              <w:ind w:left="0" w:right="0"/>
              <w:rPr>
                <w:sz w:val="18"/>
                <w:szCs w:val="18"/>
                <w:lang w:val="fr-FR"/>
              </w:rPr>
            </w:pPr>
            <w:r w:rsidRPr="008B6C23">
              <w:rPr>
                <w:sz w:val="18"/>
                <w:szCs w:val="18"/>
                <w:lang w:val="fr-FR"/>
              </w:rPr>
              <w:sym w:font="Symbol" w:char="F065"/>
            </w:r>
            <w:r w:rsidRPr="008B6C23">
              <w:rPr>
                <w:sz w:val="18"/>
                <w:szCs w:val="18"/>
                <w:lang w:val="fr-FR"/>
              </w:rPr>
              <w:t>: Angle de rotation</w:t>
            </w:r>
          </w:p>
        </w:tc>
      </w:tr>
      <w:tr w:rsidR="00D73027" w:rsidRPr="008B6C23" w:rsidTr="00722034">
        <w:tc>
          <w:tcPr>
            <w:tcW w:w="2361" w:type="dxa"/>
          </w:tcPr>
          <w:p w:rsidR="00D73027" w:rsidRPr="008B6C23" w:rsidRDefault="00D73027" w:rsidP="00722034">
            <w:pPr>
              <w:pStyle w:val="SingleTxtG"/>
              <w:keepNext/>
              <w:ind w:left="0" w:right="0"/>
              <w:rPr>
                <w:sz w:val="18"/>
                <w:szCs w:val="18"/>
                <w:lang w:val="fr-FR"/>
              </w:rPr>
            </w:pPr>
          </w:p>
        </w:tc>
        <w:tc>
          <w:tcPr>
            <w:tcW w:w="2505" w:type="dxa"/>
          </w:tcPr>
          <w:p w:rsidR="00D73027" w:rsidRPr="008B6C23" w:rsidRDefault="00D73027" w:rsidP="00722034">
            <w:pPr>
              <w:pStyle w:val="SingleTxtG"/>
              <w:keepNext/>
              <w:ind w:left="0" w:right="0"/>
              <w:rPr>
                <w:sz w:val="18"/>
                <w:szCs w:val="18"/>
                <w:lang w:val="fr-FR"/>
              </w:rPr>
            </w:pPr>
            <w:r>
              <w:rPr>
                <w:sz w:val="18"/>
                <w:szCs w:val="18"/>
                <w:lang w:val="fr-FR"/>
              </w:rPr>
              <w:t>P: Marquage rétroréfléchissant</w:t>
            </w:r>
          </w:p>
        </w:tc>
        <w:tc>
          <w:tcPr>
            <w:tcW w:w="2505" w:type="dxa"/>
          </w:tcPr>
          <w:p w:rsidR="00D73027" w:rsidRPr="008B6C23" w:rsidRDefault="00D73027" w:rsidP="00722034">
            <w:pPr>
              <w:pStyle w:val="SingleTxtG"/>
              <w:keepNext/>
              <w:ind w:left="0" w:right="0"/>
              <w:rPr>
                <w:sz w:val="18"/>
                <w:szCs w:val="18"/>
                <w:lang w:val="fr-FR"/>
              </w:rPr>
            </w:pPr>
          </w:p>
        </w:tc>
      </w:tr>
    </w:tbl>
    <w:p w:rsidR="003170C8" w:rsidRDefault="003170C8" w:rsidP="003170C8">
      <w:pPr>
        <w:pStyle w:val="SingleTxtG"/>
        <w:ind w:firstLine="567"/>
        <w:rPr>
          <w:lang w:val="fr-FR" w:eastAsia="en-GB"/>
        </w:rPr>
      </w:pPr>
      <w:r w:rsidRPr="008B062D">
        <w:rPr>
          <w:lang w:val="fr-FR" w:eastAsia="en-GB"/>
        </w:rPr>
        <w:t>Représentation d</w:t>
      </w:r>
      <w:r w:rsidR="00971BFE">
        <w:rPr>
          <w:lang w:val="fr-FR" w:eastAsia="en-GB"/>
        </w:rPr>
        <w:t>’</w:t>
      </w:r>
      <w:r w:rsidRPr="008B062D">
        <w:rPr>
          <w:lang w:val="fr-FR" w:eastAsia="en-GB"/>
        </w:rPr>
        <w:t>un goniomètre intégrant le système angulaire de la CIE pour la mesure des rétroréflecteurs. Tous les angles et tous les sens de rotation apparaissent comme étant positifs.</w:t>
      </w:r>
    </w:p>
    <w:p w:rsidR="003170C8" w:rsidRDefault="003170C8" w:rsidP="003170C8">
      <w:pPr>
        <w:pStyle w:val="SingleTxtG"/>
        <w:keepNext/>
        <w:rPr>
          <w:lang w:val="fr-FR" w:eastAsia="en-GB"/>
        </w:rPr>
      </w:pPr>
      <w:r>
        <w:rPr>
          <w:lang w:val="fr-FR" w:eastAsia="en-GB"/>
        </w:rPr>
        <w:t>Figure 3</w:t>
      </w:r>
    </w:p>
    <w:p w:rsidR="006B3B4C" w:rsidRDefault="006B3B4C" w:rsidP="006B3B4C">
      <w:pPr>
        <w:ind w:left="1134" w:right="1134"/>
      </w:pPr>
      <w:r>
        <w:rPr>
          <w:noProof/>
          <w:lang w:val="en-GB" w:eastAsia="en-GB"/>
        </w:rPr>
        <mc:AlternateContent>
          <mc:Choice Requires="wps">
            <w:drawing>
              <wp:anchor distT="0" distB="0" distL="114300" distR="114300" simplePos="0" relativeHeight="251668480" behindDoc="0" locked="0" layoutInCell="1" allowOverlap="1" wp14:anchorId="2516705F" wp14:editId="68E1BD35">
                <wp:simplePos x="0" y="0"/>
                <wp:positionH relativeFrom="column">
                  <wp:posOffset>765810</wp:posOffset>
                </wp:positionH>
                <wp:positionV relativeFrom="paragraph">
                  <wp:posOffset>177165</wp:posOffset>
                </wp:positionV>
                <wp:extent cx="777240" cy="609600"/>
                <wp:effectExtent l="0" t="0" r="3810" b="0"/>
                <wp:wrapNone/>
                <wp:docPr id="11" name="Zone de texte 11"/>
                <wp:cNvGraphicFramePr/>
                <a:graphic xmlns:a="http://schemas.openxmlformats.org/drawingml/2006/main">
                  <a:graphicData uri="http://schemas.microsoft.com/office/word/2010/wordprocessingShape">
                    <wps:wsp>
                      <wps:cNvSpPr txBox="1"/>
                      <wps:spPr>
                        <a:xfrm>
                          <a:off x="0" y="0"/>
                          <a:ext cx="777240"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4656" w:rsidRPr="00403255" w:rsidRDefault="00D84656" w:rsidP="006B3B4C">
                            <w:pPr>
                              <w:spacing w:before="60" w:line="240" w:lineRule="auto"/>
                              <w:jc w:val="right"/>
                              <w:rPr>
                                <w:sz w:val="16"/>
                                <w:szCs w:val="16"/>
                              </w:rPr>
                            </w:pPr>
                            <w:r>
                              <w:rPr>
                                <w:sz w:val="16"/>
                                <w:szCs w:val="16"/>
                              </w:rPr>
                              <w:t>Axe de référence</w:t>
                            </w:r>
                            <w:r>
                              <w:rPr>
                                <w:sz w:val="16"/>
                                <w:szCs w:val="16"/>
                              </w:rPr>
                              <w:br/>
                              <w:t>perpendiculaire</w:t>
                            </w:r>
                            <w:r>
                              <w:rPr>
                                <w:sz w:val="16"/>
                                <w:szCs w:val="16"/>
                              </w:rPr>
                              <w:br/>
                              <w:t>à la surface</w:t>
                            </w:r>
                            <w:r>
                              <w:rPr>
                                <w:sz w:val="16"/>
                                <w:szCs w:val="16"/>
                              </w:rPr>
                              <w:br/>
                              <w:t>rétroréfléchissante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16705F" id="_x0000_t202" coordsize="21600,21600" o:spt="202" path="m,l,21600r21600,l21600,xe">
                <v:stroke joinstyle="miter"/>
                <v:path gradientshapeok="t" o:connecttype="rect"/>
              </v:shapetype>
              <v:shape id="Zone de texte 11" o:spid="_x0000_s1026" type="#_x0000_t202" style="position:absolute;left:0;text-align:left;margin-left:60.3pt;margin-top:13.95pt;width:61.2pt;height: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" fillcolor="white [3201]" stroked="f" strokeweight=".5pt">
                <v:textbox inset="0,0,0,0">
                  <w:txbxContent>
                    <w:p w:rsidR="00D84656" w:rsidRPr="00403255" w:rsidRDefault="00D84656" w:rsidP="006B3B4C">
                      <w:pPr>
                        <w:spacing w:before="60" w:line="240" w:lineRule="auto"/>
                        <w:jc w:val="right"/>
                        <w:rPr>
                          <w:sz w:val="16"/>
                          <w:szCs w:val="16"/>
                        </w:rPr>
                      </w:pPr>
                      <w:r>
                        <w:rPr>
                          <w:sz w:val="16"/>
                          <w:szCs w:val="16"/>
                        </w:rPr>
                        <w:t>Axe de référence</w:t>
                      </w:r>
                      <w:r>
                        <w:rPr>
                          <w:sz w:val="16"/>
                          <w:szCs w:val="16"/>
                        </w:rPr>
                        <w:br/>
                        <w:t>perpendiculaire</w:t>
                      </w:r>
                      <w:r>
                        <w:rPr>
                          <w:sz w:val="16"/>
                          <w:szCs w:val="16"/>
                        </w:rPr>
                        <w:br/>
                        <w:t>à la surface</w:t>
                      </w:r>
                      <w:r>
                        <w:rPr>
                          <w:sz w:val="16"/>
                          <w:szCs w:val="16"/>
                        </w:rPr>
                        <w:br/>
                        <w:t>rétroréfléchissante</w:t>
                      </w:r>
                    </w:p>
                  </w:txbxContent>
                </v:textbox>
              </v:shape>
            </w:pict>
          </mc:Fallback>
        </mc:AlternateContent>
      </w:r>
      <w:r>
        <w:rPr>
          <w:noProof/>
          <w:lang w:val="en-GB" w:eastAsia="en-GB"/>
        </w:rPr>
        <mc:AlternateContent>
          <mc:Choice Requires="wps">
            <w:drawing>
              <wp:anchor distT="0" distB="0" distL="114300" distR="114300" simplePos="0" relativeHeight="251667456" behindDoc="0" locked="0" layoutInCell="1" allowOverlap="1" wp14:anchorId="37248C25" wp14:editId="102144E1">
                <wp:simplePos x="0" y="0"/>
                <wp:positionH relativeFrom="column">
                  <wp:posOffset>811530</wp:posOffset>
                </wp:positionH>
                <wp:positionV relativeFrom="paragraph">
                  <wp:posOffset>901065</wp:posOffset>
                </wp:positionV>
                <wp:extent cx="716280" cy="609600"/>
                <wp:effectExtent l="0" t="0" r="7620" b="0"/>
                <wp:wrapNone/>
                <wp:docPr id="10" name="Zone de texte 10"/>
                <wp:cNvGraphicFramePr/>
                <a:graphic xmlns:a="http://schemas.openxmlformats.org/drawingml/2006/main">
                  <a:graphicData uri="http://schemas.microsoft.com/office/word/2010/wordprocessingShape">
                    <wps:wsp>
                      <wps:cNvSpPr txBox="1"/>
                      <wps:spPr>
                        <a:xfrm>
                          <a:off x="0" y="0"/>
                          <a:ext cx="716280"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4656" w:rsidRDefault="00D84656" w:rsidP="006B3B4C">
                            <w:pPr>
                              <w:spacing w:before="60" w:line="240" w:lineRule="auto"/>
                              <w:jc w:val="right"/>
                              <w:rPr>
                                <w:sz w:val="16"/>
                                <w:szCs w:val="16"/>
                              </w:rPr>
                            </w:pPr>
                            <w:r>
                              <w:rPr>
                                <w:sz w:val="16"/>
                                <w:szCs w:val="16"/>
                              </w:rPr>
                              <w:t>Axe de référence</w:t>
                            </w:r>
                          </w:p>
                          <w:p w:rsidR="00D84656" w:rsidRPr="00403255" w:rsidRDefault="00D84656" w:rsidP="006B3B4C">
                            <w:pPr>
                              <w:spacing w:before="60" w:line="240" w:lineRule="auto"/>
                              <w:jc w:val="right"/>
                              <w:rPr>
                                <w:sz w:val="16"/>
                                <w:szCs w:val="16"/>
                              </w:rPr>
                            </w:pPr>
                            <w:r>
                              <w:rPr>
                                <w:sz w:val="16"/>
                                <w:szCs w:val="16"/>
                              </w:rPr>
                              <w:t xml:space="preserve">Dispositif </w:t>
                            </w:r>
                            <w:r>
                              <w:rPr>
                                <w:sz w:val="16"/>
                                <w:szCs w:val="16"/>
                              </w:rPr>
                              <w:br/>
                              <w:t>catadioptrique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48C25" id="Zone de texte 10" o:spid="_x0000_s1027" type="#_x0000_t202" style="position:absolute;left:0;text-align:left;margin-left:63.9pt;margin-top:70.95pt;width:56.4pt;height: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" fillcolor="white [3201]" stroked="f" strokeweight=".5pt">
                <v:textbox inset="0,0,0,0">
                  <w:txbxContent>
                    <w:p w:rsidR="00D84656" w:rsidRDefault="00D84656" w:rsidP="006B3B4C">
                      <w:pPr>
                        <w:spacing w:before="60" w:line="240" w:lineRule="auto"/>
                        <w:jc w:val="right"/>
                        <w:rPr>
                          <w:sz w:val="16"/>
                          <w:szCs w:val="16"/>
                        </w:rPr>
                      </w:pPr>
                      <w:r>
                        <w:rPr>
                          <w:sz w:val="16"/>
                          <w:szCs w:val="16"/>
                        </w:rPr>
                        <w:t>Axe de référence</w:t>
                      </w:r>
                    </w:p>
                    <w:p w:rsidR="00D84656" w:rsidRPr="00403255" w:rsidRDefault="00D84656" w:rsidP="006B3B4C">
                      <w:pPr>
                        <w:spacing w:before="60" w:line="240" w:lineRule="auto"/>
                        <w:jc w:val="right"/>
                        <w:rPr>
                          <w:sz w:val="16"/>
                          <w:szCs w:val="16"/>
                        </w:rPr>
                      </w:pPr>
                      <w:r>
                        <w:rPr>
                          <w:sz w:val="16"/>
                          <w:szCs w:val="16"/>
                        </w:rPr>
                        <w:t xml:space="preserve">Dispositif </w:t>
                      </w:r>
                      <w:r>
                        <w:rPr>
                          <w:sz w:val="16"/>
                          <w:szCs w:val="16"/>
                        </w:rPr>
                        <w:br/>
                        <w:t>catadioptrique</w:t>
                      </w:r>
                    </w:p>
                  </w:txbxContent>
                </v:textbox>
              </v:shape>
            </w:pict>
          </mc:Fallback>
        </mc:AlternateContent>
      </w:r>
      <w:r>
        <w:rPr>
          <w:noProof/>
          <w:lang w:val="en-GB" w:eastAsia="en-GB"/>
        </w:rPr>
        <mc:AlternateContent>
          <mc:Choice Requires="wps">
            <w:drawing>
              <wp:anchor distT="0" distB="0" distL="114300" distR="114300" simplePos="0" relativeHeight="251666432" behindDoc="0" locked="0" layoutInCell="1" allowOverlap="1" wp14:anchorId="675C329E" wp14:editId="570ED128">
                <wp:simplePos x="0" y="0"/>
                <wp:positionH relativeFrom="column">
                  <wp:posOffset>2205990</wp:posOffset>
                </wp:positionH>
                <wp:positionV relativeFrom="paragraph">
                  <wp:posOffset>1167765</wp:posOffset>
                </wp:positionV>
                <wp:extent cx="1127760" cy="335280"/>
                <wp:effectExtent l="0" t="0" r="0" b="7620"/>
                <wp:wrapNone/>
                <wp:docPr id="9" name="Zone de texte 9"/>
                <wp:cNvGraphicFramePr/>
                <a:graphic xmlns:a="http://schemas.openxmlformats.org/drawingml/2006/main">
                  <a:graphicData uri="http://schemas.microsoft.com/office/word/2010/wordprocessingShape">
                    <wps:wsp>
                      <wps:cNvSpPr txBox="1"/>
                      <wps:spPr>
                        <a:xfrm>
                          <a:off x="0" y="0"/>
                          <a:ext cx="1127760" cy="335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4656" w:rsidRPr="00403255" w:rsidRDefault="00D84656" w:rsidP="006B3B4C">
                            <w:pPr>
                              <w:spacing w:before="60" w:line="240" w:lineRule="auto"/>
                              <w:rPr>
                                <w:sz w:val="16"/>
                                <w:szCs w:val="16"/>
                              </w:rPr>
                            </w:pPr>
                            <w:r>
                              <w:rPr>
                                <w:sz w:val="16"/>
                                <w:szCs w:val="16"/>
                              </w:rPr>
                              <w:t>Répartition de l</w:t>
                            </w:r>
                            <w:r w:rsidRPr="00861D4E">
                              <w:rPr>
                                <w:sz w:val="16"/>
                                <w:szCs w:val="16"/>
                              </w:rPr>
                              <w:t>’</w:t>
                            </w:r>
                            <w:r>
                              <w:rPr>
                                <w:sz w:val="16"/>
                                <w:szCs w:val="16"/>
                              </w:rPr>
                              <w:t>intensité</w:t>
                            </w:r>
                            <w:r>
                              <w:rPr>
                                <w:sz w:val="16"/>
                                <w:szCs w:val="16"/>
                              </w:rPr>
                              <w:br/>
                              <w:t>rétroréfléchie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C329E" id="Zone de texte 9" o:spid="_x0000_s1028" type="#_x0000_t202" style="position:absolute;left:0;text-align:left;margin-left:173.7pt;margin-top:91.95pt;width:88.8pt;height:2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" fillcolor="white [3201]" stroked="f" strokeweight=".5pt">
                <v:textbox inset="0,0,0,0">
                  <w:txbxContent>
                    <w:p w:rsidR="00D84656" w:rsidRPr="00403255" w:rsidRDefault="00D84656" w:rsidP="006B3B4C">
                      <w:pPr>
                        <w:spacing w:before="60" w:line="240" w:lineRule="auto"/>
                        <w:rPr>
                          <w:sz w:val="16"/>
                          <w:szCs w:val="16"/>
                        </w:rPr>
                      </w:pPr>
                      <w:r>
                        <w:rPr>
                          <w:sz w:val="16"/>
                          <w:szCs w:val="16"/>
                        </w:rPr>
                        <w:t>Répartition de l</w:t>
                      </w:r>
                      <w:r w:rsidRPr="00861D4E">
                        <w:rPr>
                          <w:sz w:val="16"/>
                          <w:szCs w:val="16"/>
                        </w:rPr>
                        <w:t>’</w:t>
                      </w:r>
                      <w:r>
                        <w:rPr>
                          <w:sz w:val="16"/>
                          <w:szCs w:val="16"/>
                        </w:rPr>
                        <w:t>intensité</w:t>
                      </w:r>
                      <w:r>
                        <w:rPr>
                          <w:sz w:val="16"/>
                          <w:szCs w:val="16"/>
                        </w:rPr>
                        <w:br/>
                        <w:t>rétroréfléchie</w:t>
                      </w:r>
                    </w:p>
                  </w:txbxContent>
                </v:textbox>
              </v:shape>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6E7ACBBD" wp14:editId="77E6F430">
                <wp:simplePos x="0" y="0"/>
                <wp:positionH relativeFrom="column">
                  <wp:posOffset>3463290</wp:posOffset>
                </wp:positionH>
                <wp:positionV relativeFrom="paragraph">
                  <wp:posOffset>1091565</wp:posOffset>
                </wp:positionV>
                <wp:extent cx="685800" cy="335280"/>
                <wp:effectExtent l="0" t="0" r="0" b="7620"/>
                <wp:wrapNone/>
                <wp:docPr id="8" name="Zone de texte 8"/>
                <wp:cNvGraphicFramePr/>
                <a:graphic xmlns:a="http://schemas.openxmlformats.org/drawingml/2006/main">
                  <a:graphicData uri="http://schemas.microsoft.com/office/word/2010/wordprocessingShape">
                    <wps:wsp>
                      <wps:cNvSpPr txBox="1"/>
                      <wps:spPr>
                        <a:xfrm>
                          <a:off x="0" y="0"/>
                          <a:ext cx="685800" cy="335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4656" w:rsidRPr="00403255" w:rsidRDefault="00D84656" w:rsidP="006B3B4C">
                            <w:pPr>
                              <w:spacing w:before="60" w:line="240" w:lineRule="auto"/>
                              <w:rPr>
                                <w:sz w:val="16"/>
                                <w:szCs w:val="16"/>
                              </w:rPr>
                            </w:pPr>
                            <w:r>
                              <w:rPr>
                                <w:sz w:val="16"/>
                                <w:szCs w:val="16"/>
                              </w:rPr>
                              <w:t>Axe d</w:t>
                            </w:r>
                            <w:r w:rsidRPr="00861D4E">
                              <w:rPr>
                                <w:sz w:val="16"/>
                                <w:szCs w:val="16"/>
                              </w:rPr>
                              <w:t>’</w:t>
                            </w:r>
                            <w:r>
                              <w:rPr>
                                <w:sz w:val="16"/>
                                <w:szCs w:val="16"/>
                              </w:rPr>
                              <w:t>éclairage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ACBBD" id="Zone de texte 8" o:spid="_x0000_s1029" type="#_x0000_t202" style="position:absolute;left:0;text-align:left;margin-left:272.7pt;margin-top:85.95pt;width:54pt;height:2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" fillcolor="white [3201]" stroked="f" strokeweight=".5pt">
                <v:textbox inset="0,0,0,0">
                  <w:txbxContent>
                    <w:p w:rsidR="00D84656" w:rsidRPr="00403255" w:rsidRDefault="00D84656" w:rsidP="006B3B4C">
                      <w:pPr>
                        <w:spacing w:before="60" w:line="240" w:lineRule="auto"/>
                        <w:rPr>
                          <w:sz w:val="16"/>
                          <w:szCs w:val="16"/>
                        </w:rPr>
                      </w:pPr>
                      <w:r>
                        <w:rPr>
                          <w:sz w:val="16"/>
                          <w:szCs w:val="16"/>
                        </w:rPr>
                        <w:t>Axe d</w:t>
                      </w:r>
                      <w:r w:rsidRPr="00861D4E">
                        <w:rPr>
                          <w:sz w:val="16"/>
                          <w:szCs w:val="16"/>
                        </w:rPr>
                        <w:t>’</w:t>
                      </w:r>
                      <w:r>
                        <w:rPr>
                          <w:sz w:val="16"/>
                          <w:szCs w:val="16"/>
                        </w:rPr>
                        <w:t>éclairage</w:t>
                      </w:r>
                    </w:p>
                  </w:txbxContent>
                </v:textbox>
              </v:shape>
            </w:pict>
          </mc:Fallback>
        </mc:AlternateContent>
      </w:r>
      <w:r>
        <w:rPr>
          <w:noProof/>
          <w:lang w:val="en-GB" w:eastAsia="en-GB"/>
        </w:rPr>
        <mc:AlternateContent>
          <mc:Choice Requires="wps">
            <w:drawing>
              <wp:anchor distT="0" distB="0" distL="114300" distR="114300" simplePos="0" relativeHeight="251664384" behindDoc="0" locked="0" layoutInCell="1" allowOverlap="1" wp14:anchorId="7232D03E" wp14:editId="226BCFA3">
                <wp:simplePos x="0" y="0"/>
                <wp:positionH relativeFrom="column">
                  <wp:posOffset>4354830</wp:posOffset>
                </wp:positionH>
                <wp:positionV relativeFrom="paragraph">
                  <wp:posOffset>1122045</wp:posOffset>
                </wp:positionV>
                <wp:extent cx="929640" cy="335280"/>
                <wp:effectExtent l="0" t="0" r="3810" b="7620"/>
                <wp:wrapNone/>
                <wp:docPr id="7" name="Zone de texte 7"/>
                <wp:cNvGraphicFramePr/>
                <a:graphic xmlns:a="http://schemas.openxmlformats.org/drawingml/2006/main">
                  <a:graphicData uri="http://schemas.microsoft.com/office/word/2010/wordprocessingShape">
                    <wps:wsp>
                      <wps:cNvSpPr txBox="1"/>
                      <wps:spPr>
                        <a:xfrm>
                          <a:off x="0" y="0"/>
                          <a:ext cx="929640" cy="335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4656" w:rsidRPr="00403255" w:rsidRDefault="00D84656" w:rsidP="006B3B4C">
                            <w:pPr>
                              <w:spacing w:before="60" w:line="240" w:lineRule="auto"/>
                              <w:jc w:val="center"/>
                              <w:rPr>
                                <w:sz w:val="16"/>
                                <w:szCs w:val="16"/>
                              </w:rPr>
                            </w:pPr>
                            <w:r>
                              <w:rPr>
                                <w:sz w:val="16"/>
                                <w:szCs w:val="16"/>
                              </w:rPr>
                              <w:t>Source phare</w:t>
                            </w:r>
                            <w:r>
                              <w:rPr>
                                <w:sz w:val="16"/>
                                <w:szCs w:val="16"/>
                              </w:rPr>
                              <w:br/>
                              <w:t>du véhicule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2D03E" id="Zone de texte 7" o:spid="_x0000_s1030" type="#_x0000_t202" style="position:absolute;left:0;text-align:left;margin-left:342.9pt;margin-top:88.35pt;width:73.2pt;height:2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" fillcolor="white [3201]" stroked="f" strokeweight=".5pt">
                <v:textbox inset="0,0,0,0">
                  <w:txbxContent>
                    <w:p w:rsidR="00D84656" w:rsidRPr="00403255" w:rsidRDefault="00D84656" w:rsidP="006B3B4C">
                      <w:pPr>
                        <w:spacing w:before="60" w:line="240" w:lineRule="auto"/>
                        <w:jc w:val="center"/>
                        <w:rPr>
                          <w:sz w:val="16"/>
                          <w:szCs w:val="16"/>
                        </w:rPr>
                      </w:pPr>
                      <w:r>
                        <w:rPr>
                          <w:sz w:val="16"/>
                          <w:szCs w:val="16"/>
                        </w:rPr>
                        <w:t>Source phare</w:t>
                      </w:r>
                      <w:r>
                        <w:rPr>
                          <w:sz w:val="16"/>
                          <w:szCs w:val="16"/>
                        </w:rPr>
                        <w:br/>
                        <w:t>du véhicule</w:t>
                      </w:r>
                    </w:p>
                  </w:txbxContent>
                </v:textbox>
              </v:shape>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1D097676" wp14:editId="0F1242F8">
                <wp:simplePos x="0" y="0"/>
                <wp:positionH relativeFrom="column">
                  <wp:posOffset>4057650</wp:posOffset>
                </wp:positionH>
                <wp:positionV relativeFrom="paragraph">
                  <wp:posOffset>596265</wp:posOffset>
                </wp:positionV>
                <wp:extent cx="1090800" cy="392400"/>
                <wp:effectExtent l="0" t="0" r="0" b="8255"/>
                <wp:wrapNone/>
                <wp:docPr id="6" name="Zone de texte 6"/>
                <wp:cNvGraphicFramePr/>
                <a:graphic xmlns:a="http://schemas.openxmlformats.org/drawingml/2006/main">
                  <a:graphicData uri="http://schemas.microsoft.com/office/word/2010/wordprocessingShape">
                    <wps:wsp>
                      <wps:cNvSpPr txBox="1"/>
                      <wps:spPr>
                        <a:xfrm>
                          <a:off x="0" y="0"/>
                          <a:ext cx="1090800" cy="39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4656" w:rsidRPr="00403255" w:rsidRDefault="00D84656" w:rsidP="006B3B4C">
                            <w:pPr>
                              <w:spacing w:before="60" w:line="240" w:lineRule="auto"/>
                              <w:jc w:val="center"/>
                              <w:rPr>
                                <w:sz w:val="16"/>
                                <w:szCs w:val="16"/>
                              </w:rPr>
                            </w:pPr>
                            <w:r>
                              <w:rPr>
                                <w:sz w:val="16"/>
                                <w:szCs w:val="16"/>
                              </w:rPr>
                              <w:t>(angle de divergence</w:t>
                            </w:r>
                            <w:r>
                              <w:rPr>
                                <w:sz w:val="16"/>
                                <w:szCs w:val="16"/>
                              </w:rPr>
                              <w:br/>
                              <w:t>indiqué dans le présent Règlement)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97676" id="Zone de texte 6" o:spid="_x0000_s1031" type="#_x0000_t202" style="position:absolute;left:0;text-align:left;margin-left:319.5pt;margin-top:46.95pt;width:85.9pt;height:3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" fillcolor="white [3201]" stroked="f" strokeweight=".5pt">
                <v:textbox inset="0,0,0,0">
                  <w:txbxContent>
                    <w:p w:rsidR="00D84656" w:rsidRPr="00403255" w:rsidRDefault="00D84656" w:rsidP="006B3B4C">
                      <w:pPr>
                        <w:spacing w:before="60" w:line="240" w:lineRule="auto"/>
                        <w:jc w:val="center"/>
                        <w:rPr>
                          <w:sz w:val="16"/>
                          <w:szCs w:val="16"/>
                        </w:rPr>
                      </w:pPr>
                      <w:r>
                        <w:rPr>
                          <w:sz w:val="16"/>
                          <w:szCs w:val="16"/>
                        </w:rPr>
                        <w:t>(angle de divergence</w:t>
                      </w:r>
                      <w:r>
                        <w:rPr>
                          <w:sz w:val="16"/>
                          <w:szCs w:val="16"/>
                        </w:rPr>
                        <w:br/>
                        <w:t>indiqué dans le présent Règlement)</w:t>
                      </w:r>
                    </w:p>
                  </w:txbxContent>
                </v:textbox>
              </v:shape>
            </w:pict>
          </mc:Fallback>
        </mc:AlternateContent>
      </w:r>
      <w:r>
        <w:rPr>
          <w:noProof/>
          <w:lang w:val="en-GB" w:eastAsia="en-GB"/>
        </w:rPr>
        <mc:AlternateContent>
          <mc:Choice Requires="wps">
            <w:drawing>
              <wp:anchor distT="0" distB="0" distL="114300" distR="114300" simplePos="0" relativeHeight="251662336" behindDoc="0" locked="0" layoutInCell="1" allowOverlap="1" wp14:anchorId="4A9FDD1D" wp14:editId="71F28423">
                <wp:simplePos x="0" y="0"/>
                <wp:positionH relativeFrom="column">
                  <wp:posOffset>3021330</wp:posOffset>
                </wp:positionH>
                <wp:positionV relativeFrom="paragraph">
                  <wp:posOffset>718185</wp:posOffset>
                </wp:positionV>
                <wp:extent cx="1112520" cy="16002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1112520" cy="160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4656" w:rsidRPr="00403255" w:rsidRDefault="00D84656" w:rsidP="006B3B4C">
                            <w:pPr>
                              <w:spacing w:line="240" w:lineRule="auto"/>
                              <w:jc w:val="center"/>
                              <w:rPr>
                                <w:sz w:val="16"/>
                                <w:szCs w:val="16"/>
                              </w:rPr>
                            </w:pPr>
                            <w:r>
                              <w:rPr>
                                <w:sz w:val="16"/>
                                <w:szCs w:val="16"/>
                              </w:rPr>
                              <w:t>Angle d</w:t>
                            </w:r>
                            <w:r w:rsidRPr="005C2BDC">
                              <w:rPr>
                                <w:sz w:val="16"/>
                                <w:szCs w:val="16"/>
                              </w:rPr>
                              <w:t>’</w:t>
                            </w:r>
                            <w:r>
                              <w:rPr>
                                <w:sz w:val="16"/>
                                <w:szCs w:val="16"/>
                              </w:rPr>
                              <w:t xml:space="preserve">observation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FDD1D" id="Zone de texte 14" o:spid="_x0000_s1032" type="#_x0000_t202" style="position:absolute;left:0;text-align:left;margin-left:237.9pt;margin-top:56.55pt;width:87.6pt;height:1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" fillcolor="white [3201]" stroked="f" strokeweight=".5pt">
                <v:textbox inset="0,0,0,0">
                  <w:txbxContent>
                    <w:p w:rsidR="00D84656" w:rsidRPr="00403255" w:rsidRDefault="00D84656" w:rsidP="006B3B4C">
                      <w:pPr>
                        <w:spacing w:line="240" w:lineRule="auto"/>
                        <w:jc w:val="center"/>
                        <w:rPr>
                          <w:sz w:val="16"/>
                          <w:szCs w:val="16"/>
                        </w:rPr>
                      </w:pPr>
                      <w:r>
                        <w:rPr>
                          <w:sz w:val="16"/>
                          <w:szCs w:val="16"/>
                        </w:rPr>
                        <w:t>Angle d</w:t>
                      </w:r>
                      <w:r w:rsidRPr="005C2BDC">
                        <w:rPr>
                          <w:sz w:val="16"/>
                          <w:szCs w:val="16"/>
                        </w:rPr>
                        <w:t>’</w:t>
                      </w:r>
                      <w:r>
                        <w:rPr>
                          <w:sz w:val="16"/>
                          <w:szCs w:val="16"/>
                        </w:rPr>
                        <w:t xml:space="preserve">observation </w:t>
                      </w:r>
                    </w:p>
                  </w:txbxContent>
                </v:textbox>
              </v:shape>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7FC4346A" wp14:editId="251BB089">
                <wp:simplePos x="0" y="0"/>
                <wp:positionH relativeFrom="column">
                  <wp:posOffset>4339590</wp:posOffset>
                </wp:positionH>
                <wp:positionV relativeFrom="paragraph">
                  <wp:posOffset>161925</wp:posOffset>
                </wp:positionV>
                <wp:extent cx="853440" cy="335280"/>
                <wp:effectExtent l="0" t="0" r="3810" b="7620"/>
                <wp:wrapNone/>
                <wp:docPr id="15" name="Zone de texte 15"/>
                <wp:cNvGraphicFramePr/>
                <a:graphic xmlns:a="http://schemas.openxmlformats.org/drawingml/2006/main">
                  <a:graphicData uri="http://schemas.microsoft.com/office/word/2010/wordprocessingShape">
                    <wps:wsp>
                      <wps:cNvSpPr txBox="1"/>
                      <wps:spPr>
                        <a:xfrm>
                          <a:off x="0" y="0"/>
                          <a:ext cx="853440" cy="335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4656" w:rsidRPr="00403255" w:rsidRDefault="00D84656" w:rsidP="006B3B4C">
                            <w:pPr>
                              <w:spacing w:before="60" w:line="240" w:lineRule="auto"/>
                              <w:jc w:val="center"/>
                              <w:rPr>
                                <w:sz w:val="16"/>
                                <w:szCs w:val="16"/>
                              </w:rPr>
                            </w:pPr>
                            <w:r>
                              <w:rPr>
                                <w:sz w:val="16"/>
                                <w:szCs w:val="16"/>
                              </w:rPr>
                              <w:t>Tête photométrique</w:t>
                            </w:r>
                            <w:r>
                              <w:rPr>
                                <w:sz w:val="16"/>
                                <w:szCs w:val="16"/>
                              </w:rPr>
                              <w:br/>
                              <w:t>œil du conducteur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4346A" id="Zone de texte 15" o:spid="_x0000_s1033" type="#_x0000_t202" style="position:absolute;left:0;text-align:left;margin-left:341.7pt;margin-top:12.75pt;width:67.2pt;height:2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" fillcolor="white [3201]" stroked="f" strokeweight=".5pt">
                <v:textbox inset="0,0,0,0">
                  <w:txbxContent>
                    <w:p w:rsidR="00D84656" w:rsidRPr="00403255" w:rsidRDefault="00D84656" w:rsidP="006B3B4C">
                      <w:pPr>
                        <w:spacing w:before="60" w:line="240" w:lineRule="auto"/>
                        <w:jc w:val="center"/>
                        <w:rPr>
                          <w:sz w:val="16"/>
                          <w:szCs w:val="16"/>
                        </w:rPr>
                      </w:pPr>
                      <w:r>
                        <w:rPr>
                          <w:sz w:val="16"/>
                          <w:szCs w:val="16"/>
                        </w:rPr>
                        <w:t>Tête photométrique</w:t>
                      </w:r>
                      <w:r>
                        <w:rPr>
                          <w:sz w:val="16"/>
                          <w:szCs w:val="16"/>
                        </w:rPr>
                        <w:br/>
                        <w:t>œil du conducteur</w:t>
                      </w:r>
                    </w:p>
                  </w:txbxContent>
                </v:textbox>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32502C25" wp14:editId="48BA6002">
                <wp:simplePos x="0" y="0"/>
                <wp:positionH relativeFrom="column">
                  <wp:posOffset>3105150</wp:posOffset>
                </wp:positionH>
                <wp:positionV relativeFrom="paragraph">
                  <wp:posOffset>299085</wp:posOffset>
                </wp:positionV>
                <wp:extent cx="654685" cy="335280"/>
                <wp:effectExtent l="0" t="0" r="0" b="7620"/>
                <wp:wrapNone/>
                <wp:docPr id="16" name="Zone de texte 16"/>
                <wp:cNvGraphicFramePr/>
                <a:graphic xmlns:a="http://schemas.openxmlformats.org/drawingml/2006/main">
                  <a:graphicData uri="http://schemas.microsoft.com/office/word/2010/wordprocessingShape">
                    <wps:wsp>
                      <wps:cNvSpPr txBox="1"/>
                      <wps:spPr>
                        <a:xfrm>
                          <a:off x="0" y="0"/>
                          <a:ext cx="654685" cy="335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4656" w:rsidRPr="00403255" w:rsidRDefault="00D84656" w:rsidP="006B3B4C">
                            <w:pPr>
                              <w:spacing w:before="60" w:line="240" w:lineRule="auto"/>
                              <w:jc w:val="right"/>
                              <w:rPr>
                                <w:sz w:val="16"/>
                                <w:szCs w:val="16"/>
                              </w:rPr>
                            </w:pPr>
                            <w:r>
                              <w:rPr>
                                <w:sz w:val="16"/>
                                <w:szCs w:val="16"/>
                              </w:rPr>
                              <w:t>Axe</w:t>
                            </w:r>
                            <w:r>
                              <w:rPr>
                                <w:sz w:val="16"/>
                                <w:szCs w:val="16"/>
                              </w:rPr>
                              <w:br/>
                              <w:t>d</w:t>
                            </w:r>
                            <w:r w:rsidRPr="00BF6799">
                              <w:rPr>
                                <w:sz w:val="16"/>
                                <w:szCs w:val="16"/>
                              </w:rPr>
                              <w:t>’</w:t>
                            </w:r>
                            <w:r>
                              <w:rPr>
                                <w:sz w:val="16"/>
                                <w:szCs w:val="16"/>
                              </w:rPr>
                              <w:t>observation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02C25" id="Zone de texte 16" o:spid="_x0000_s1034" type="#_x0000_t202" style="position:absolute;left:0;text-align:left;margin-left:244.5pt;margin-top:23.55pt;width:51.55pt;height:2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" fillcolor="white [3201]" stroked="f" strokeweight=".5pt">
                <v:textbox inset="0,0,0,0">
                  <w:txbxContent>
                    <w:p w:rsidR="00D84656" w:rsidRPr="00403255" w:rsidRDefault="00D84656" w:rsidP="006B3B4C">
                      <w:pPr>
                        <w:spacing w:before="60" w:line="240" w:lineRule="auto"/>
                        <w:jc w:val="right"/>
                        <w:rPr>
                          <w:sz w:val="16"/>
                          <w:szCs w:val="16"/>
                        </w:rPr>
                      </w:pPr>
                      <w:r>
                        <w:rPr>
                          <w:sz w:val="16"/>
                          <w:szCs w:val="16"/>
                        </w:rPr>
                        <w:t>Axe</w:t>
                      </w:r>
                      <w:r>
                        <w:rPr>
                          <w:sz w:val="16"/>
                          <w:szCs w:val="16"/>
                        </w:rPr>
                        <w:br/>
                        <w:t>d</w:t>
                      </w:r>
                      <w:r w:rsidRPr="00BF6799">
                        <w:rPr>
                          <w:sz w:val="16"/>
                          <w:szCs w:val="16"/>
                        </w:rPr>
                        <w:t>’</w:t>
                      </w:r>
                      <w:r>
                        <w:rPr>
                          <w:sz w:val="16"/>
                          <w:szCs w:val="16"/>
                        </w:rPr>
                        <w:t>observation</w:t>
                      </w:r>
                    </w:p>
                  </w:txbxContent>
                </v:textbox>
              </v:shape>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3101FB07" wp14:editId="34080E44">
                <wp:simplePos x="0" y="0"/>
                <wp:positionH relativeFrom="column">
                  <wp:posOffset>2228850</wp:posOffset>
                </wp:positionH>
                <wp:positionV relativeFrom="paragraph">
                  <wp:posOffset>70485</wp:posOffset>
                </wp:positionV>
                <wp:extent cx="784800" cy="385200"/>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784800" cy="38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4656" w:rsidRPr="00403255" w:rsidRDefault="00D84656" w:rsidP="006B3B4C">
                            <w:pPr>
                              <w:spacing w:before="60" w:line="240" w:lineRule="auto"/>
                              <w:rPr>
                                <w:sz w:val="16"/>
                                <w:szCs w:val="16"/>
                              </w:rPr>
                            </w:pPr>
                            <w:r>
                              <w:rPr>
                                <w:sz w:val="16"/>
                                <w:szCs w:val="16"/>
                              </w:rPr>
                              <w:t>Éclairage (entrée)</w:t>
                            </w:r>
                            <w:r>
                              <w:rPr>
                                <w:sz w:val="16"/>
                                <w:szCs w:val="16"/>
                              </w:rPr>
                              <w:br/>
                              <w:t xml:space="preserve">Angle </w:t>
                            </w:r>
                            <w:r>
                              <w:rPr>
                                <w:sz w:val="16"/>
                                <w:szCs w:val="16"/>
                              </w:rPr>
                              <w:sym w:font="Symbol" w:char="F062"/>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1FB07" id="Zone de texte 17" o:spid="_x0000_s1035" type="#_x0000_t202" style="position:absolute;left:0;text-align:left;margin-left:175.5pt;margin-top:5.55pt;width:61.8pt;height:3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" fillcolor="white [3201]" stroked="f" strokeweight=".5pt">
                <v:textbox inset="0,0,0,0">
                  <w:txbxContent>
                    <w:p w:rsidR="00D84656" w:rsidRPr="00403255" w:rsidRDefault="00D84656" w:rsidP="006B3B4C">
                      <w:pPr>
                        <w:spacing w:before="60" w:line="240" w:lineRule="auto"/>
                        <w:rPr>
                          <w:sz w:val="16"/>
                          <w:szCs w:val="16"/>
                        </w:rPr>
                      </w:pPr>
                      <w:r>
                        <w:rPr>
                          <w:sz w:val="16"/>
                          <w:szCs w:val="16"/>
                        </w:rPr>
                        <w:t>Éclairage (entrée)</w:t>
                      </w:r>
                      <w:r>
                        <w:rPr>
                          <w:sz w:val="16"/>
                          <w:szCs w:val="16"/>
                        </w:rPr>
                        <w:br/>
                        <w:t xml:space="preserve">Angle </w:t>
                      </w:r>
                      <w:r>
                        <w:rPr>
                          <w:sz w:val="16"/>
                          <w:szCs w:val="16"/>
                        </w:rPr>
                        <w:sym w:font="Symbol" w:char="F062"/>
                      </w:r>
                    </w:p>
                  </w:txbxContent>
                </v:textbox>
              </v:shape>
            </w:pict>
          </mc:Fallback>
        </mc:AlternateContent>
      </w:r>
      <w:r w:rsidRPr="00403255">
        <w:rPr>
          <w:noProof/>
          <w:bdr w:val="single" w:sz="4" w:space="0" w:color="auto"/>
          <w:lang w:val="en-GB" w:eastAsia="en-GB"/>
        </w:rPr>
        <w:drawing>
          <wp:inline distT="0" distB="0" distL="0" distR="0" wp14:anchorId="34180E8F" wp14:editId="19F36535">
            <wp:extent cx="4644000" cy="1591200"/>
            <wp:effectExtent l="0" t="0" r="0" b="0"/>
            <wp:docPr id="18" name="Image 18" descr="Reg27 Fig3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Reg27 Fig3 a"/>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544" t="-4829" r="-2474" b="-6610"/>
                    <a:stretch/>
                  </pic:blipFill>
                  <pic:spPr bwMode="auto">
                    <a:xfrm>
                      <a:off x="0" y="0"/>
                      <a:ext cx="4644000" cy="1591200"/>
                    </a:xfrm>
                    <a:prstGeom prst="rect">
                      <a:avLst/>
                    </a:prstGeom>
                    <a:noFill/>
                    <a:ln>
                      <a:noFill/>
                    </a:ln>
                    <a:extLst>
                      <a:ext uri="{53640926-AAD7-44D8-BBD7-CCE9431645EC}">
                        <a14:shadowObscured xmlns:a14="http://schemas.microsoft.com/office/drawing/2010/main"/>
                      </a:ext>
                    </a:extLst>
                  </pic:spPr>
                </pic:pic>
              </a:graphicData>
            </a:graphic>
          </wp:inline>
        </w:drawing>
      </w:r>
    </w:p>
    <w:p w:rsidR="006B3B4C" w:rsidRDefault="006B3B4C">
      <w:pPr>
        <w:suppressAutoHyphens w:val="0"/>
        <w:kinsoku/>
        <w:overflowPunct/>
        <w:autoSpaceDE/>
        <w:autoSpaceDN/>
        <w:adjustRightInd/>
        <w:snapToGrid/>
        <w:spacing w:line="240" w:lineRule="auto"/>
        <w:rPr>
          <w:lang w:val="fr-FR" w:eastAsia="en-GB"/>
        </w:rPr>
      </w:pPr>
      <w:r>
        <w:rPr>
          <w:lang w:val="fr-FR" w:eastAsia="en-GB"/>
        </w:rPr>
        <w:br w:type="page"/>
      </w:r>
    </w:p>
    <w:p w:rsidR="003170C8" w:rsidRDefault="00933078" w:rsidP="003170C8">
      <w:pPr>
        <w:pStyle w:val="SingleTxtG"/>
        <w:keepNext/>
        <w:rPr>
          <w:lang w:val="fr-FR" w:eastAsia="en-GB"/>
        </w:rPr>
      </w:pPr>
      <w:r>
        <w:rPr>
          <w:lang w:val="fr-FR" w:eastAsia="en-GB"/>
        </w:rPr>
        <w:t>Figure 4</w:t>
      </w:r>
    </w:p>
    <w:p w:rsidR="00933078" w:rsidRPr="00150DB2" w:rsidRDefault="00933078" w:rsidP="00933078">
      <w:pPr>
        <w:ind w:left="1134" w:right="1134"/>
      </w:pPr>
      <w:r>
        <w:rPr>
          <w:noProof/>
          <w:lang w:val="en-GB" w:eastAsia="en-GB"/>
        </w:rPr>
        <mc:AlternateContent>
          <mc:Choice Requires="wps">
            <w:drawing>
              <wp:anchor distT="0" distB="0" distL="114300" distR="114300" simplePos="0" relativeHeight="251671552" behindDoc="0" locked="0" layoutInCell="1" allowOverlap="1" wp14:anchorId="297E7341" wp14:editId="731845A6">
                <wp:simplePos x="0" y="0"/>
                <wp:positionH relativeFrom="column">
                  <wp:posOffset>781050</wp:posOffset>
                </wp:positionH>
                <wp:positionV relativeFrom="paragraph">
                  <wp:posOffset>1850390</wp:posOffset>
                </wp:positionV>
                <wp:extent cx="1112400" cy="30600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1112400" cy="30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4656" w:rsidRPr="0059381C" w:rsidRDefault="00D84656" w:rsidP="00933078">
                            <w:pPr>
                              <w:spacing w:line="240" w:lineRule="auto"/>
                            </w:pPr>
                            <w:r>
                              <w:t>Dispositif</w:t>
                            </w:r>
                            <w:r>
                              <w:br/>
                              <w:t>catadioptrique</w:t>
                            </w:r>
                            <w:r w:rsidRPr="0059381C">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E7341" id="Zone de texte 19" o:spid="_x0000_s1036" type="#_x0000_t202" style="position:absolute;left:0;text-align:left;margin-left:61.5pt;margin-top:145.7pt;width:87.6pt;height:24.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" fillcolor="white [3201]" stroked="f" strokeweight=".5pt">
                <v:textbox inset="0,0,0,0">
                  <w:txbxContent>
                    <w:p w:rsidR="00D84656" w:rsidRPr="0059381C" w:rsidRDefault="00D84656" w:rsidP="00933078">
                      <w:pPr>
                        <w:spacing w:line="240" w:lineRule="auto"/>
                      </w:pPr>
                      <w:r>
                        <w:t>Dispositif</w:t>
                      </w:r>
                      <w:r>
                        <w:br/>
                        <w:t>catadioptrique</w:t>
                      </w:r>
                      <w:r w:rsidRPr="0059381C">
                        <w:t xml:space="preserve"> </w:t>
                      </w:r>
                    </w:p>
                  </w:txbxContent>
                </v:textbox>
              </v:shape>
            </w:pict>
          </mc:Fallback>
        </mc:AlternateContent>
      </w:r>
      <w:r>
        <w:rPr>
          <w:noProof/>
          <w:lang w:val="en-GB" w:eastAsia="en-GB"/>
        </w:rPr>
        <mc:AlternateContent>
          <mc:Choice Requires="wps">
            <w:drawing>
              <wp:anchor distT="0" distB="0" distL="114300" distR="114300" simplePos="0" relativeHeight="251670528" behindDoc="0" locked="0" layoutInCell="1" allowOverlap="1" wp14:anchorId="0534E4A0" wp14:editId="59337037">
                <wp:simplePos x="0" y="0"/>
                <wp:positionH relativeFrom="column">
                  <wp:posOffset>4217670</wp:posOffset>
                </wp:positionH>
                <wp:positionV relativeFrom="paragraph">
                  <wp:posOffset>52070</wp:posOffset>
                </wp:positionV>
                <wp:extent cx="1112520" cy="16002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1112520" cy="160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4656" w:rsidRPr="0059381C" w:rsidRDefault="00D84656" w:rsidP="00933078">
                            <w:pPr>
                              <w:spacing w:line="240" w:lineRule="auto"/>
                              <w:jc w:val="center"/>
                            </w:pPr>
                            <w:r w:rsidRPr="0059381C">
                              <w:t xml:space="preserve">Tête photométrique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4E4A0" id="Zone de texte 20" o:spid="_x0000_s1037" type="#_x0000_t202" style="position:absolute;left:0;text-align:left;margin-left:332.1pt;margin-top:4.1pt;width:87.6pt;height:1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" fillcolor="white [3201]" stroked="f" strokeweight=".5pt">
                <v:textbox inset="0,0,0,0">
                  <w:txbxContent>
                    <w:p w:rsidR="00D84656" w:rsidRPr="0059381C" w:rsidRDefault="00D84656" w:rsidP="00933078">
                      <w:pPr>
                        <w:spacing w:line="240" w:lineRule="auto"/>
                        <w:jc w:val="center"/>
                      </w:pPr>
                      <w:r w:rsidRPr="0059381C">
                        <w:t xml:space="preserve">Tête photométrique </w:t>
                      </w:r>
                    </w:p>
                  </w:txbxContent>
                </v:textbox>
              </v:shape>
            </w:pict>
          </mc:Fallback>
        </mc:AlternateContent>
      </w:r>
      <w:r w:rsidRPr="00127A2B">
        <w:rPr>
          <w:noProof/>
          <w:bdr w:val="single" w:sz="4" w:space="0" w:color="auto"/>
          <w:lang w:val="en-GB" w:eastAsia="en-GB"/>
        </w:rPr>
        <w:drawing>
          <wp:inline distT="0" distB="0" distL="0" distR="0" wp14:anchorId="2564E09F" wp14:editId="2A0A0A28">
            <wp:extent cx="4644000" cy="2163600"/>
            <wp:effectExtent l="0" t="0" r="0" b="0"/>
            <wp:docPr id="21" name="Image 21" descr="Reg27 Fig3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eg27 Fig3 b"/>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726" t="-3039" r="-1726" b="-3039"/>
                    <a:stretch/>
                  </pic:blipFill>
                  <pic:spPr bwMode="auto">
                    <a:xfrm>
                      <a:off x="0" y="0"/>
                      <a:ext cx="4644000" cy="2163600"/>
                    </a:xfrm>
                    <a:prstGeom prst="rect">
                      <a:avLst/>
                    </a:prstGeom>
                    <a:noFill/>
                    <a:ln>
                      <a:noFill/>
                    </a:ln>
                    <a:extLst>
                      <a:ext uri="{53640926-AAD7-44D8-BBD7-CCE9431645EC}">
                        <a14:shadowObscured xmlns:a14="http://schemas.microsoft.com/office/drawing/2010/main"/>
                      </a:ext>
                    </a:extLst>
                  </pic:spPr>
                </pic:pic>
              </a:graphicData>
            </a:graphic>
          </wp:inline>
        </w:drawing>
      </w:r>
    </w:p>
    <w:p w:rsidR="003E7562" w:rsidRPr="008B062D" w:rsidRDefault="003E7562" w:rsidP="003E7562">
      <w:pPr>
        <w:pStyle w:val="SingleTxtG"/>
        <w:spacing w:before="240"/>
        <w:rPr>
          <w:lang w:val="fr-FR" w:eastAsia="en-GB"/>
        </w:rPr>
      </w:pPr>
      <w:r w:rsidRPr="008B062D">
        <w:rPr>
          <w:lang w:val="fr-FR" w:eastAsia="en-GB"/>
        </w:rPr>
        <w:t>Aux fins du présent Règlement sont fixées les limites ci-après:</w:t>
      </w:r>
    </w:p>
    <w:p w:rsidR="003E7562" w:rsidRPr="008B062D" w:rsidRDefault="003E7562" w:rsidP="003E7562">
      <w:pPr>
        <w:pStyle w:val="SingleTxtG"/>
        <w:rPr>
          <w:lang w:val="fr-FR" w:eastAsia="en-GB"/>
        </w:rPr>
      </w:pPr>
      <w:r w:rsidRPr="008B062D">
        <w:rPr>
          <w:rFonts w:ascii="Symbol" w:hAnsi="Symbol" w:cs="Symbol"/>
          <w:lang w:val="fr-FR" w:eastAsia="en-GB"/>
        </w:rPr>
        <w:t></w:t>
      </w:r>
      <w:r w:rsidRPr="008B062D">
        <w:rPr>
          <w:rFonts w:ascii="Symbol" w:hAnsi="Symbol" w:cs="Symbol"/>
          <w:lang w:val="fr-FR" w:eastAsia="en-GB"/>
        </w:rPr>
        <w:t></w:t>
      </w:r>
      <w:r w:rsidRPr="008B062D">
        <w:rPr>
          <w:rFonts w:ascii="Symbol" w:hAnsi="Symbol" w:cs="Symbol"/>
          <w:lang w:val="fr-FR" w:eastAsia="en-GB"/>
        </w:rPr>
        <w:t></w:t>
      </w:r>
      <w:r w:rsidRPr="008B062D">
        <w:rPr>
          <w:rFonts w:ascii="Symbol" w:hAnsi="Symbol" w:cs="Symbol"/>
          <w:lang w:val="fr-FR" w:eastAsia="en-GB"/>
        </w:rPr>
        <w:t></w:t>
      </w:r>
      <w:r w:rsidRPr="008B062D">
        <w:rPr>
          <w:lang w:val="fr-FR" w:eastAsia="en-GB"/>
        </w:rPr>
        <w:t>10</w:t>
      </w:r>
      <w:r w:rsidR="006D7A9B">
        <w:rPr>
          <w:lang w:val="fr-FR" w:eastAsia="en-GB"/>
        </w:rPr>
        <w:t>'</w:t>
      </w:r>
    </w:p>
    <w:p w:rsidR="003E7562" w:rsidRPr="008B062D" w:rsidRDefault="003E7562" w:rsidP="003E7562">
      <w:pPr>
        <w:pStyle w:val="SingleTxtG"/>
        <w:rPr>
          <w:lang w:val="fr-FR" w:eastAsia="en-GB"/>
        </w:rPr>
      </w:pPr>
      <w:r w:rsidRPr="008B062D">
        <w:rPr>
          <w:rFonts w:ascii="Symbol" w:hAnsi="Symbol" w:cs="Symbol"/>
          <w:lang w:val="fr-FR" w:eastAsia="en-GB"/>
        </w:rPr>
        <w:t></w:t>
      </w:r>
      <w:r w:rsidRPr="008B062D">
        <w:rPr>
          <w:rFonts w:ascii="Symbol" w:hAnsi="Symbol" w:cs="Symbol"/>
          <w:lang w:val="fr-FR" w:eastAsia="en-GB"/>
        </w:rPr>
        <w:t></w:t>
      </w:r>
      <w:r w:rsidRPr="008B062D">
        <w:rPr>
          <w:rFonts w:ascii="Symbol" w:hAnsi="Symbol" w:cs="Symbol"/>
          <w:lang w:val="fr-FR" w:eastAsia="en-GB"/>
        </w:rPr>
        <w:t></w:t>
      </w:r>
      <w:r w:rsidRPr="008B062D">
        <w:rPr>
          <w:rFonts w:ascii="Symbol" w:hAnsi="Symbol" w:cs="Symbol"/>
          <w:lang w:val="fr-FR" w:eastAsia="en-GB"/>
        </w:rPr>
        <w:t></w:t>
      </w:r>
      <w:r w:rsidRPr="008B062D">
        <w:rPr>
          <w:lang w:val="fr-FR" w:eastAsia="en-GB"/>
        </w:rPr>
        <w:t>10</w:t>
      </w:r>
      <w:r w:rsidR="006D7A9B">
        <w:rPr>
          <w:lang w:val="fr-FR" w:eastAsia="en-GB"/>
        </w:rPr>
        <w:t>'</w:t>
      </w:r>
    </w:p>
    <w:p w:rsidR="00933078" w:rsidRDefault="003E7562" w:rsidP="003E7562">
      <w:pPr>
        <w:pStyle w:val="SingleTxtG"/>
        <w:rPr>
          <w:lang w:val="fr-FR" w:eastAsia="en-GB"/>
        </w:rPr>
      </w:pPr>
      <w:r w:rsidRPr="008B062D">
        <w:rPr>
          <w:rFonts w:ascii="Symbol" w:hAnsi="Symbol" w:cs="Symbol"/>
          <w:lang w:val="fr-FR" w:eastAsia="en-GB"/>
        </w:rPr>
        <w:t></w:t>
      </w:r>
      <w:r w:rsidRPr="008B062D">
        <w:rPr>
          <w:rFonts w:ascii="Symbol" w:hAnsi="Symbol" w:cs="Symbol"/>
          <w:lang w:val="fr-FR" w:eastAsia="en-GB"/>
        </w:rPr>
        <w:t></w:t>
      </w:r>
      <w:r w:rsidRPr="008B062D">
        <w:rPr>
          <w:rFonts w:ascii="Symbol" w:hAnsi="Symbol" w:cs="Symbol"/>
          <w:lang w:val="fr-FR" w:eastAsia="en-GB"/>
        </w:rPr>
        <w:t></w:t>
      </w:r>
      <w:r w:rsidRPr="008B062D">
        <w:rPr>
          <w:rFonts w:ascii="Symbol" w:hAnsi="Symbol" w:cs="Symbol"/>
          <w:lang w:val="fr-FR" w:eastAsia="en-GB"/>
        </w:rPr>
        <w:t></w:t>
      </w:r>
      <w:r w:rsidRPr="008B062D">
        <w:rPr>
          <w:lang w:val="fr-FR" w:eastAsia="en-GB"/>
        </w:rPr>
        <w:t>80</w:t>
      </w:r>
      <w:r w:rsidR="006D7A9B">
        <w:rPr>
          <w:lang w:val="fr-FR" w:eastAsia="en-GB"/>
        </w:rPr>
        <w:t>'</w:t>
      </w:r>
      <w:r w:rsidR="009A718E">
        <w:rPr>
          <w:lang w:val="fr-FR" w:eastAsia="en-GB"/>
        </w:rPr>
        <w:t>.</w:t>
      </w:r>
    </w:p>
    <w:p w:rsidR="00281908" w:rsidRDefault="00281908" w:rsidP="003E7562">
      <w:pPr>
        <w:pStyle w:val="SingleTxtG"/>
        <w:rPr>
          <w:lang w:val="fr-FR" w:eastAsia="en-GB"/>
        </w:rPr>
        <w:sectPr w:rsidR="00281908" w:rsidSect="004B1660">
          <w:headerReference w:type="even" r:id="rId49"/>
          <w:headerReference w:type="default" r:id="rId50"/>
          <w:footnotePr>
            <w:numRestart w:val="eachSect"/>
          </w:footnotePr>
          <w:endnotePr>
            <w:numFmt w:val="decimal"/>
          </w:endnotePr>
          <w:pgSz w:w="11907" w:h="16840" w:code="9"/>
          <w:pgMar w:top="1701" w:right="1134" w:bottom="2268" w:left="1134" w:header="794" w:footer="1701" w:gutter="0"/>
          <w:cols w:space="720"/>
          <w:docGrid w:linePitch="272"/>
        </w:sectPr>
      </w:pPr>
    </w:p>
    <w:p w:rsidR="0087218B" w:rsidRPr="0087218B" w:rsidRDefault="0087218B" w:rsidP="0087218B">
      <w:pPr>
        <w:pStyle w:val="HChG"/>
      </w:pPr>
      <w:bookmarkStart w:id="55" w:name="_Toc386120437"/>
      <w:r w:rsidRPr="008B062D">
        <w:rPr>
          <w:lang w:val="fr-FR"/>
        </w:rPr>
        <w:t>Annexe 7</w:t>
      </w:r>
      <w:bookmarkEnd w:id="55"/>
    </w:p>
    <w:p w:rsidR="0087218B" w:rsidRPr="008B062D" w:rsidRDefault="0087218B" w:rsidP="0087218B">
      <w:pPr>
        <w:pStyle w:val="HChG"/>
        <w:rPr>
          <w:lang w:val="fr-FR"/>
        </w:rPr>
      </w:pPr>
      <w:r>
        <w:rPr>
          <w:lang w:val="fr-FR"/>
        </w:rPr>
        <w:tab/>
      </w:r>
      <w:r>
        <w:rPr>
          <w:lang w:val="fr-FR"/>
        </w:rPr>
        <w:tab/>
      </w:r>
      <w:r w:rsidRPr="008B062D">
        <w:rPr>
          <w:lang w:val="fr-FR"/>
        </w:rPr>
        <w:t>Prescriptions mini</w:t>
      </w:r>
      <w:r>
        <w:rPr>
          <w:lang w:val="fr-FR"/>
        </w:rPr>
        <w:t>males concernant les procédures</w:t>
      </w:r>
      <w:r>
        <w:rPr>
          <w:lang w:val="fr-FR"/>
        </w:rPr>
        <w:br/>
      </w:r>
      <w:r w:rsidRPr="008B062D">
        <w:rPr>
          <w:lang w:val="fr-FR"/>
        </w:rPr>
        <w:t>de contrôle de la conformité de la production</w:t>
      </w:r>
    </w:p>
    <w:p w:rsidR="0087218B" w:rsidRPr="008B062D" w:rsidRDefault="0087218B" w:rsidP="0087218B">
      <w:pPr>
        <w:pStyle w:val="SingleTxtG"/>
        <w:keepNext/>
        <w:ind w:left="2268" w:hanging="1134"/>
        <w:jc w:val="left"/>
        <w:rPr>
          <w:lang w:val="fr-FR" w:eastAsia="en-GB"/>
        </w:rPr>
      </w:pPr>
      <w:r>
        <w:rPr>
          <w:lang w:val="fr-FR" w:eastAsia="en-GB"/>
        </w:rPr>
        <w:t>1.</w:t>
      </w:r>
      <w:r w:rsidRPr="008B062D">
        <w:rPr>
          <w:lang w:val="fr-FR" w:eastAsia="en-GB"/>
        </w:rPr>
        <w:tab/>
        <w:t>Généralités</w:t>
      </w:r>
    </w:p>
    <w:p w:rsidR="0087218B" w:rsidRPr="008B062D" w:rsidRDefault="0087218B" w:rsidP="00691AD6">
      <w:pPr>
        <w:pStyle w:val="SingleTxtG"/>
        <w:ind w:left="2268" w:hanging="1134"/>
        <w:rPr>
          <w:rFonts w:ascii="Courier New" w:eastAsia="Times New Roman" w:hAnsi="Courier New" w:cs="Courier New"/>
          <w:sz w:val="25"/>
          <w:szCs w:val="25"/>
          <w:lang w:val="fr-FR"/>
        </w:rPr>
      </w:pPr>
      <w:r w:rsidRPr="008B062D">
        <w:rPr>
          <w:lang w:val="fr-FR" w:eastAsia="en-GB"/>
        </w:rPr>
        <w:t>1.1</w:t>
      </w:r>
      <w:r w:rsidRPr="008B062D">
        <w:rPr>
          <w:lang w:val="fr-FR" w:eastAsia="en-GB"/>
        </w:rPr>
        <w:tab/>
      </w:r>
      <w:r w:rsidRPr="008B062D">
        <w:rPr>
          <w:rFonts w:eastAsia="Times New Roman"/>
          <w:lang w:val="fr-FR"/>
        </w:rPr>
        <w:t xml:space="preserve">Les prescriptions de conformité sont considérées comme satisfaites du </w:t>
      </w:r>
      <w:r w:rsidRPr="00944652">
        <w:rPr>
          <w:rFonts w:eastAsia="Times New Roman"/>
          <w:lang w:val="fr-FR"/>
        </w:rPr>
        <w:t>point de vue mécanique e</w:t>
      </w:r>
      <w:r w:rsidRPr="008B062D">
        <w:rPr>
          <w:rFonts w:eastAsia="Times New Roman"/>
          <w:lang w:val="fr-FR"/>
        </w:rPr>
        <w:t xml:space="preserve">t géométrique, conformément aux </w:t>
      </w:r>
      <w:r w:rsidRPr="00944652">
        <w:rPr>
          <w:rFonts w:eastAsia="Times New Roman"/>
          <w:lang w:val="fr-FR"/>
        </w:rPr>
        <w:t>prescriptions</w:t>
      </w:r>
      <w:r w:rsidRPr="008B062D">
        <w:rPr>
          <w:rFonts w:eastAsia="Times New Roman"/>
          <w:lang w:val="fr-FR"/>
        </w:rPr>
        <w:t xml:space="preserve"> </w:t>
      </w:r>
      <w:r w:rsidRPr="00944652">
        <w:rPr>
          <w:rFonts w:eastAsia="Times New Roman"/>
          <w:lang w:val="fr-FR"/>
        </w:rPr>
        <w:t>du présent Règlement, si les</w:t>
      </w:r>
      <w:r w:rsidRPr="008B062D">
        <w:rPr>
          <w:rFonts w:eastAsia="Times New Roman"/>
          <w:lang w:val="fr-FR"/>
        </w:rPr>
        <w:t xml:space="preserve"> différences n</w:t>
      </w:r>
      <w:r w:rsidR="00971BFE">
        <w:rPr>
          <w:rFonts w:eastAsia="Times New Roman"/>
          <w:lang w:val="fr-FR"/>
        </w:rPr>
        <w:t>’</w:t>
      </w:r>
      <w:r w:rsidRPr="008B062D">
        <w:rPr>
          <w:rFonts w:eastAsia="Times New Roman"/>
          <w:lang w:val="fr-FR"/>
        </w:rPr>
        <w:t xml:space="preserve">excèdent pas les </w:t>
      </w:r>
      <w:r w:rsidRPr="00944652">
        <w:rPr>
          <w:rFonts w:eastAsia="Times New Roman"/>
          <w:lang w:val="fr-FR"/>
        </w:rPr>
        <w:t>écarts de</w:t>
      </w:r>
      <w:r w:rsidRPr="008B062D">
        <w:rPr>
          <w:rFonts w:eastAsia="Times New Roman"/>
          <w:lang w:val="fr-FR"/>
        </w:rPr>
        <w:t xml:space="preserve"> </w:t>
      </w:r>
      <w:r w:rsidRPr="00944652">
        <w:rPr>
          <w:rFonts w:eastAsia="Times New Roman"/>
          <w:lang w:val="fr-FR"/>
        </w:rPr>
        <w:t>fabrication inévitables.</w:t>
      </w:r>
    </w:p>
    <w:p w:rsidR="0087218B" w:rsidRPr="008B062D" w:rsidRDefault="0087218B" w:rsidP="00691AD6">
      <w:pPr>
        <w:pStyle w:val="SingleTxtG"/>
        <w:ind w:left="2268" w:hanging="1134"/>
        <w:rPr>
          <w:rFonts w:ascii="Courier New" w:eastAsia="Times New Roman" w:hAnsi="Courier New" w:cs="Courier New"/>
          <w:sz w:val="25"/>
          <w:szCs w:val="25"/>
          <w:lang w:val="fr-FR"/>
        </w:rPr>
      </w:pPr>
      <w:r w:rsidRPr="008B062D">
        <w:rPr>
          <w:lang w:val="fr-FR" w:eastAsia="en-GB"/>
        </w:rPr>
        <w:t>1.2</w:t>
      </w:r>
      <w:r w:rsidRPr="008B062D">
        <w:rPr>
          <w:lang w:val="fr-FR" w:eastAsia="en-GB"/>
        </w:rPr>
        <w:tab/>
      </w:r>
      <w:r w:rsidRPr="008B062D">
        <w:rPr>
          <w:rFonts w:eastAsia="Times New Roman"/>
          <w:lang w:val="fr-FR"/>
        </w:rPr>
        <w:t xml:space="preserve">En ce qui concerne les caractéristiques photométriques, la conformité </w:t>
      </w:r>
      <w:r w:rsidRPr="00944652">
        <w:rPr>
          <w:rFonts w:eastAsia="Times New Roman"/>
          <w:lang w:val="fr-FR"/>
        </w:rPr>
        <w:t>des triangles de présignalisati</w:t>
      </w:r>
      <w:r w:rsidRPr="008B062D">
        <w:rPr>
          <w:rFonts w:eastAsia="Times New Roman"/>
          <w:lang w:val="fr-FR"/>
        </w:rPr>
        <w:t>on de série n</w:t>
      </w:r>
      <w:r w:rsidR="00971BFE">
        <w:rPr>
          <w:rFonts w:eastAsia="Times New Roman"/>
          <w:lang w:val="fr-FR"/>
        </w:rPr>
        <w:t>’</w:t>
      </w:r>
      <w:r w:rsidRPr="008B062D">
        <w:rPr>
          <w:rFonts w:eastAsia="Times New Roman"/>
          <w:lang w:val="fr-FR"/>
        </w:rPr>
        <w:t xml:space="preserve">est pas contestée </w:t>
      </w:r>
      <w:r w:rsidRPr="00944652">
        <w:rPr>
          <w:rFonts w:eastAsia="Times New Roman"/>
          <w:lang w:val="fr-FR"/>
        </w:rPr>
        <w:t>si,</w:t>
      </w:r>
      <w:r w:rsidRPr="008B062D">
        <w:rPr>
          <w:rFonts w:eastAsia="Times New Roman"/>
          <w:lang w:val="fr-FR"/>
        </w:rPr>
        <w:t xml:space="preserve"> </w:t>
      </w:r>
      <w:r w:rsidRPr="00944652">
        <w:rPr>
          <w:rFonts w:eastAsia="Times New Roman"/>
          <w:lang w:val="fr-FR"/>
        </w:rPr>
        <w:t>lors de l</w:t>
      </w:r>
      <w:r w:rsidR="00971BFE">
        <w:rPr>
          <w:rFonts w:eastAsia="Times New Roman"/>
          <w:lang w:val="fr-FR"/>
        </w:rPr>
        <w:t>’</w:t>
      </w:r>
      <w:r w:rsidRPr="00944652">
        <w:rPr>
          <w:rFonts w:eastAsia="Times New Roman"/>
          <w:lang w:val="fr-FR"/>
        </w:rPr>
        <w:t>essai des caractérist</w:t>
      </w:r>
      <w:r w:rsidRPr="008B062D">
        <w:rPr>
          <w:rFonts w:eastAsia="Times New Roman"/>
          <w:lang w:val="fr-FR"/>
        </w:rPr>
        <w:t>iques photométriques d</w:t>
      </w:r>
      <w:r w:rsidR="00971BFE">
        <w:rPr>
          <w:rFonts w:eastAsia="Times New Roman"/>
          <w:lang w:val="fr-FR"/>
        </w:rPr>
        <w:t>’</w:t>
      </w:r>
      <w:r w:rsidRPr="008B062D">
        <w:rPr>
          <w:rFonts w:eastAsia="Times New Roman"/>
          <w:lang w:val="fr-FR"/>
        </w:rPr>
        <w:t xml:space="preserve">un </w:t>
      </w:r>
      <w:r w:rsidRPr="00944652">
        <w:rPr>
          <w:rFonts w:eastAsia="Times New Roman"/>
          <w:lang w:val="fr-FR"/>
        </w:rPr>
        <w:t>triangle de</w:t>
      </w:r>
      <w:r w:rsidRPr="008B062D">
        <w:rPr>
          <w:rFonts w:eastAsia="Times New Roman"/>
          <w:lang w:val="fr-FR"/>
        </w:rPr>
        <w:t xml:space="preserve"> </w:t>
      </w:r>
      <w:r w:rsidRPr="00944652">
        <w:rPr>
          <w:rFonts w:eastAsia="Times New Roman"/>
          <w:lang w:val="fr-FR"/>
        </w:rPr>
        <w:t xml:space="preserve">présignalisation choisi au </w:t>
      </w:r>
      <w:r w:rsidRPr="008B062D">
        <w:rPr>
          <w:rFonts w:eastAsia="Times New Roman"/>
          <w:lang w:val="fr-FR"/>
        </w:rPr>
        <w:t xml:space="preserve">hasard aucune valeur mesurée ne </w:t>
      </w:r>
      <w:r w:rsidRPr="00944652">
        <w:rPr>
          <w:rFonts w:eastAsia="Times New Roman"/>
          <w:lang w:val="fr-FR"/>
        </w:rPr>
        <w:t>s</w:t>
      </w:r>
      <w:r w:rsidR="00971BFE">
        <w:rPr>
          <w:rFonts w:eastAsia="Times New Roman"/>
          <w:lang w:val="fr-FR"/>
        </w:rPr>
        <w:t>’</w:t>
      </w:r>
      <w:r w:rsidRPr="00944652">
        <w:rPr>
          <w:rFonts w:eastAsia="Times New Roman"/>
          <w:lang w:val="fr-FR"/>
        </w:rPr>
        <w:t>écarte,</w:t>
      </w:r>
      <w:r w:rsidRPr="008B062D">
        <w:rPr>
          <w:rFonts w:eastAsia="Times New Roman"/>
          <w:lang w:val="fr-FR"/>
        </w:rPr>
        <w:t xml:space="preserve"> </w:t>
      </w:r>
      <w:r w:rsidRPr="00944652">
        <w:rPr>
          <w:rFonts w:eastAsia="Times New Roman"/>
          <w:lang w:val="fr-FR"/>
        </w:rPr>
        <w:t>dans le sens défavorable, de plus de 20 % des valeurs minimales</w:t>
      </w:r>
      <w:r w:rsidRPr="008B062D">
        <w:rPr>
          <w:rFonts w:eastAsia="Times New Roman"/>
          <w:lang w:val="fr-FR"/>
        </w:rPr>
        <w:t xml:space="preserve"> </w:t>
      </w:r>
      <w:r w:rsidRPr="00944652">
        <w:rPr>
          <w:rFonts w:eastAsia="Times New Roman"/>
          <w:lang w:val="fr-FR"/>
        </w:rPr>
        <w:t>prescrites dans le présent Règlement.</w:t>
      </w:r>
      <w:r w:rsidRPr="00944652">
        <w:rPr>
          <w:rFonts w:ascii="Courier New" w:eastAsia="Times New Roman" w:hAnsi="Courier New" w:cs="Courier New"/>
          <w:sz w:val="25"/>
          <w:szCs w:val="25"/>
          <w:lang w:val="fr-FR"/>
        </w:rPr>
        <w:t xml:space="preserve"> </w:t>
      </w:r>
    </w:p>
    <w:p w:rsidR="0087218B" w:rsidRPr="008B062D" w:rsidRDefault="0087218B" w:rsidP="00691AD6">
      <w:pPr>
        <w:pStyle w:val="SingleTxtG"/>
        <w:ind w:left="2268" w:hanging="1134"/>
        <w:rPr>
          <w:lang w:val="fr-FR" w:eastAsia="en-GB"/>
        </w:rPr>
      </w:pPr>
      <w:r w:rsidRPr="008B062D">
        <w:rPr>
          <w:lang w:val="fr-FR" w:eastAsia="en-GB"/>
        </w:rPr>
        <w:t xml:space="preserve">1.3 </w:t>
      </w:r>
      <w:r w:rsidRPr="008B062D">
        <w:rPr>
          <w:lang w:val="fr-FR" w:eastAsia="en-GB"/>
        </w:rPr>
        <w:tab/>
        <w:t>Les coordonnées chromatiques doivent être satisfaites.</w:t>
      </w:r>
    </w:p>
    <w:p w:rsidR="0087218B" w:rsidRPr="008B062D" w:rsidRDefault="0087218B" w:rsidP="00466E68">
      <w:pPr>
        <w:pStyle w:val="SingleTxtG"/>
        <w:keepNext/>
        <w:ind w:left="2268" w:hanging="1134"/>
        <w:jc w:val="left"/>
        <w:rPr>
          <w:lang w:val="fr-FR" w:eastAsia="en-GB"/>
        </w:rPr>
      </w:pPr>
      <w:r w:rsidRPr="008B062D">
        <w:rPr>
          <w:lang w:val="fr-FR" w:eastAsia="en-GB"/>
        </w:rPr>
        <w:t xml:space="preserve">2. </w:t>
      </w:r>
      <w:r w:rsidRPr="008B062D">
        <w:rPr>
          <w:lang w:val="fr-FR" w:eastAsia="en-GB"/>
        </w:rPr>
        <w:tab/>
        <w:t>Exigences minimales pour la vérification de la conformité par le fabricant</w:t>
      </w:r>
    </w:p>
    <w:p w:rsidR="0087218B" w:rsidRPr="008B062D" w:rsidRDefault="0087218B" w:rsidP="00722034">
      <w:pPr>
        <w:pStyle w:val="SingleTxtG"/>
        <w:ind w:left="2268"/>
        <w:rPr>
          <w:rFonts w:ascii="Courier New" w:eastAsia="Times New Roman" w:hAnsi="Courier New" w:cs="Courier New"/>
          <w:sz w:val="25"/>
          <w:szCs w:val="25"/>
          <w:lang w:val="fr-FR"/>
        </w:rPr>
      </w:pPr>
      <w:r w:rsidRPr="008B062D">
        <w:rPr>
          <w:lang w:val="fr-FR" w:eastAsia="en-GB"/>
        </w:rPr>
        <w:tab/>
      </w:r>
      <w:r w:rsidRPr="008B062D">
        <w:rPr>
          <w:rFonts w:eastAsia="Times New Roman"/>
          <w:lang w:val="fr-FR"/>
        </w:rPr>
        <w:t xml:space="preserve">Pour chaque type de triangle de présignalisation, le détenteur de </w:t>
      </w:r>
      <w:r w:rsidRPr="001431CC">
        <w:rPr>
          <w:rFonts w:eastAsia="Times New Roman"/>
          <w:lang w:val="fr-FR"/>
        </w:rPr>
        <w:t>l</w:t>
      </w:r>
      <w:r w:rsidR="00971BFE">
        <w:rPr>
          <w:rFonts w:eastAsia="Times New Roman"/>
          <w:lang w:val="fr-FR"/>
        </w:rPr>
        <w:t>’</w:t>
      </w:r>
      <w:r w:rsidRPr="001431CC">
        <w:rPr>
          <w:rFonts w:eastAsia="Times New Roman"/>
          <w:lang w:val="fr-FR"/>
        </w:rPr>
        <w:t xml:space="preserve">homologation est tenu </w:t>
      </w:r>
      <w:r w:rsidRPr="008B062D">
        <w:rPr>
          <w:rFonts w:eastAsia="Times New Roman"/>
          <w:lang w:val="fr-FR"/>
        </w:rPr>
        <w:t>d</w:t>
      </w:r>
      <w:r w:rsidR="00971BFE">
        <w:rPr>
          <w:rFonts w:eastAsia="Times New Roman"/>
          <w:lang w:val="fr-FR"/>
        </w:rPr>
        <w:t>’</w:t>
      </w:r>
      <w:r w:rsidRPr="008B062D">
        <w:rPr>
          <w:rFonts w:eastAsia="Times New Roman"/>
          <w:lang w:val="fr-FR"/>
        </w:rPr>
        <w:t xml:space="preserve">effectuer au moins les essais </w:t>
      </w:r>
      <w:r w:rsidRPr="001431CC">
        <w:rPr>
          <w:rFonts w:eastAsia="Times New Roman"/>
          <w:lang w:val="fr-FR"/>
        </w:rPr>
        <w:t>suivants, à</w:t>
      </w:r>
      <w:r w:rsidRPr="008B062D">
        <w:rPr>
          <w:rFonts w:eastAsia="Times New Roman"/>
          <w:lang w:val="fr-FR"/>
        </w:rPr>
        <w:t xml:space="preserve"> </w:t>
      </w:r>
      <w:r w:rsidRPr="001431CC">
        <w:rPr>
          <w:rFonts w:eastAsia="Times New Roman"/>
          <w:lang w:val="fr-FR"/>
        </w:rPr>
        <w:t>une fréquence appropriée.</w:t>
      </w:r>
      <w:r w:rsidRPr="008B062D">
        <w:rPr>
          <w:rFonts w:eastAsia="Times New Roman"/>
          <w:lang w:val="fr-FR"/>
        </w:rPr>
        <w:t xml:space="preserve"> </w:t>
      </w:r>
      <w:r w:rsidRPr="001431CC">
        <w:rPr>
          <w:rFonts w:eastAsia="Times New Roman"/>
          <w:lang w:val="fr-FR"/>
        </w:rPr>
        <w:t>Ces</w:t>
      </w:r>
      <w:r w:rsidRPr="008B062D">
        <w:rPr>
          <w:rFonts w:eastAsia="Times New Roman"/>
          <w:lang w:val="fr-FR"/>
        </w:rPr>
        <w:t xml:space="preserve"> </w:t>
      </w:r>
      <w:r w:rsidRPr="001431CC">
        <w:rPr>
          <w:rFonts w:eastAsia="Times New Roman"/>
          <w:lang w:val="fr-FR"/>
        </w:rPr>
        <w:t>essais sont effectués conformément aux</w:t>
      </w:r>
      <w:r w:rsidRPr="008B062D">
        <w:rPr>
          <w:rFonts w:eastAsia="Times New Roman"/>
          <w:lang w:val="fr-FR"/>
        </w:rPr>
        <w:t xml:space="preserve"> </w:t>
      </w:r>
      <w:r w:rsidRPr="001431CC">
        <w:rPr>
          <w:rFonts w:eastAsia="Times New Roman"/>
          <w:lang w:val="fr-FR"/>
        </w:rPr>
        <w:t>spécifications du présent Règlement.</w:t>
      </w:r>
      <w:r w:rsidRPr="008B062D">
        <w:rPr>
          <w:rFonts w:eastAsia="Times New Roman"/>
          <w:lang w:val="fr-FR"/>
        </w:rPr>
        <w:t xml:space="preserve"> Tout prélèvement d</w:t>
      </w:r>
      <w:r w:rsidR="00971BFE">
        <w:rPr>
          <w:rFonts w:eastAsia="Times New Roman"/>
          <w:lang w:val="fr-FR"/>
        </w:rPr>
        <w:t>’</w:t>
      </w:r>
      <w:r w:rsidRPr="008B062D">
        <w:rPr>
          <w:rFonts w:eastAsia="Times New Roman"/>
          <w:lang w:val="fr-FR"/>
        </w:rPr>
        <w:t xml:space="preserve">échantillons mettant en évidence la non-conformité </w:t>
      </w:r>
      <w:r w:rsidRPr="001431CC">
        <w:rPr>
          <w:rFonts w:eastAsia="Times New Roman"/>
          <w:lang w:val="fr-FR"/>
        </w:rPr>
        <w:t>pour le type d</w:t>
      </w:r>
      <w:r w:rsidR="00971BFE">
        <w:rPr>
          <w:rFonts w:eastAsia="Times New Roman"/>
          <w:lang w:val="fr-FR"/>
        </w:rPr>
        <w:t>’</w:t>
      </w:r>
      <w:r w:rsidRPr="001431CC">
        <w:rPr>
          <w:rFonts w:eastAsia="Times New Roman"/>
          <w:lang w:val="fr-FR"/>
        </w:rPr>
        <w:t>essai cons</w:t>
      </w:r>
      <w:r w:rsidRPr="008B062D">
        <w:rPr>
          <w:rFonts w:eastAsia="Times New Roman"/>
          <w:lang w:val="fr-FR"/>
        </w:rPr>
        <w:t xml:space="preserve">idéré donnera lieu à un nouveau </w:t>
      </w:r>
      <w:r w:rsidRPr="001431CC">
        <w:rPr>
          <w:rFonts w:eastAsia="Times New Roman"/>
          <w:lang w:val="fr-FR"/>
        </w:rPr>
        <w:t>prélèvement</w:t>
      </w:r>
      <w:r w:rsidRPr="008B062D">
        <w:rPr>
          <w:rFonts w:eastAsia="Times New Roman"/>
          <w:lang w:val="fr-FR"/>
        </w:rPr>
        <w:t xml:space="preserve"> </w:t>
      </w:r>
      <w:r w:rsidRPr="001431CC">
        <w:rPr>
          <w:rFonts w:eastAsia="Times New Roman"/>
          <w:lang w:val="fr-FR"/>
        </w:rPr>
        <w:t>et à un nouvel essai.</w:t>
      </w:r>
      <w:r w:rsidRPr="008B062D">
        <w:rPr>
          <w:rFonts w:eastAsia="Times New Roman"/>
          <w:lang w:val="fr-FR"/>
        </w:rPr>
        <w:t xml:space="preserve"> </w:t>
      </w:r>
      <w:r w:rsidRPr="001431CC">
        <w:rPr>
          <w:rFonts w:eastAsia="Times New Roman"/>
          <w:lang w:val="fr-FR"/>
        </w:rPr>
        <w:t>Le</w:t>
      </w:r>
      <w:r w:rsidRPr="008B062D">
        <w:rPr>
          <w:rFonts w:eastAsia="Times New Roman"/>
          <w:lang w:val="fr-FR"/>
        </w:rPr>
        <w:t xml:space="preserve"> </w:t>
      </w:r>
      <w:r w:rsidRPr="001431CC">
        <w:rPr>
          <w:rFonts w:eastAsia="Times New Roman"/>
          <w:lang w:val="fr-FR"/>
        </w:rPr>
        <w:t>fabricant prendra toute disposition pour</w:t>
      </w:r>
      <w:r w:rsidRPr="008B062D">
        <w:rPr>
          <w:rFonts w:eastAsia="Times New Roman"/>
          <w:lang w:val="fr-FR"/>
        </w:rPr>
        <w:t xml:space="preserve"> </w:t>
      </w:r>
      <w:r w:rsidRPr="001431CC">
        <w:rPr>
          <w:rFonts w:eastAsia="Times New Roman"/>
          <w:lang w:val="fr-FR"/>
        </w:rPr>
        <w:t>assurer la conformité de la production</w:t>
      </w:r>
      <w:r w:rsidRPr="008B062D">
        <w:rPr>
          <w:rFonts w:eastAsia="Times New Roman"/>
          <w:lang w:val="fr-FR"/>
        </w:rPr>
        <w:t xml:space="preserve"> correspondante.</w:t>
      </w:r>
    </w:p>
    <w:p w:rsidR="0087218B" w:rsidRPr="008B062D" w:rsidRDefault="0087218B" w:rsidP="00466E68">
      <w:pPr>
        <w:pStyle w:val="SingleTxtG"/>
        <w:keepNext/>
        <w:ind w:left="2268" w:hanging="1134"/>
        <w:jc w:val="left"/>
        <w:rPr>
          <w:lang w:val="fr-FR" w:eastAsia="en-GB"/>
        </w:rPr>
      </w:pPr>
      <w:r w:rsidRPr="008B062D">
        <w:rPr>
          <w:lang w:val="fr-FR" w:eastAsia="en-GB"/>
        </w:rPr>
        <w:t>2.1</w:t>
      </w:r>
      <w:r w:rsidRPr="008B062D">
        <w:rPr>
          <w:lang w:val="fr-FR" w:eastAsia="en-GB"/>
        </w:rPr>
        <w:tab/>
        <w:t>Nature des essais</w:t>
      </w:r>
    </w:p>
    <w:p w:rsidR="0087218B" w:rsidRPr="008B062D" w:rsidRDefault="0087218B" w:rsidP="00466E68">
      <w:pPr>
        <w:pStyle w:val="SingleTxtG"/>
        <w:ind w:left="2268"/>
        <w:rPr>
          <w:rFonts w:ascii="Courier New" w:eastAsia="Times New Roman" w:hAnsi="Courier New" w:cs="Courier New"/>
          <w:sz w:val="25"/>
          <w:szCs w:val="25"/>
          <w:lang w:val="fr-FR"/>
        </w:rPr>
      </w:pPr>
      <w:r w:rsidRPr="008B062D">
        <w:rPr>
          <w:lang w:val="fr-FR" w:eastAsia="en-GB"/>
        </w:rPr>
        <w:tab/>
      </w:r>
      <w:r w:rsidRPr="008B062D">
        <w:rPr>
          <w:rFonts w:eastAsia="Times New Roman"/>
          <w:lang w:val="fr-FR"/>
        </w:rPr>
        <w:t>Les</w:t>
      </w:r>
      <w:r w:rsidRPr="008B062D">
        <w:rPr>
          <w:rFonts w:ascii="Courier New" w:eastAsia="Times New Roman" w:hAnsi="Courier New" w:cs="Courier New"/>
          <w:sz w:val="25"/>
          <w:szCs w:val="25"/>
          <w:lang w:val="fr-FR"/>
        </w:rPr>
        <w:t xml:space="preserve"> </w:t>
      </w:r>
      <w:r w:rsidRPr="008B062D">
        <w:rPr>
          <w:rFonts w:eastAsia="Times New Roman"/>
          <w:lang w:val="fr-FR"/>
        </w:rPr>
        <w:t xml:space="preserve">essais de conformité du présent Règlement portent sur </w:t>
      </w:r>
      <w:r w:rsidRPr="001431CC">
        <w:rPr>
          <w:rFonts w:eastAsia="Times New Roman"/>
          <w:lang w:val="fr-FR"/>
        </w:rPr>
        <w:t>les caractéristiques photométriques et les caractéristiques</w:t>
      </w:r>
      <w:r w:rsidRPr="008B062D">
        <w:rPr>
          <w:rFonts w:eastAsia="Times New Roman"/>
          <w:lang w:val="fr-FR"/>
        </w:rPr>
        <w:t xml:space="preserve"> </w:t>
      </w:r>
      <w:r w:rsidRPr="001431CC">
        <w:rPr>
          <w:rFonts w:eastAsia="Times New Roman"/>
          <w:lang w:val="fr-FR"/>
        </w:rPr>
        <w:t>colorimétriques, l</w:t>
      </w:r>
      <w:r w:rsidR="00971BFE">
        <w:rPr>
          <w:rFonts w:eastAsia="Times New Roman"/>
          <w:lang w:val="fr-FR"/>
        </w:rPr>
        <w:t>’</w:t>
      </w:r>
      <w:r w:rsidRPr="001431CC">
        <w:rPr>
          <w:rFonts w:eastAsia="Times New Roman"/>
          <w:lang w:val="fr-FR"/>
        </w:rPr>
        <w:t>essai de rés</w:t>
      </w:r>
      <w:r w:rsidRPr="008B062D">
        <w:rPr>
          <w:rFonts w:eastAsia="Times New Roman"/>
          <w:lang w:val="fr-FR"/>
        </w:rPr>
        <w:t xml:space="preserve">istance de ces caractéristiques </w:t>
      </w:r>
      <w:r w:rsidRPr="001431CC">
        <w:rPr>
          <w:rFonts w:eastAsia="Times New Roman"/>
          <w:lang w:val="fr-FR"/>
        </w:rPr>
        <w:t>aux</w:t>
      </w:r>
      <w:r w:rsidRPr="008B062D">
        <w:rPr>
          <w:rFonts w:eastAsia="Times New Roman"/>
          <w:lang w:val="fr-FR"/>
        </w:rPr>
        <w:t xml:space="preserve"> </w:t>
      </w:r>
      <w:r w:rsidRPr="001431CC">
        <w:rPr>
          <w:rFonts w:eastAsia="Times New Roman"/>
          <w:lang w:val="fr-FR"/>
        </w:rPr>
        <w:t>agents atmosphériques et l</w:t>
      </w:r>
      <w:r w:rsidR="00971BFE">
        <w:rPr>
          <w:rFonts w:eastAsia="Times New Roman"/>
          <w:lang w:val="fr-FR"/>
        </w:rPr>
        <w:t>’</w:t>
      </w:r>
      <w:r w:rsidRPr="001431CC">
        <w:rPr>
          <w:rFonts w:eastAsia="Times New Roman"/>
          <w:lang w:val="fr-FR"/>
        </w:rPr>
        <w:t xml:space="preserve">essai </w:t>
      </w:r>
      <w:r w:rsidRPr="008B062D">
        <w:rPr>
          <w:rFonts w:eastAsia="Times New Roman"/>
          <w:lang w:val="fr-FR"/>
        </w:rPr>
        <w:t>de résistance à la pénétration d</w:t>
      </w:r>
      <w:r w:rsidRPr="001431CC">
        <w:rPr>
          <w:rFonts w:eastAsia="Times New Roman"/>
          <w:lang w:val="fr-FR"/>
        </w:rPr>
        <w:t>e</w:t>
      </w:r>
      <w:r w:rsidRPr="008B062D">
        <w:rPr>
          <w:rFonts w:eastAsia="Times New Roman"/>
          <w:lang w:val="fr-FR"/>
        </w:rPr>
        <w:t xml:space="preserve"> </w:t>
      </w:r>
      <w:r w:rsidRPr="001431CC">
        <w:rPr>
          <w:rFonts w:eastAsia="Times New Roman"/>
          <w:lang w:val="fr-FR"/>
        </w:rPr>
        <w:t>l</w:t>
      </w:r>
      <w:r w:rsidR="00971BFE">
        <w:rPr>
          <w:rFonts w:eastAsia="Times New Roman"/>
          <w:lang w:val="fr-FR"/>
        </w:rPr>
        <w:t>’</w:t>
      </w:r>
      <w:r w:rsidRPr="001431CC">
        <w:rPr>
          <w:rFonts w:eastAsia="Times New Roman"/>
          <w:lang w:val="fr-FR"/>
        </w:rPr>
        <w:t>eau.</w:t>
      </w:r>
    </w:p>
    <w:p w:rsidR="0087218B" w:rsidRPr="008B062D" w:rsidRDefault="0087218B" w:rsidP="00466E68">
      <w:pPr>
        <w:pStyle w:val="SingleTxtG"/>
        <w:keepNext/>
        <w:ind w:left="2268" w:hanging="1134"/>
        <w:jc w:val="left"/>
        <w:rPr>
          <w:lang w:val="fr-FR" w:eastAsia="en-GB"/>
        </w:rPr>
      </w:pPr>
      <w:r w:rsidRPr="008B062D">
        <w:rPr>
          <w:lang w:val="fr-FR" w:eastAsia="en-GB"/>
        </w:rPr>
        <w:t xml:space="preserve">2.2 </w:t>
      </w:r>
      <w:r w:rsidRPr="008B062D">
        <w:rPr>
          <w:lang w:val="fr-FR" w:eastAsia="en-GB"/>
        </w:rPr>
        <w:tab/>
        <w:t>Modalités des essais</w:t>
      </w:r>
    </w:p>
    <w:p w:rsidR="0087218B" w:rsidRPr="008B062D" w:rsidRDefault="0087218B" w:rsidP="00691AD6">
      <w:pPr>
        <w:pStyle w:val="SingleTxtG"/>
        <w:ind w:left="2268" w:hanging="1134"/>
        <w:rPr>
          <w:lang w:val="fr-FR" w:eastAsia="en-GB"/>
        </w:rPr>
      </w:pPr>
      <w:r w:rsidRPr="008B062D">
        <w:rPr>
          <w:lang w:val="fr-FR" w:eastAsia="en-GB"/>
        </w:rPr>
        <w:t xml:space="preserve">2.2.1 </w:t>
      </w:r>
      <w:r w:rsidRPr="008B062D">
        <w:rPr>
          <w:lang w:val="fr-FR" w:eastAsia="en-GB"/>
        </w:rPr>
        <w:tab/>
        <w:t>Les essais sont généralement effectués conformément aux méthodes définies dans le présent Règlement.</w:t>
      </w:r>
    </w:p>
    <w:p w:rsidR="0087218B" w:rsidRPr="008B062D" w:rsidRDefault="0087218B" w:rsidP="00691AD6">
      <w:pPr>
        <w:pStyle w:val="SingleTxtG"/>
        <w:ind w:left="2268" w:hanging="1134"/>
        <w:rPr>
          <w:rFonts w:ascii="Courier New" w:eastAsia="Times New Roman" w:hAnsi="Courier New" w:cs="Courier New"/>
          <w:sz w:val="25"/>
          <w:szCs w:val="25"/>
          <w:lang w:val="fr-FR"/>
        </w:rPr>
      </w:pPr>
      <w:r w:rsidRPr="008B062D">
        <w:rPr>
          <w:lang w:val="fr-FR" w:eastAsia="en-GB"/>
        </w:rPr>
        <w:t>2.2.2</w:t>
      </w:r>
      <w:r w:rsidRPr="008B062D">
        <w:rPr>
          <w:lang w:val="fr-FR" w:eastAsia="en-GB"/>
        </w:rPr>
        <w:tab/>
      </w:r>
      <w:r w:rsidRPr="008B062D">
        <w:rPr>
          <w:rFonts w:eastAsia="Times New Roman"/>
          <w:lang w:val="fr-FR"/>
        </w:rPr>
        <w:t xml:space="preserve">Pour tout essai de conformité effectué par ses soins, le fabricant </w:t>
      </w:r>
      <w:r w:rsidRPr="00E37FCB">
        <w:rPr>
          <w:rFonts w:eastAsia="Times New Roman"/>
          <w:lang w:val="fr-FR"/>
        </w:rPr>
        <w:t>pourra cependant utiliser des méthodes é</w:t>
      </w:r>
      <w:r w:rsidRPr="008B062D">
        <w:rPr>
          <w:rFonts w:eastAsia="Times New Roman"/>
          <w:lang w:val="fr-FR"/>
        </w:rPr>
        <w:t xml:space="preserve">quivalentes après </w:t>
      </w:r>
      <w:r w:rsidRPr="00E37FCB">
        <w:rPr>
          <w:rFonts w:eastAsia="Times New Roman"/>
          <w:lang w:val="fr-FR"/>
        </w:rPr>
        <w:t>approbation</w:t>
      </w:r>
      <w:r w:rsidRPr="008B062D">
        <w:rPr>
          <w:rFonts w:eastAsia="Times New Roman"/>
          <w:lang w:val="fr-FR"/>
        </w:rPr>
        <w:t xml:space="preserve"> </w:t>
      </w:r>
      <w:r w:rsidRPr="00E37FCB">
        <w:rPr>
          <w:rFonts w:eastAsia="Times New Roman"/>
          <w:lang w:val="fr-FR"/>
        </w:rPr>
        <w:t>de l</w:t>
      </w:r>
      <w:r w:rsidR="00971BFE">
        <w:rPr>
          <w:rFonts w:eastAsia="Times New Roman"/>
          <w:lang w:val="fr-FR"/>
        </w:rPr>
        <w:t>’</w:t>
      </w:r>
      <w:r w:rsidRPr="00E37FCB">
        <w:rPr>
          <w:rFonts w:eastAsia="Times New Roman"/>
          <w:lang w:val="fr-FR"/>
        </w:rPr>
        <w:t>autorité compétente chargée des essais d</w:t>
      </w:r>
      <w:r w:rsidR="00971BFE">
        <w:rPr>
          <w:rFonts w:eastAsia="Times New Roman"/>
          <w:lang w:val="fr-FR"/>
        </w:rPr>
        <w:t>’</w:t>
      </w:r>
      <w:r w:rsidRPr="00E37FCB">
        <w:rPr>
          <w:rFonts w:eastAsia="Times New Roman"/>
          <w:lang w:val="fr-FR"/>
        </w:rPr>
        <w:t>homologation.</w:t>
      </w:r>
      <w:r w:rsidRPr="008B062D">
        <w:rPr>
          <w:rFonts w:eastAsia="Times New Roman"/>
          <w:lang w:val="fr-FR"/>
        </w:rPr>
        <w:t xml:space="preserve"> </w:t>
      </w:r>
      <w:r w:rsidRPr="00E37FCB">
        <w:rPr>
          <w:rFonts w:eastAsia="Times New Roman"/>
          <w:lang w:val="fr-FR"/>
        </w:rPr>
        <w:t>Le</w:t>
      </w:r>
      <w:r w:rsidRPr="008B062D">
        <w:rPr>
          <w:rFonts w:eastAsia="Times New Roman"/>
          <w:lang w:val="fr-FR"/>
        </w:rPr>
        <w:t xml:space="preserve"> </w:t>
      </w:r>
      <w:r w:rsidRPr="00E37FCB">
        <w:rPr>
          <w:rFonts w:eastAsia="Times New Roman"/>
          <w:lang w:val="fr-FR"/>
        </w:rPr>
        <w:t>fabricant est tenu de justifier que les méthodes utilisées sont</w:t>
      </w:r>
      <w:r w:rsidRPr="008B062D">
        <w:rPr>
          <w:rFonts w:eastAsia="Times New Roman"/>
          <w:lang w:val="fr-FR"/>
        </w:rPr>
        <w:t xml:space="preserve"> </w:t>
      </w:r>
      <w:r w:rsidRPr="00E37FCB">
        <w:rPr>
          <w:rFonts w:eastAsia="Times New Roman"/>
          <w:lang w:val="fr-FR"/>
        </w:rPr>
        <w:t>équivalentes à celles qu</w:t>
      </w:r>
      <w:r w:rsidR="00971BFE">
        <w:rPr>
          <w:rFonts w:eastAsia="Times New Roman"/>
          <w:lang w:val="fr-FR"/>
        </w:rPr>
        <w:t>’</w:t>
      </w:r>
      <w:r w:rsidRPr="00E37FCB">
        <w:rPr>
          <w:rFonts w:eastAsia="Times New Roman"/>
          <w:lang w:val="fr-FR"/>
        </w:rPr>
        <w:t>indique le présent Règlement.</w:t>
      </w:r>
    </w:p>
    <w:p w:rsidR="0087218B" w:rsidRPr="008B062D" w:rsidRDefault="0087218B" w:rsidP="00691AD6">
      <w:pPr>
        <w:pStyle w:val="SingleTxtG"/>
        <w:ind w:left="2268" w:hanging="1134"/>
        <w:rPr>
          <w:rFonts w:ascii="Courier New" w:eastAsia="Times New Roman" w:hAnsi="Courier New" w:cs="Courier New"/>
          <w:sz w:val="25"/>
          <w:szCs w:val="25"/>
          <w:lang w:val="fr-FR"/>
        </w:rPr>
      </w:pPr>
      <w:r w:rsidRPr="008B062D">
        <w:rPr>
          <w:lang w:val="fr-FR" w:eastAsia="en-GB"/>
        </w:rPr>
        <w:t>2.2.3</w:t>
      </w:r>
      <w:r w:rsidRPr="008B062D">
        <w:rPr>
          <w:lang w:val="fr-FR" w:eastAsia="en-GB"/>
        </w:rPr>
        <w:tab/>
      </w:r>
      <w:r w:rsidRPr="008B062D">
        <w:rPr>
          <w:rFonts w:eastAsia="Times New Roman"/>
          <w:lang w:val="fr-FR"/>
        </w:rPr>
        <w:t>L</w:t>
      </w:r>
      <w:r w:rsidR="00971BFE">
        <w:rPr>
          <w:rFonts w:eastAsia="Times New Roman"/>
          <w:lang w:val="fr-FR"/>
        </w:rPr>
        <w:t>’</w:t>
      </w:r>
      <w:r w:rsidRPr="008B062D">
        <w:rPr>
          <w:rFonts w:eastAsia="Times New Roman"/>
          <w:lang w:val="fr-FR"/>
        </w:rPr>
        <w:t xml:space="preserve">application des points 2.2.1 et 2.2.2 ci-dessus donne lieu à un étalonnage </w:t>
      </w:r>
      <w:r w:rsidRPr="00E37FCB">
        <w:rPr>
          <w:rFonts w:eastAsia="Times New Roman"/>
          <w:lang w:val="fr-FR"/>
        </w:rPr>
        <w:t>régulier des matériels d</w:t>
      </w:r>
      <w:r w:rsidR="00971BFE">
        <w:rPr>
          <w:rFonts w:eastAsia="Times New Roman"/>
          <w:lang w:val="fr-FR"/>
        </w:rPr>
        <w:t>’</w:t>
      </w:r>
      <w:r w:rsidRPr="00E37FCB">
        <w:rPr>
          <w:rFonts w:eastAsia="Times New Roman"/>
          <w:lang w:val="fr-FR"/>
        </w:rPr>
        <w:t>essai</w:t>
      </w:r>
      <w:r w:rsidRPr="008B062D">
        <w:rPr>
          <w:rFonts w:eastAsia="Times New Roman"/>
          <w:lang w:val="fr-FR"/>
        </w:rPr>
        <w:t xml:space="preserve">s et à une corrélation avec les </w:t>
      </w:r>
      <w:r w:rsidRPr="00E37FCB">
        <w:rPr>
          <w:rFonts w:eastAsia="Times New Roman"/>
          <w:lang w:val="fr-FR"/>
        </w:rPr>
        <w:t>mesures</w:t>
      </w:r>
      <w:r w:rsidRPr="008B062D">
        <w:rPr>
          <w:rFonts w:eastAsia="Times New Roman"/>
          <w:lang w:val="fr-FR"/>
        </w:rPr>
        <w:t xml:space="preserve"> </w:t>
      </w:r>
      <w:r w:rsidRPr="00E37FCB">
        <w:rPr>
          <w:rFonts w:eastAsia="Times New Roman"/>
          <w:lang w:val="fr-FR"/>
        </w:rPr>
        <w:t>effectuées par une autorité compétente.</w:t>
      </w:r>
    </w:p>
    <w:p w:rsidR="0087218B" w:rsidRPr="008B062D" w:rsidRDefault="0087218B" w:rsidP="00691AD6">
      <w:pPr>
        <w:pStyle w:val="SingleTxtG"/>
        <w:ind w:left="2268" w:hanging="1134"/>
        <w:rPr>
          <w:lang w:val="fr-FR" w:eastAsia="en-GB"/>
        </w:rPr>
      </w:pPr>
      <w:r w:rsidRPr="008B062D">
        <w:rPr>
          <w:lang w:val="fr-FR" w:eastAsia="en-GB"/>
        </w:rPr>
        <w:t xml:space="preserve">2.2.4 </w:t>
      </w:r>
      <w:r w:rsidRPr="008B062D">
        <w:rPr>
          <w:lang w:val="fr-FR" w:eastAsia="en-GB"/>
        </w:rPr>
        <w:tab/>
        <w:t>Dans tous les cas, les méthodes de référence sont celles du présent Règlement, en particulier pour les contrôles et prélèvements administratifs.</w:t>
      </w:r>
    </w:p>
    <w:p w:rsidR="0087218B" w:rsidRPr="008B062D" w:rsidRDefault="0087218B" w:rsidP="00466E68">
      <w:pPr>
        <w:pStyle w:val="SingleTxtG"/>
        <w:keepNext/>
        <w:ind w:left="2268" w:hanging="1134"/>
        <w:jc w:val="left"/>
        <w:rPr>
          <w:lang w:val="fr-FR" w:eastAsia="en-GB"/>
        </w:rPr>
      </w:pPr>
      <w:r w:rsidRPr="008B062D">
        <w:rPr>
          <w:lang w:val="fr-FR" w:eastAsia="en-GB"/>
        </w:rPr>
        <w:t>2.3</w:t>
      </w:r>
      <w:r w:rsidRPr="008B062D">
        <w:rPr>
          <w:lang w:val="fr-FR" w:eastAsia="en-GB"/>
        </w:rPr>
        <w:tab/>
        <w:t>Nature du prélèvement</w:t>
      </w:r>
    </w:p>
    <w:p w:rsidR="0087218B" w:rsidRPr="00722034" w:rsidRDefault="0087218B" w:rsidP="00466E68">
      <w:pPr>
        <w:pStyle w:val="SingleTxtG"/>
        <w:ind w:left="2268"/>
      </w:pPr>
      <w:r w:rsidRPr="008B062D">
        <w:rPr>
          <w:lang w:val="fr-FR" w:eastAsia="en-GB"/>
        </w:rPr>
        <w:tab/>
      </w:r>
      <w:r w:rsidRPr="008B062D">
        <w:rPr>
          <w:rFonts w:eastAsia="Times New Roman"/>
          <w:lang w:val="fr-FR"/>
        </w:rPr>
        <w:t xml:space="preserve">Les échantillons de triangles de présignalisation doivent être </w:t>
      </w:r>
      <w:r w:rsidRPr="00130327">
        <w:rPr>
          <w:rFonts w:eastAsia="Times New Roman"/>
          <w:lang w:val="fr-FR"/>
        </w:rPr>
        <w:t>prélevés au hasard, dans un lot homogène.</w:t>
      </w:r>
      <w:r w:rsidRPr="008B062D">
        <w:rPr>
          <w:rFonts w:eastAsia="Times New Roman"/>
          <w:lang w:val="fr-FR"/>
        </w:rPr>
        <w:t xml:space="preserve"> </w:t>
      </w:r>
      <w:r w:rsidRPr="00130327">
        <w:rPr>
          <w:rFonts w:eastAsia="Times New Roman"/>
          <w:lang w:val="fr-FR"/>
        </w:rPr>
        <w:t>On</w:t>
      </w:r>
      <w:r w:rsidRPr="008B062D">
        <w:rPr>
          <w:rFonts w:eastAsia="Times New Roman"/>
          <w:lang w:val="fr-FR"/>
        </w:rPr>
        <w:t xml:space="preserve"> </w:t>
      </w:r>
      <w:r w:rsidRPr="00130327">
        <w:rPr>
          <w:rFonts w:eastAsia="Times New Roman"/>
          <w:lang w:val="fr-FR"/>
        </w:rPr>
        <w:t>entend par lot homogène</w:t>
      </w:r>
      <w:r w:rsidRPr="008B062D">
        <w:rPr>
          <w:rFonts w:eastAsia="Times New Roman"/>
          <w:lang w:val="fr-FR"/>
        </w:rPr>
        <w:t xml:space="preserve"> </w:t>
      </w:r>
      <w:r w:rsidRPr="00130327">
        <w:rPr>
          <w:rFonts w:eastAsia="Times New Roman"/>
          <w:lang w:val="fr-FR"/>
        </w:rPr>
        <w:t>un ensemble de triangles de</w:t>
      </w:r>
      <w:r w:rsidRPr="008B062D">
        <w:rPr>
          <w:rFonts w:eastAsia="Times New Roman"/>
          <w:lang w:val="fr-FR"/>
        </w:rPr>
        <w:t xml:space="preserve"> présignalisation de même type, </w:t>
      </w:r>
      <w:r w:rsidRPr="00130327">
        <w:rPr>
          <w:rFonts w:eastAsia="Times New Roman"/>
          <w:lang w:val="fr-FR"/>
        </w:rPr>
        <w:t>défini</w:t>
      </w:r>
      <w:r w:rsidRPr="008B062D">
        <w:rPr>
          <w:rFonts w:eastAsia="Times New Roman"/>
          <w:lang w:val="fr-FR"/>
        </w:rPr>
        <w:t xml:space="preserve"> </w:t>
      </w:r>
      <w:r w:rsidRPr="00130327">
        <w:rPr>
          <w:rFonts w:eastAsia="Times New Roman"/>
          <w:lang w:val="fr-FR"/>
        </w:rPr>
        <w:t>selon les méthodes de production du fabricant.</w:t>
      </w:r>
    </w:p>
    <w:p w:rsidR="0087218B" w:rsidRPr="00722034" w:rsidRDefault="0087218B" w:rsidP="00466E68">
      <w:pPr>
        <w:pStyle w:val="SingleTxtG"/>
        <w:ind w:left="2268"/>
      </w:pPr>
      <w:r w:rsidRPr="008B062D">
        <w:rPr>
          <w:lang w:val="fr-FR" w:eastAsia="en-GB"/>
        </w:rPr>
        <w:tab/>
      </w:r>
      <w:r w:rsidRPr="008B062D">
        <w:rPr>
          <w:rFonts w:eastAsia="Times New Roman"/>
          <w:lang w:val="fr-FR"/>
        </w:rPr>
        <w:t>L</w:t>
      </w:r>
      <w:r w:rsidR="00971BFE">
        <w:rPr>
          <w:rFonts w:eastAsia="Times New Roman"/>
          <w:lang w:val="fr-FR"/>
        </w:rPr>
        <w:t>’</w:t>
      </w:r>
      <w:r w:rsidRPr="008B062D">
        <w:rPr>
          <w:rFonts w:eastAsia="Times New Roman"/>
          <w:lang w:val="fr-FR"/>
        </w:rPr>
        <w:t>évaluation porte généralement sur des triangles de présignalisation</w:t>
      </w:r>
      <w:r w:rsidR="00D6396B">
        <w:rPr>
          <w:rFonts w:eastAsia="Times New Roman"/>
          <w:lang w:val="fr-FR"/>
        </w:rPr>
        <w:t xml:space="preserve"> </w:t>
      </w:r>
      <w:r w:rsidRPr="00130327">
        <w:rPr>
          <w:rFonts w:eastAsia="Times New Roman"/>
          <w:lang w:val="fr-FR"/>
        </w:rPr>
        <w:t>produits en série par une usine.</w:t>
      </w:r>
      <w:r w:rsidRPr="008B062D">
        <w:rPr>
          <w:rFonts w:eastAsia="Times New Roman"/>
          <w:lang w:val="fr-FR"/>
        </w:rPr>
        <w:t xml:space="preserve"> </w:t>
      </w:r>
      <w:r w:rsidRPr="00130327">
        <w:rPr>
          <w:rFonts w:eastAsia="Times New Roman"/>
          <w:lang w:val="fr-FR"/>
        </w:rPr>
        <w:t>Cependant,</w:t>
      </w:r>
      <w:r w:rsidRPr="008B062D">
        <w:rPr>
          <w:rFonts w:eastAsia="Times New Roman"/>
          <w:lang w:val="fr-FR"/>
        </w:rPr>
        <w:t xml:space="preserve"> </w:t>
      </w:r>
      <w:r w:rsidRPr="00130327">
        <w:rPr>
          <w:rFonts w:eastAsia="Times New Roman"/>
          <w:lang w:val="fr-FR"/>
        </w:rPr>
        <w:t>un fabricant peut</w:t>
      </w:r>
      <w:r w:rsidRPr="008B062D">
        <w:rPr>
          <w:rFonts w:eastAsia="Times New Roman"/>
          <w:lang w:val="fr-FR"/>
        </w:rPr>
        <w:t xml:space="preserve"> </w:t>
      </w:r>
      <w:r w:rsidRPr="00130327">
        <w:rPr>
          <w:rFonts w:eastAsia="Times New Roman"/>
          <w:lang w:val="fr-FR"/>
        </w:rPr>
        <w:t>grouper les chiffres de production concernant le même type de</w:t>
      </w:r>
      <w:r w:rsidRPr="008B062D">
        <w:rPr>
          <w:rFonts w:eastAsia="Times New Roman"/>
          <w:lang w:val="fr-FR"/>
        </w:rPr>
        <w:t xml:space="preserve"> </w:t>
      </w:r>
      <w:r w:rsidRPr="00130327">
        <w:rPr>
          <w:rFonts w:eastAsia="Times New Roman"/>
          <w:lang w:val="fr-FR"/>
        </w:rPr>
        <w:t>triangle de présignalisation produits par plusieurs usines, à</w:t>
      </w:r>
      <w:r w:rsidRPr="008B062D">
        <w:rPr>
          <w:rFonts w:eastAsia="Times New Roman"/>
          <w:lang w:val="fr-FR"/>
        </w:rPr>
        <w:t xml:space="preserve"> </w:t>
      </w:r>
      <w:r w:rsidRPr="00130327">
        <w:rPr>
          <w:rFonts w:eastAsia="Times New Roman"/>
          <w:lang w:val="fr-FR"/>
        </w:rPr>
        <w:t>condition que celles-ci appliquen</w:t>
      </w:r>
      <w:r w:rsidRPr="008B062D">
        <w:rPr>
          <w:rFonts w:eastAsia="Times New Roman"/>
          <w:lang w:val="fr-FR"/>
        </w:rPr>
        <w:t xml:space="preserve">t les mêmes critères de qualité </w:t>
      </w:r>
      <w:r w:rsidRPr="00130327">
        <w:rPr>
          <w:rFonts w:eastAsia="Times New Roman"/>
          <w:lang w:val="fr-FR"/>
        </w:rPr>
        <w:t>et</w:t>
      </w:r>
      <w:r w:rsidRPr="008B062D">
        <w:rPr>
          <w:rFonts w:eastAsia="Times New Roman"/>
          <w:lang w:val="fr-FR"/>
        </w:rPr>
        <w:t xml:space="preserve"> </w:t>
      </w:r>
      <w:r w:rsidRPr="00130327">
        <w:rPr>
          <w:rFonts w:eastAsia="Times New Roman"/>
          <w:lang w:val="fr-FR"/>
        </w:rPr>
        <w:t>la même gestion de la qualité.</w:t>
      </w:r>
    </w:p>
    <w:p w:rsidR="0087218B" w:rsidRPr="008B062D" w:rsidRDefault="0087218B" w:rsidP="00466E68">
      <w:pPr>
        <w:pStyle w:val="SingleTxtG"/>
        <w:keepNext/>
        <w:ind w:left="2268" w:hanging="1134"/>
        <w:jc w:val="left"/>
        <w:rPr>
          <w:lang w:val="fr-FR" w:eastAsia="en-GB"/>
        </w:rPr>
      </w:pPr>
      <w:r w:rsidRPr="008B062D">
        <w:rPr>
          <w:lang w:val="fr-FR" w:eastAsia="en-GB"/>
        </w:rPr>
        <w:t xml:space="preserve">2.4 </w:t>
      </w:r>
      <w:r w:rsidRPr="008B062D">
        <w:rPr>
          <w:lang w:val="fr-FR" w:eastAsia="en-GB"/>
        </w:rPr>
        <w:tab/>
        <w:t>Caractéristiques photométriques mesurées et relevées</w:t>
      </w:r>
    </w:p>
    <w:p w:rsidR="00722034" w:rsidRPr="00722034" w:rsidRDefault="0087218B" w:rsidP="00466E68">
      <w:pPr>
        <w:pStyle w:val="SingleTxtG"/>
        <w:ind w:left="2268"/>
      </w:pPr>
      <w:r w:rsidRPr="008B062D">
        <w:rPr>
          <w:lang w:val="fr-FR" w:eastAsia="en-GB"/>
        </w:rPr>
        <w:tab/>
      </w:r>
      <w:r w:rsidRPr="008B062D">
        <w:rPr>
          <w:rFonts w:eastAsia="Times New Roman"/>
          <w:lang w:val="fr-FR"/>
        </w:rPr>
        <w:t xml:space="preserve">Les triangles de présignalisation prélevés sont soumis à des mesures </w:t>
      </w:r>
      <w:r w:rsidRPr="00130327">
        <w:rPr>
          <w:rFonts w:eastAsia="Times New Roman"/>
          <w:lang w:val="fr-FR"/>
        </w:rPr>
        <w:t>photométriques aux points et les coordonnées chromatiques prévu</w:t>
      </w:r>
      <w:r w:rsidRPr="008B062D">
        <w:rPr>
          <w:rFonts w:eastAsia="Times New Roman"/>
          <w:lang w:val="fr-FR"/>
        </w:rPr>
        <w:t xml:space="preserve">s </w:t>
      </w:r>
      <w:r w:rsidRPr="00130327">
        <w:rPr>
          <w:rFonts w:eastAsia="Times New Roman"/>
          <w:lang w:val="fr-FR"/>
        </w:rPr>
        <w:t>par</w:t>
      </w:r>
      <w:r w:rsidRPr="008B062D">
        <w:rPr>
          <w:rFonts w:eastAsia="Times New Roman"/>
          <w:lang w:val="fr-FR"/>
        </w:rPr>
        <w:t xml:space="preserve"> </w:t>
      </w:r>
      <w:r w:rsidRPr="00130327">
        <w:rPr>
          <w:rFonts w:eastAsia="Times New Roman"/>
          <w:lang w:val="fr-FR"/>
        </w:rPr>
        <w:t>le Règlement.</w:t>
      </w:r>
    </w:p>
    <w:p w:rsidR="0087218B" w:rsidRPr="008B062D" w:rsidRDefault="0087218B" w:rsidP="00466E68">
      <w:pPr>
        <w:pStyle w:val="SingleTxtG"/>
        <w:keepNext/>
        <w:ind w:left="2268" w:hanging="1134"/>
        <w:jc w:val="left"/>
        <w:rPr>
          <w:lang w:val="fr-FR" w:eastAsia="en-GB"/>
        </w:rPr>
      </w:pPr>
      <w:r w:rsidRPr="008B062D">
        <w:rPr>
          <w:lang w:val="fr-FR" w:eastAsia="en-GB"/>
        </w:rPr>
        <w:t xml:space="preserve">2.5 </w:t>
      </w:r>
      <w:r w:rsidRPr="008B062D">
        <w:rPr>
          <w:lang w:val="fr-FR" w:eastAsia="en-GB"/>
        </w:rPr>
        <w:tab/>
        <w:t>Critères d</w:t>
      </w:r>
      <w:r w:rsidR="00971BFE">
        <w:rPr>
          <w:lang w:val="fr-FR" w:eastAsia="en-GB"/>
        </w:rPr>
        <w:t>’</w:t>
      </w:r>
      <w:r w:rsidRPr="008B062D">
        <w:rPr>
          <w:lang w:val="fr-FR" w:eastAsia="en-GB"/>
        </w:rPr>
        <w:t>acceptabilité</w:t>
      </w:r>
    </w:p>
    <w:p w:rsidR="0087218B" w:rsidRPr="00722034" w:rsidRDefault="0087218B" w:rsidP="00466E68">
      <w:pPr>
        <w:pStyle w:val="SingleTxtG"/>
        <w:ind w:left="2268"/>
      </w:pPr>
      <w:r w:rsidRPr="008B062D">
        <w:rPr>
          <w:lang w:val="fr-FR" w:eastAsia="en-GB"/>
        </w:rPr>
        <w:tab/>
      </w:r>
      <w:r w:rsidRPr="008B062D">
        <w:rPr>
          <w:rFonts w:eastAsia="Times New Roman"/>
          <w:lang w:val="fr-FR"/>
        </w:rPr>
        <w:t>Le fabricant est tenu d</w:t>
      </w:r>
      <w:r w:rsidR="00971BFE">
        <w:rPr>
          <w:rFonts w:eastAsia="Times New Roman"/>
          <w:lang w:val="fr-FR"/>
        </w:rPr>
        <w:t>’</w:t>
      </w:r>
      <w:r w:rsidRPr="008B062D">
        <w:rPr>
          <w:rFonts w:eastAsia="Times New Roman"/>
          <w:lang w:val="fr-FR"/>
        </w:rPr>
        <w:t>effectuer l</w:t>
      </w:r>
      <w:r w:rsidR="00971BFE">
        <w:rPr>
          <w:rFonts w:eastAsia="Times New Roman"/>
          <w:lang w:val="fr-FR"/>
        </w:rPr>
        <w:t>’</w:t>
      </w:r>
      <w:r w:rsidRPr="008B062D">
        <w:rPr>
          <w:rFonts w:eastAsia="Times New Roman"/>
          <w:lang w:val="fr-FR"/>
        </w:rPr>
        <w:t xml:space="preserve">exploitation statistique des </w:t>
      </w:r>
      <w:r w:rsidRPr="00130327">
        <w:rPr>
          <w:rFonts w:eastAsia="Times New Roman"/>
          <w:lang w:val="fr-FR"/>
        </w:rPr>
        <w:t>résultats d</w:t>
      </w:r>
      <w:r w:rsidR="00971BFE">
        <w:rPr>
          <w:rFonts w:eastAsia="Times New Roman"/>
          <w:lang w:val="fr-FR"/>
        </w:rPr>
        <w:t>’</w:t>
      </w:r>
      <w:r w:rsidRPr="00130327">
        <w:rPr>
          <w:rFonts w:eastAsia="Times New Roman"/>
          <w:lang w:val="fr-FR"/>
        </w:rPr>
        <w:t>essais et de dé</w:t>
      </w:r>
      <w:r w:rsidRPr="008B062D">
        <w:rPr>
          <w:rFonts w:eastAsia="Times New Roman"/>
          <w:lang w:val="fr-FR"/>
        </w:rPr>
        <w:t>finir en accord avec l</w:t>
      </w:r>
      <w:r w:rsidR="00971BFE">
        <w:rPr>
          <w:rFonts w:eastAsia="Times New Roman"/>
          <w:lang w:val="fr-FR"/>
        </w:rPr>
        <w:t>’</w:t>
      </w:r>
      <w:r w:rsidRPr="008B062D">
        <w:rPr>
          <w:rFonts w:eastAsia="Times New Roman"/>
          <w:lang w:val="fr-FR"/>
        </w:rPr>
        <w:t>autorité d</w:t>
      </w:r>
      <w:r w:rsidR="00971BFE">
        <w:rPr>
          <w:rFonts w:eastAsia="Times New Roman"/>
          <w:lang w:val="fr-FR"/>
        </w:rPr>
        <w:t>’</w:t>
      </w:r>
      <w:r w:rsidRPr="008B062D">
        <w:rPr>
          <w:rFonts w:eastAsia="Times New Roman"/>
          <w:lang w:val="fr-FR"/>
        </w:rPr>
        <w:t xml:space="preserve">homologation de type </w:t>
      </w:r>
      <w:r w:rsidRPr="00130327">
        <w:rPr>
          <w:rFonts w:eastAsia="Times New Roman"/>
          <w:lang w:val="fr-FR"/>
        </w:rPr>
        <w:t>les critères d</w:t>
      </w:r>
      <w:r w:rsidR="00971BFE">
        <w:rPr>
          <w:rFonts w:eastAsia="Times New Roman"/>
          <w:lang w:val="fr-FR"/>
        </w:rPr>
        <w:t>’</w:t>
      </w:r>
      <w:r w:rsidRPr="00130327">
        <w:rPr>
          <w:rFonts w:eastAsia="Times New Roman"/>
          <w:lang w:val="fr-FR"/>
        </w:rPr>
        <w:t>acceptabilité de s</w:t>
      </w:r>
      <w:r w:rsidRPr="008B062D">
        <w:rPr>
          <w:rFonts w:eastAsia="Times New Roman"/>
          <w:lang w:val="fr-FR"/>
        </w:rPr>
        <w:t xml:space="preserve">a production afin de satisfaire </w:t>
      </w:r>
      <w:r w:rsidRPr="00130327">
        <w:rPr>
          <w:rFonts w:eastAsia="Times New Roman"/>
          <w:lang w:val="fr-FR"/>
        </w:rPr>
        <w:t>aux</w:t>
      </w:r>
      <w:r w:rsidRPr="008B062D">
        <w:rPr>
          <w:rFonts w:eastAsia="Times New Roman"/>
          <w:lang w:val="fr-FR"/>
        </w:rPr>
        <w:t xml:space="preserve"> </w:t>
      </w:r>
      <w:r w:rsidRPr="00130327">
        <w:rPr>
          <w:rFonts w:eastAsia="Times New Roman"/>
          <w:lang w:val="fr-FR"/>
        </w:rPr>
        <w:t>spécifications définies pour le contrôle de conformité de la</w:t>
      </w:r>
      <w:r w:rsidRPr="008B062D">
        <w:rPr>
          <w:rFonts w:eastAsia="Times New Roman"/>
          <w:lang w:val="fr-FR"/>
        </w:rPr>
        <w:t xml:space="preserve"> </w:t>
      </w:r>
      <w:r w:rsidR="009F1237">
        <w:rPr>
          <w:rFonts w:eastAsia="Times New Roman"/>
          <w:lang w:val="fr-FR"/>
        </w:rPr>
        <w:t>production au paragraphe 10.1</w:t>
      </w:r>
      <w:r w:rsidRPr="00130327">
        <w:rPr>
          <w:rFonts w:eastAsia="Times New Roman"/>
          <w:lang w:val="fr-FR"/>
        </w:rPr>
        <w:t xml:space="preserve"> du présent Règlement.</w:t>
      </w:r>
    </w:p>
    <w:p w:rsidR="009A718E" w:rsidRDefault="0087218B" w:rsidP="00466E68">
      <w:pPr>
        <w:pStyle w:val="SingleTxtG"/>
        <w:ind w:left="2268"/>
        <w:rPr>
          <w:lang w:val="fr-FR"/>
        </w:rPr>
      </w:pPr>
      <w:r w:rsidRPr="008B062D">
        <w:rPr>
          <w:lang w:val="fr-FR" w:eastAsia="en-GB"/>
        </w:rPr>
        <w:tab/>
      </w:r>
      <w:r w:rsidRPr="008B062D">
        <w:rPr>
          <w:lang w:val="fr-FR"/>
        </w:rPr>
        <w:t>Les critères gouvernant l</w:t>
      </w:r>
      <w:r w:rsidR="00971BFE">
        <w:rPr>
          <w:lang w:val="fr-FR"/>
        </w:rPr>
        <w:t>’</w:t>
      </w:r>
      <w:r w:rsidRPr="008B062D">
        <w:rPr>
          <w:lang w:val="fr-FR"/>
        </w:rPr>
        <w:t xml:space="preserve">acceptabilité doivent être tels que, avec </w:t>
      </w:r>
      <w:r w:rsidRPr="006D33FE">
        <w:rPr>
          <w:lang w:val="fr-FR"/>
        </w:rPr>
        <w:t>un degré de confiance de 95 %, l</w:t>
      </w:r>
      <w:r w:rsidRPr="008B062D">
        <w:rPr>
          <w:lang w:val="fr-FR"/>
        </w:rPr>
        <w:t xml:space="preserve">a probabilité minimum de passer </w:t>
      </w:r>
      <w:r w:rsidRPr="006D33FE">
        <w:rPr>
          <w:lang w:val="fr-FR"/>
        </w:rPr>
        <w:t>avec</w:t>
      </w:r>
      <w:r w:rsidRPr="008B062D">
        <w:rPr>
          <w:lang w:val="fr-FR"/>
        </w:rPr>
        <w:t xml:space="preserve"> </w:t>
      </w:r>
      <w:r w:rsidRPr="006D33FE">
        <w:rPr>
          <w:lang w:val="fr-FR"/>
        </w:rPr>
        <w:t>succès une vérification par sonda</w:t>
      </w:r>
      <w:r w:rsidRPr="008B062D">
        <w:rPr>
          <w:lang w:val="fr-FR"/>
        </w:rPr>
        <w:t>ge telle que décrite à l</w:t>
      </w:r>
      <w:r w:rsidR="00971BFE">
        <w:rPr>
          <w:lang w:val="fr-FR"/>
        </w:rPr>
        <w:t>’</w:t>
      </w:r>
      <w:r w:rsidRPr="008B062D">
        <w:rPr>
          <w:lang w:val="fr-FR"/>
        </w:rPr>
        <w:t xml:space="preserve">annexe </w:t>
      </w:r>
      <w:r w:rsidRPr="006D33FE">
        <w:rPr>
          <w:lang w:val="fr-FR"/>
        </w:rPr>
        <w:t>8</w:t>
      </w:r>
      <w:r w:rsidRPr="008B062D">
        <w:rPr>
          <w:lang w:val="fr-FR"/>
        </w:rPr>
        <w:t xml:space="preserve"> </w:t>
      </w:r>
      <w:r w:rsidRPr="006D33FE">
        <w:rPr>
          <w:lang w:val="fr-FR"/>
        </w:rPr>
        <w:t>(premier prélèvement) serait de 0,95.</w:t>
      </w:r>
    </w:p>
    <w:p w:rsidR="001B7928" w:rsidRDefault="001B7928" w:rsidP="00466E68">
      <w:pPr>
        <w:pStyle w:val="SingleTxtG"/>
        <w:ind w:left="2268"/>
        <w:sectPr w:rsidR="001B7928" w:rsidSect="004B1660">
          <w:headerReference w:type="even" r:id="rId51"/>
          <w:headerReference w:type="default" r:id="rId52"/>
          <w:footnotePr>
            <w:numRestart w:val="eachSect"/>
          </w:footnotePr>
          <w:endnotePr>
            <w:numFmt w:val="decimal"/>
          </w:endnotePr>
          <w:pgSz w:w="11907" w:h="16840" w:code="9"/>
          <w:pgMar w:top="1701" w:right="1134" w:bottom="2268" w:left="1134" w:header="794" w:footer="1701" w:gutter="0"/>
          <w:cols w:space="720"/>
          <w:docGrid w:linePitch="272"/>
        </w:sectPr>
      </w:pPr>
    </w:p>
    <w:p w:rsidR="001825DB" w:rsidRPr="001825DB" w:rsidRDefault="001825DB" w:rsidP="001825DB">
      <w:pPr>
        <w:pStyle w:val="HChG"/>
      </w:pPr>
      <w:bookmarkStart w:id="56" w:name="_Toc386120439"/>
      <w:r w:rsidRPr="008B062D">
        <w:rPr>
          <w:lang w:val="fr-FR"/>
        </w:rPr>
        <w:t>Annexe 8</w:t>
      </w:r>
      <w:bookmarkEnd w:id="56"/>
    </w:p>
    <w:p w:rsidR="001825DB" w:rsidRPr="008B062D" w:rsidRDefault="001825DB" w:rsidP="001825DB">
      <w:pPr>
        <w:pStyle w:val="HChG"/>
        <w:rPr>
          <w:lang w:val="fr-FR"/>
        </w:rPr>
      </w:pPr>
      <w:r>
        <w:rPr>
          <w:lang w:val="fr-FR"/>
        </w:rPr>
        <w:tab/>
      </w:r>
      <w:r>
        <w:rPr>
          <w:lang w:val="fr-FR"/>
        </w:rPr>
        <w:tab/>
      </w:r>
      <w:r w:rsidRPr="008B062D">
        <w:rPr>
          <w:lang w:val="fr-FR"/>
        </w:rPr>
        <w:t>Prescriptions minimales concernant</w:t>
      </w:r>
      <w:r>
        <w:rPr>
          <w:lang w:val="fr-FR"/>
        </w:rPr>
        <w:t xml:space="preserve"> l</w:t>
      </w:r>
      <w:r w:rsidR="00971BFE">
        <w:rPr>
          <w:lang w:val="fr-FR"/>
        </w:rPr>
        <w:t>’</w:t>
      </w:r>
      <w:r>
        <w:rPr>
          <w:lang w:val="fr-FR"/>
        </w:rPr>
        <w:t>échantillonnage</w:t>
      </w:r>
      <w:r>
        <w:rPr>
          <w:lang w:val="fr-FR"/>
        </w:rPr>
        <w:br/>
      </w:r>
      <w:r w:rsidRPr="008B062D">
        <w:rPr>
          <w:lang w:val="fr-FR"/>
        </w:rPr>
        <w:t>par un inspecteur</w:t>
      </w:r>
    </w:p>
    <w:p w:rsidR="001825DB" w:rsidRPr="008B062D" w:rsidRDefault="00E03D78" w:rsidP="00413403">
      <w:pPr>
        <w:pStyle w:val="SingleTxtG"/>
        <w:keepNext/>
        <w:spacing w:after="100"/>
        <w:ind w:left="2268" w:hanging="1134"/>
        <w:jc w:val="left"/>
        <w:rPr>
          <w:lang w:val="fr-FR" w:eastAsia="en-GB"/>
        </w:rPr>
      </w:pPr>
      <w:r>
        <w:rPr>
          <w:lang w:val="fr-FR" w:eastAsia="en-GB"/>
        </w:rPr>
        <w:t>1.</w:t>
      </w:r>
      <w:r w:rsidR="001825DB" w:rsidRPr="008B062D">
        <w:rPr>
          <w:lang w:val="fr-FR" w:eastAsia="en-GB"/>
        </w:rPr>
        <w:tab/>
        <w:t>Généralités</w:t>
      </w:r>
    </w:p>
    <w:p w:rsidR="001825DB" w:rsidRPr="001825DB" w:rsidRDefault="001825DB" w:rsidP="00413403">
      <w:pPr>
        <w:pStyle w:val="SingleTxtG"/>
        <w:spacing w:after="100"/>
        <w:ind w:left="2268" w:hanging="1134"/>
        <w:rPr>
          <w:lang w:val="fr-FR" w:eastAsia="en-GB"/>
        </w:rPr>
      </w:pPr>
      <w:r w:rsidRPr="008B062D">
        <w:rPr>
          <w:lang w:val="fr-FR" w:eastAsia="en-GB"/>
        </w:rPr>
        <w:t>1.1</w:t>
      </w:r>
      <w:r w:rsidRPr="008B062D">
        <w:rPr>
          <w:lang w:val="fr-FR" w:eastAsia="en-GB"/>
        </w:rPr>
        <w:tab/>
      </w:r>
      <w:r w:rsidRPr="008B062D">
        <w:rPr>
          <w:rFonts w:eastAsia="Times New Roman"/>
          <w:lang w:val="fr-FR"/>
        </w:rPr>
        <w:t xml:space="preserve">Les prescriptions de conformité sont considérées comme satisfaites du </w:t>
      </w:r>
      <w:r w:rsidRPr="003D5B33">
        <w:rPr>
          <w:rFonts w:eastAsia="Times New Roman"/>
          <w:lang w:val="fr-FR"/>
        </w:rPr>
        <w:t>point de vue mécanique e</w:t>
      </w:r>
      <w:r w:rsidRPr="008B062D">
        <w:rPr>
          <w:rFonts w:eastAsia="Times New Roman"/>
          <w:lang w:val="fr-FR"/>
        </w:rPr>
        <w:t xml:space="preserve">t géométrique, conformément aux </w:t>
      </w:r>
      <w:r w:rsidRPr="003D5B33">
        <w:rPr>
          <w:rFonts w:eastAsia="Times New Roman"/>
          <w:lang w:val="fr-FR"/>
        </w:rPr>
        <w:t>prescriptions</w:t>
      </w:r>
      <w:r w:rsidRPr="008B062D">
        <w:rPr>
          <w:rFonts w:eastAsia="Times New Roman"/>
          <w:lang w:val="fr-FR"/>
        </w:rPr>
        <w:t xml:space="preserve"> </w:t>
      </w:r>
      <w:r w:rsidRPr="003D5B33">
        <w:rPr>
          <w:rFonts w:eastAsia="Times New Roman"/>
          <w:lang w:val="fr-FR"/>
        </w:rPr>
        <w:t xml:space="preserve">du présent Règlement, le </w:t>
      </w:r>
      <w:r w:rsidRPr="008B062D">
        <w:rPr>
          <w:rFonts w:eastAsia="Times New Roman"/>
          <w:lang w:val="fr-FR"/>
        </w:rPr>
        <w:t xml:space="preserve">cas échéant, si les différences </w:t>
      </w:r>
      <w:r w:rsidRPr="003D5B33">
        <w:rPr>
          <w:rFonts w:eastAsia="Times New Roman"/>
          <w:lang w:val="fr-FR"/>
        </w:rPr>
        <w:t>n</w:t>
      </w:r>
      <w:r w:rsidR="00971BFE">
        <w:rPr>
          <w:rFonts w:eastAsia="Times New Roman"/>
          <w:lang w:val="fr-FR"/>
        </w:rPr>
        <w:t>’</w:t>
      </w:r>
      <w:r w:rsidRPr="003D5B33">
        <w:rPr>
          <w:rFonts w:eastAsia="Times New Roman"/>
          <w:lang w:val="fr-FR"/>
        </w:rPr>
        <w:t>excèdent</w:t>
      </w:r>
      <w:r w:rsidRPr="008B062D">
        <w:rPr>
          <w:rFonts w:eastAsia="Times New Roman"/>
          <w:lang w:val="fr-FR"/>
        </w:rPr>
        <w:t xml:space="preserve"> </w:t>
      </w:r>
      <w:r w:rsidRPr="003D5B33">
        <w:rPr>
          <w:rFonts w:eastAsia="Times New Roman"/>
          <w:lang w:val="fr-FR"/>
        </w:rPr>
        <w:t>pas les écarts de fabrication inévitables.</w:t>
      </w:r>
    </w:p>
    <w:p w:rsidR="001825DB" w:rsidRPr="00971BFE" w:rsidRDefault="001825DB" w:rsidP="00413403">
      <w:pPr>
        <w:pStyle w:val="SingleTxtG"/>
        <w:keepNext/>
        <w:spacing w:after="100"/>
        <w:ind w:left="2268" w:hanging="1134"/>
        <w:rPr>
          <w:lang w:val="fr-FR" w:eastAsia="en-GB"/>
        </w:rPr>
      </w:pPr>
      <w:r w:rsidRPr="008B062D">
        <w:rPr>
          <w:lang w:val="fr-FR" w:eastAsia="en-GB"/>
        </w:rPr>
        <w:t>1.2</w:t>
      </w:r>
      <w:r w:rsidRPr="008B062D">
        <w:rPr>
          <w:lang w:val="fr-FR" w:eastAsia="en-GB"/>
        </w:rPr>
        <w:tab/>
      </w:r>
      <w:r w:rsidRPr="00971BFE">
        <w:rPr>
          <w:lang w:val="fr-FR" w:eastAsia="en-GB"/>
        </w:rPr>
        <w:t>En ce qui concerne les caractéristiques photométriques, la conformité des triangles de présignalisation de série n</w:t>
      </w:r>
      <w:r w:rsidR="00971BFE">
        <w:rPr>
          <w:lang w:val="fr-FR" w:eastAsia="en-GB"/>
        </w:rPr>
        <w:t>’</w:t>
      </w:r>
      <w:r w:rsidRPr="00971BFE">
        <w:rPr>
          <w:lang w:val="fr-FR" w:eastAsia="en-GB"/>
        </w:rPr>
        <w:t>est pas contestée si, lors de l</w:t>
      </w:r>
      <w:r w:rsidR="00971BFE">
        <w:rPr>
          <w:lang w:val="fr-FR" w:eastAsia="en-GB"/>
        </w:rPr>
        <w:t>’</w:t>
      </w:r>
      <w:r w:rsidRPr="00971BFE">
        <w:rPr>
          <w:lang w:val="fr-FR" w:eastAsia="en-GB"/>
        </w:rPr>
        <w:t>essai des caractéristiques photométriques d</w:t>
      </w:r>
      <w:r w:rsidR="00971BFE">
        <w:rPr>
          <w:lang w:val="fr-FR" w:eastAsia="en-GB"/>
        </w:rPr>
        <w:t>’</w:t>
      </w:r>
      <w:r w:rsidRPr="00971BFE">
        <w:rPr>
          <w:lang w:val="fr-FR" w:eastAsia="en-GB"/>
        </w:rPr>
        <w:t>un triangle de présignalisation choisi au hasard:</w:t>
      </w:r>
    </w:p>
    <w:p w:rsidR="001825DB" w:rsidRPr="008B062D" w:rsidRDefault="001825DB" w:rsidP="00413403">
      <w:pPr>
        <w:pStyle w:val="SingleTxtG"/>
        <w:spacing w:after="100"/>
        <w:ind w:left="2268" w:hanging="1134"/>
        <w:rPr>
          <w:lang w:val="fr-FR" w:eastAsia="en-GB"/>
        </w:rPr>
      </w:pPr>
      <w:r w:rsidRPr="008B062D">
        <w:rPr>
          <w:lang w:val="fr-FR" w:eastAsia="en-GB"/>
        </w:rPr>
        <w:t>1.2.1</w:t>
      </w:r>
      <w:r w:rsidRPr="008B062D">
        <w:rPr>
          <w:lang w:val="fr-FR" w:eastAsia="en-GB"/>
        </w:rPr>
        <w:tab/>
      </w:r>
      <w:r w:rsidR="00971BFE">
        <w:rPr>
          <w:lang w:val="fr-FR" w:eastAsia="en-GB"/>
        </w:rPr>
        <w:t>A</w:t>
      </w:r>
      <w:r w:rsidRPr="008B062D">
        <w:rPr>
          <w:lang w:val="fr-FR" w:eastAsia="en-GB"/>
        </w:rPr>
        <w:t>ucune valeur mesurée ne s</w:t>
      </w:r>
      <w:r w:rsidR="00971BFE">
        <w:rPr>
          <w:lang w:val="fr-FR" w:eastAsia="en-GB"/>
        </w:rPr>
        <w:t>’</w:t>
      </w:r>
      <w:r w:rsidRPr="008B062D">
        <w:rPr>
          <w:lang w:val="fr-FR" w:eastAsia="en-GB"/>
        </w:rPr>
        <w:t xml:space="preserve">écarte, dans le sens défavorable, de </w:t>
      </w:r>
      <w:r w:rsidR="006E5357">
        <w:rPr>
          <w:lang w:val="fr-FR" w:eastAsia="en-GB"/>
        </w:rPr>
        <w:t>plus de 20 </w:t>
      </w:r>
      <w:r w:rsidRPr="008B062D">
        <w:rPr>
          <w:lang w:val="fr-FR" w:eastAsia="en-GB"/>
        </w:rPr>
        <w:t>% des valeurs minimales prescrites dans le présent Règlement.</w:t>
      </w:r>
    </w:p>
    <w:p w:rsidR="001825DB" w:rsidRPr="008B062D" w:rsidRDefault="001825DB" w:rsidP="00413403">
      <w:pPr>
        <w:pStyle w:val="SingleTxtG"/>
        <w:spacing w:after="100"/>
        <w:ind w:left="2268" w:hanging="1134"/>
        <w:rPr>
          <w:lang w:val="fr-FR" w:eastAsia="en-GB"/>
        </w:rPr>
      </w:pPr>
      <w:r w:rsidRPr="008B062D">
        <w:rPr>
          <w:lang w:val="fr-FR" w:eastAsia="en-GB"/>
        </w:rPr>
        <w:t>1.2.2</w:t>
      </w:r>
      <w:r w:rsidRPr="008B062D">
        <w:rPr>
          <w:lang w:val="fr-FR" w:eastAsia="en-GB"/>
        </w:rPr>
        <w:tab/>
        <w:t>Les triangles de présignalisation présentant des défauts apparents ne sont pas pris en considération.</w:t>
      </w:r>
    </w:p>
    <w:p w:rsidR="001825DB" w:rsidRPr="008B062D" w:rsidRDefault="001825DB" w:rsidP="00413403">
      <w:pPr>
        <w:pStyle w:val="SingleTxtG"/>
        <w:spacing w:after="100"/>
        <w:ind w:left="2268" w:hanging="1134"/>
        <w:rPr>
          <w:lang w:val="fr-FR" w:eastAsia="en-GB"/>
        </w:rPr>
      </w:pPr>
      <w:r w:rsidRPr="008B062D">
        <w:rPr>
          <w:lang w:val="fr-FR" w:eastAsia="en-GB"/>
        </w:rPr>
        <w:t>1.3</w:t>
      </w:r>
      <w:r w:rsidRPr="008B062D">
        <w:rPr>
          <w:lang w:val="fr-FR" w:eastAsia="en-GB"/>
        </w:rPr>
        <w:tab/>
        <w:t>Les coordonnées chromatiques doivent être satisfaites.</w:t>
      </w:r>
    </w:p>
    <w:p w:rsidR="001825DB" w:rsidRPr="008B062D" w:rsidRDefault="00971BFE" w:rsidP="00413403">
      <w:pPr>
        <w:pStyle w:val="SingleTxtG"/>
        <w:keepNext/>
        <w:spacing w:after="100"/>
        <w:ind w:left="2268" w:hanging="1134"/>
        <w:jc w:val="left"/>
        <w:rPr>
          <w:lang w:val="fr-FR" w:eastAsia="en-GB"/>
        </w:rPr>
      </w:pPr>
      <w:r>
        <w:rPr>
          <w:lang w:val="fr-FR" w:eastAsia="en-GB"/>
        </w:rPr>
        <w:t>2.</w:t>
      </w:r>
      <w:r w:rsidR="001825DB" w:rsidRPr="008B062D">
        <w:rPr>
          <w:lang w:val="fr-FR" w:eastAsia="en-GB"/>
        </w:rPr>
        <w:tab/>
        <w:t>Premier prélèvement</w:t>
      </w:r>
    </w:p>
    <w:p w:rsidR="001825DB" w:rsidRPr="008B062D" w:rsidRDefault="001825DB" w:rsidP="00413403">
      <w:pPr>
        <w:pStyle w:val="SingleTxtG"/>
        <w:spacing w:after="100"/>
        <w:ind w:left="2268"/>
        <w:rPr>
          <w:rFonts w:ascii="Courier New" w:hAnsi="Courier New" w:cs="Courier New"/>
          <w:sz w:val="25"/>
          <w:szCs w:val="25"/>
          <w:lang w:val="fr-FR"/>
        </w:rPr>
      </w:pPr>
      <w:r w:rsidRPr="008B062D">
        <w:rPr>
          <w:lang w:val="fr-FR" w:eastAsia="en-GB"/>
        </w:rPr>
        <w:tab/>
      </w:r>
      <w:r w:rsidRPr="008B062D">
        <w:rPr>
          <w:lang w:val="fr-FR"/>
        </w:rPr>
        <w:t xml:space="preserve">Lors du premier prélèvement, quatre triangles de présignalisation </w:t>
      </w:r>
      <w:r w:rsidRPr="00FB7BE8">
        <w:rPr>
          <w:lang w:val="fr-FR"/>
        </w:rPr>
        <w:t>sont choisis au hasard.</w:t>
      </w:r>
      <w:r w:rsidRPr="008B062D">
        <w:rPr>
          <w:lang w:val="fr-FR"/>
        </w:rPr>
        <w:t xml:space="preserve"> </w:t>
      </w:r>
      <w:r w:rsidRPr="00FB7BE8">
        <w:rPr>
          <w:lang w:val="fr-FR"/>
        </w:rPr>
        <w:t>La</w:t>
      </w:r>
      <w:r w:rsidRPr="008B062D">
        <w:rPr>
          <w:lang w:val="fr-FR"/>
        </w:rPr>
        <w:t xml:space="preserve"> </w:t>
      </w:r>
      <w:r w:rsidRPr="00FB7BE8">
        <w:rPr>
          <w:lang w:val="fr-FR"/>
        </w:rPr>
        <w:t>lettre A est apposée sur le premier et le</w:t>
      </w:r>
      <w:r w:rsidRPr="008B062D">
        <w:rPr>
          <w:lang w:val="fr-FR"/>
        </w:rPr>
        <w:t xml:space="preserve"> </w:t>
      </w:r>
      <w:r w:rsidRPr="00FB7BE8">
        <w:rPr>
          <w:lang w:val="fr-FR"/>
        </w:rPr>
        <w:t>troisième, et la lettre B sur le deuxième et le quatrième.</w:t>
      </w:r>
    </w:p>
    <w:p w:rsidR="001825DB" w:rsidRPr="008B062D" w:rsidRDefault="00971BFE" w:rsidP="00413403">
      <w:pPr>
        <w:pStyle w:val="SingleTxtG"/>
        <w:spacing w:after="100"/>
        <w:ind w:left="2268" w:hanging="1134"/>
        <w:rPr>
          <w:lang w:val="fr-FR" w:eastAsia="en-GB"/>
        </w:rPr>
      </w:pPr>
      <w:r>
        <w:rPr>
          <w:lang w:val="fr-FR" w:eastAsia="en-GB"/>
        </w:rPr>
        <w:t>2.1.</w:t>
      </w:r>
      <w:r w:rsidR="001825DB" w:rsidRPr="008B062D">
        <w:rPr>
          <w:lang w:val="fr-FR" w:eastAsia="en-GB"/>
        </w:rPr>
        <w:tab/>
        <w:t>La conformité n</w:t>
      </w:r>
      <w:r>
        <w:rPr>
          <w:lang w:val="fr-FR" w:eastAsia="en-GB"/>
        </w:rPr>
        <w:t>’</w:t>
      </w:r>
      <w:r w:rsidR="001825DB" w:rsidRPr="008B062D">
        <w:rPr>
          <w:lang w:val="fr-FR" w:eastAsia="en-GB"/>
        </w:rPr>
        <w:t>est pas contestée.</w:t>
      </w:r>
    </w:p>
    <w:p w:rsidR="001825DB" w:rsidRPr="00971BFE" w:rsidRDefault="001825DB" w:rsidP="00413403">
      <w:pPr>
        <w:pStyle w:val="SingleTxtG"/>
        <w:keepNext/>
        <w:spacing w:after="100"/>
        <w:ind w:left="2268" w:hanging="1134"/>
        <w:rPr>
          <w:lang w:val="fr-FR" w:eastAsia="en-GB"/>
        </w:rPr>
      </w:pPr>
      <w:r w:rsidRPr="008B062D">
        <w:rPr>
          <w:lang w:val="fr-FR" w:eastAsia="en-GB"/>
        </w:rPr>
        <w:t>2.1.1</w:t>
      </w:r>
      <w:r w:rsidRPr="008B062D">
        <w:rPr>
          <w:lang w:val="fr-FR" w:eastAsia="en-GB"/>
        </w:rPr>
        <w:tab/>
      </w:r>
      <w:r w:rsidR="00E03D78">
        <w:rPr>
          <w:lang w:val="fr-FR" w:eastAsia="en-GB"/>
        </w:rPr>
        <w:t>À</w:t>
      </w:r>
      <w:r w:rsidRPr="00971BFE">
        <w:rPr>
          <w:lang w:val="fr-FR" w:eastAsia="en-GB"/>
        </w:rPr>
        <w:t xml:space="preserve"> l</w:t>
      </w:r>
      <w:r w:rsidR="00971BFE">
        <w:rPr>
          <w:lang w:val="fr-FR" w:eastAsia="en-GB"/>
        </w:rPr>
        <w:t>’</w:t>
      </w:r>
      <w:r w:rsidRPr="00971BFE">
        <w:rPr>
          <w:lang w:val="fr-FR" w:eastAsia="en-GB"/>
        </w:rPr>
        <w:t>issue de la procédure de prélèvement indiquée à la figure 1 de la présente annexe, la conformité des triangles de présignalisation de série n</w:t>
      </w:r>
      <w:r w:rsidR="00971BFE">
        <w:rPr>
          <w:lang w:val="fr-FR" w:eastAsia="en-GB"/>
        </w:rPr>
        <w:t>’</w:t>
      </w:r>
      <w:r w:rsidRPr="00971BFE">
        <w:rPr>
          <w:lang w:val="fr-FR" w:eastAsia="en-GB"/>
        </w:rPr>
        <w:t>est pas contestée si les écarts des valeurs mesurées sur les triangles de présignalisation, dans le sens défavorable, sont les suivants:</w:t>
      </w:r>
    </w:p>
    <w:p w:rsidR="001825DB" w:rsidRPr="008B062D" w:rsidRDefault="001825DB" w:rsidP="00413403">
      <w:pPr>
        <w:pStyle w:val="SingleTxtG"/>
        <w:keepNext/>
        <w:spacing w:after="100"/>
        <w:ind w:left="2268" w:hanging="1134"/>
        <w:rPr>
          <w:lang w:val="fr-FR" w:eastAsia="en-GB"/>
        </w:rPr>
      </w:pPr>
      <w:r w:rsidRPr="008B062D">
        <w:rPr>
          <w:lang w:val="fr-FR" w:eastAsia="en-GB"/>
        </w:rPr>
        <w:t xml:space="preserve">2.1.1.1 </w:t>
      </w:r>
      <w:r w:rsidRPr="008B062D">
        <w:rPr>
          <w:lang w:val="fr-FR" w:eastAsia="en-GB"/>
        </w:rPr>
        <w:tab/>
      </w:r>
      <w:r w:rsidR="00E03D78">
        <w:rPr>
          <w:lang w:val="fr-FR" w:eastAsia="en-GB"/>
        </w:rPr>
        <w:t>É</w:t>
      </w:r>
      <w:r w:rsidRPr="008B062D">
        <w:rPr>
          <w:lang w:val="fr-FR" w:eastAsia="en-GB"/>
        </w:rPr>
        <w:t>chantillon A</w:t>
      </w:r>
    </w:p>
    <w:p w:rsidR="001825DB" w:rsidRPr="008B062D" w:rsidRDefault="001825DB" w:rsidP="00413403">
      <w:pPr>
        <w:pStyle w:val="SingleTxtG"/>
        <w:tabs>
          <w:tab w:val="left" w:pos="2835"/>
          <w:tab w:val="right" w:pos="8505"/>
        </w:tabs>
        <w:spacing w:after="100"/>
        <w:ind w:left="2268"/>
        <w:rPr>
          <w:lang w:val="fr-FR" w:eastAsia="en-GB"/>
        </w:rPr>
      </w:pPr>
      <w:r w:rsidRPr="008B062D">
        <w:rPr>
          <w:lang w:val="fr-FR" w:eastAsia="en-GB"/>
        </w:rPr>
        <w:t xml:space="preserve">A1: </w:t>
      </w:r>
      <w:r w:rsidRPr="008B062D">
        <w:rPr>
          <w:lang w:val="fr-FR" w:eastAsia="en-GB"/>
        </w:rPr>
        <w:tab/>
        <w:t xml:space="preserve">pour un </w:t>
      </w:r>
      <w:r w:rsidR="00F13C49">
        <w:rPr>
          <w:lang w:val="fr-FR" w:eastAsia="en-GB"/>
        </w:rPr>
        <w:t xml:space="preserve">triangle de présignalisation </w:t>
      </w:r>
      <w:r w:rsidRPr="008B062D">
        <w:rPr>
          <w:lang w:val="fr-FR" w:eastAsia="en-GB"/>
        </w:rPr>
        <w:tab/>
        <w:t>0 %</w:t>
      </w:r>
    </w:p>
    <w:p w:rsidR="001825DB" w:rsidRPr="008B062D" w:rsidRDefault="001825DB" w:rsidP="00413403">
      <w:pPr>
        <w:pStyle w:val="SingleTxtG"/>
        <w:tabs>
          <w:tab w:val="left" w:pos="2835"/>
          <w:tab w:val="right" w:pos="8505"/>
        </w:tabs>
        <w:spacing w:after="100"/>
        <w:ind w:left="2268"/>
        <w:rPr>
          <w:lang w:val="fr-FR" w:eastAsia="en-GB"/>
        </w:rPr>
      </w:pPr>
      <w:r w:rsidRPr="008B062D">
        <w:rPr>
          <w:lang w:val="fr-FR" w:eastAsia="en-GB"/>
        </w:rPr>
        <w:tab/>
        <w:t>pour l</w:t>
      </w:r>
      <w:r w:rsidR="00971BFE">
        <w:rPr>
          <w:lang w:val="fr-FR" w:eastAsia="en-GB"/>
        </w:rPr>
        <w:t>’</w:t>
      </w:r>
      <w:r w:rsidRPr="008B062D">
        <w:rPr>
          <w:lang w:val="fr-FR" w:eastAsia="en-GB"/>
        </w:rPr>
        <w:t xml:space="preserve">autre triangle de présignalisation pas plus de </w:t>
      </w:r>
      <w:r w:rsidRPr="008B062D">
        <w:rPr>
          <w:lang w:val="fr-FR" w:eastAsia="en-GB"/>
        </w:rPr>
        <w:tab/>
        <w:t>20 %</w:t>
      </w:r>
    </w:p>
    <w:p w:rsidR="001825DB" w:rsidRPr="008B062D" w:rsidRDefault="001825DB" w:rsidP="00413403">
      <w:pPr>
        <w:pStyle w:val="SingleTxtG"/>
        <w:tabs>
          <w:tab w:val="left" w:pos="2835"/>
          <w:tab w:val="right" w:pos="8505"/>
        </w:tabs>
        <w:spacing w:after="100"/>
        <w:ind w:left="2268"/>
        <w:rPr>
          <w:lang w:val="fr-FR" w:eastAsia="en-GB"/>
        </w:rPr>
      </w:pPr>
      <w:r w:rsidRPr="008B062D">
        <w:rPr>
          <w:lang w:val="fr-FR" w:eastAsia="en-GB"/>
        </w:rPr>
        <w:t xml:space="preserve">A2: </w:t>
      </w:r>
      <w:r w:rsidRPr="008B062D">
        <w:rPr>
          <w:lang w:val="fr-FR" w:eastAsia="en-GB"/>
        </w:rPr>
        <w:tab/>
        <w:t>pour les deux triangles d</w:t>
      </w:r>
      <w:r w:rsidR="00F13C49">
        <w:rPr>
          <w:lang w:val="fr-FR" w:eastAsia="en-GB"/>
        </w:rPr>
        <w:t>e présignalisation, plus de</w:t>
      </w:r>
      <w:r w:rsidR="00D6396B">
        <w:rPr>
          <w:lang w:val="fr-FR" w:eastAsia="en-GB"/>
        </w:rPr>
        <w:t xml:space="preserve"> </w:t>
      </w:r>
      <w:r w:rsidR="00F13C49">
        <w:rPr>
          <w:lang w:val="fr-FR" w:eastAsia="en-GB"/>
        </w:rPr>
        <w:tab/>
      </w:r>
      <w:r w:rsidRPr="008B062D">
        <w:rPr>
          <w:lang w:val="fr-FR" w:eastAsia="en-GB"/>
        </w:rPr>
        <w:t>0 %</w:t>
      </w:r>
    </w:p>
    <w:p w:rsidR="001825DB" w:rsidRPr="008B062D" w:rsidRDefault="00413403" w:rsidP="00413403">
      <w:pPr>
        <w:pStyle w:val="SingleTxtG"/>
        <w:tabs>
          <w:tab w:val="left" w:pos="2835"/>
          <w:tab w:val="right" w:pos="8505"/>
        </w:tabs>
        <w:spacing w:after="100"/>
        <w:ind w:left="2268"/>
        <w:rPr>
          <w:lang w:val="fr-FR" w:eastAsia="en-GB"/>
        </w:rPr>
      </w:pPr>
      <w:r>
        <w:rPr>
          <w:lang w:val="fr-FR" w:eastAsia="en-GB"/>
        </w:rPr>
        <w:tab/>
        <w:t xml:space="preserve">mais pas plus de </w:t>
      </w:r>
      <w:r w:rsidR="00F13C49">
        <w:rPr>
          <w:lang w:val="fr-FR" w:eastAsia="en-GB"/>
        </w:rPr>
        <w:tab/>
      </w:r>
      <w:r w:rsidR="001825DB" w:rsidRPr="008B062D">
        <w:rPr>
          <w:lang w:val="fr-FR" w:eastAsia="en-GB"/>
        </w:rPr>
        <w:t>20 %</w:t>
      </w:r>
    </w:p>
    <w:p w:rsidR="001825DB" w:rsidRPr="008B062D" w:rsidRDefault="001825DB" w:rsidP="00413403">
      <w:pPr>
        <w:pStyle w:val="SingleTxtG"/>
        <w:spacing w:after="100"/>
        <w:ind w:left="2268"/>
        <w:rPr>
          <w:lang w:val="fr-FR" w:eastAsia="en-GB"/>
        </w:rPr>
      </w:pPr>
      <w:r w:rsidRPr="008B062D">
        <w:rPr>
          <w:lang w:val="fr-FR" w:eastAsia="en-GB"/>
        </w:rPr>
        <w:tab/>
      </w:r>
      <w:r w:rsidR="00EA5C20">
        <w:rPr>
          <w:lang w:val="fr-FR" w:eastAsia="en-GB"/>
        </w:rPr>
        <w:tab/>
      </w:r>
      <w:r w:rsidRPr="008B062D">
        <w:rPr>
          <w:lang w:val="fr-FR" w:eastAsia="en-GB"/>
        </w:rPr>
        <w:t>passer à l</w:t>
      </w:r>
      <w:r w:rsidR="00971BFE">
        <w:rPr>
          <w:lang w:val="fr-FR" w:eastAsia="en-GB"/>
        </w:rPr>
        <w:t>’</w:t>
      </w:r>
      <w:r w:rsidRPr="008B062D">
        <w:rPr>
          <w:lang w:val="fr-FR" w:eastAsia="en-GB"/>
        </w:rPr>
        <w:t>échantillon B</w:t>
      </w:r>
    </w:p>
    <w:p w:rsidR="001825DB" w:rsidRPr="008B062D" w:rsidRDefault="001825DB" w:rsidP="00413403">
      <w:pPr>
        <w:pStyle w:val="SingleTxtG"/>
        <w:keepNext/>
        <w:spacing w:after="100"/>
        <w:ind w:left="2268" w:hanging="1134"/>
        <w:rPr>
          <w:lang w:val="fr-FR" w:eastAsia="en-GB"/>
        </w:rPr>
      </w:pPr>
      <w:r w:rsidRPr="008B062D">
        <w:rPr>
          <w:lang w:val="fr-FR" w:eastAsia="en-GB"/>
        </w:rPr>
        <w:t xml:space="preserve">2.1.1.2 </w:t>
      </w:r>
      <w:r w:rsidRPr="008B062D">
        <w:rPr>
          <w:lang w:val="fr-FR" w:eastAsia="en-GB"/>
        </w:rPr>
        <w:tab/>
      </w:r>
      <w:r w:rsidR="00413403">
        <w:rPr>
          <w:lang w:val="fr-FR" w:eastAsia="en-GB"/>
        </w:rPr>
        <w:t>É</w:t>
      </w:r>
      <w:r w:rsidRPr="008B062D">
        <w:rPr>
          <w:lang w:val="fr-FR" w:eastAsia="en-GB"/>
        </w:rPr>
        <w:t>chantillon B</w:t>
      </w:r>
    </w:p>
    <w:p w:rsidR="001825DB" w:rsidRPr="008B062D" w:rsidRDefault="001825DB" w:rsidP="00413403">
      <w:pPr>
        <w:pStyle w:val="SingleTxtG"/>
        <w:tabs>
          <w:tab w:val="left" w:pos="2835"/>
          <w:tab w:val="right" w:pos="8505"/>
        </w:tabs>
        <w:spacing w:after="100"/>
        <w:ind w:left="2268"/>
        <w:rPr>
          <w:lang w:val="fr-FR" w:eastAsia="en-GB"/>
        </w:rPr>
      </w:pPr>
      <w:r w:rsidRPr="008B062D">
        <w:rPr>
          <w:lang w:val="fr-FR" w:eastAsia="en-GB"/>
        </w:rPr>
        <w:t xml:space="preserve">B1: </w:t>
      </w:r>
      <w:r w:rsidRPr="008B062D">
        <w:rPr>
          <w:lang w:val="fr-FR" w:eastAsia="en-GB"/>
        </w:rPr>
        <w:tab/>
        <w:t>pour les deux tr</w:t>
      </w:r>
      <w:r w:rsidR="00413403">
        <w:rPr>
          <w:lang w:val="fr-FR" w:eastAsia="en-GB"/>
        </w:rPr>
        <w:t xml:space="preserve">iangles de présignalisation </w:t>
      </w:r>
      <w:r w:rsidR="00413403">
        <w:rPr>
          <w:lang w:val="fr-FR" w:eastAsia="en-GB"/>
        </w:rPr>
        <w:tab/>
        <w:t xml:space="preserve"> </w:t>
      </w:r>
      <w:r w:rsidRPr="008B062D">
        <w:rPr>
          <w:lang w:val="fr-FR" w:eastAsia="en-GB"/>
        </w:rPr>
        <w:t>0 %</w:t>
      </w:r>
    </w:p>
    <w:p w:rsidR="001825DB" w:rsidRPr="008B062D" w:rsidRDefault="00413403" w:rsidP="00413403">
      <w:pPr>
        <w:pStyle w:val="SingleTxtG"/>
        <w:spacing w:after="100"/>
        <w:ind w:left="2268" w:hanging="1134"/>
        <w:rPr>
          <w:lang w:val="fr-FR" w:eastAsia="en-GB"/>
        </w:rPr>
      </w:pPr>
      <w:r>
        <w:rPr>
          <w:lang w:val="fr-FR" w:eastAsia="en-GB"/>
        </w:rPr>
        <w:t>2.2</w:t>
      </w:r>
      <w:r w:rsidR="001825DB" w:rsidRPr="008B062D">
        <w:rPr>
          <w:lang w:val="fr-FR" w:eastAsia="en-GB"/>
        </w:rPr>
        <w:tab/>
        <w:t>La conformité est contestée</w:t>
      </w:r>
    </w:p>
    <w:p w:rsidR="001825DB" w:rsidRPr="008B062D" w:rsidRDefault="00413403" w:rsidP="00413403">
      <w:pPr>
        <w:pStyle w:val="SingleTxtG"/>
        <w:spacing w:after="100"/>
        <w:ind w:left="2268" w:hanging="1134"/>
        <w:rPr>
          <w:rFonts w:ascii="Courier New" w:eastAsia="Times New Roman" w:hAnsi="Courier New" w:cs="Courier New"/>
          <w:sz w:val="25"/>
          <w:szCs w:val="25"/>
          <w:lang w:val="fr-FR"/>
        </w:rPr>
      </w:pPr>
      <w:r>
        <w:rPr>
          <w:lang w:val="fr-FR" w:eastAsia="en-GB"/>
        </w:rPr>
        <w:t>2.2.1</w:t>
      </w:r>
      <w:r w:rsidR="001825DB" w:rsidRPr="008B062D">
        <w:rPr>
          <w:lang w:val="fr-FR" w:eastAsia="en-GB"/>
        </w:rPr>
        <w:tab/>
      </w:r>
      <w:r>
        <w:rPr>
          <w:lang w:val="fr-FR" w:eastAsia="en-GB"/>
        </w:rPr>
        <w:t>À</w:t>
      </w:r>
      <w:r w:rsidR="001825DB" w:rsidRPr="00971BFE">
        <w:rPr>
          <w:lang w:val="fr-FR" w:eastAsia="en-GB"/>
        </w:rPr>
        <w:t xml:space="preserve"> l</w:t>
      </w:r>
      <w:r w:rsidR="00971BFE">
        <w:rPr>
          <w:lang w:val="fr-FR" w:eastAsia="en-GB"/>
        </w:rPr>
        <w:t>’</w:t>
      </w:r>
      <w:r w:rsidR="001825DB" w:rsidRPr="00971BFE">
        <w:rPr>
          <w:lang w:val="fr-FR" w:eastAsia="en-GB"/>
        </w:rPr>
        <w:t>issue de la procédure de prélèvement indiquée à la figure 1 de la présente annexe, la conformité des triangles de présignalisation de série est contestée et le fabricant est prié de remettre sa production en conformité avec les</w:t>
      </w:r>
      <w:r w:rsidR="001825DB" w:rsidRPr="008B062D">
        <w:rPr>
          <w:rFonts w:eastAsia="Times New Roman"/>
          <w:lang w:val="fr-FR"/>
        </w:rPr>
        <w:t xml:space="preserve"> prescriptions, si les écarts </w:t>
      </w:r>
      <w:r w:rsidR="001825DB" w:rsidRPr="000052FF">
        <w:rPr>
          <w:rFonts w:eastAsia="Times New Roman"/>
          <w:lang w:val="fr-FR"/>
        </w:rPr>
        <w:t>des</w:t>
      </w:r>
      <w:r w:rsidR="001825DB" w:rsidRPr="008B062D">
        <w:rPr>
          <w:rFonts w:eastAsia="Times New Roman"/>
          <w:lang w:val="fr-FR"/>
        </w:rPr>
        <w:t xml:space="preserve"> </w:t>
      </w:r>
      <w:r w:rsidR="001825DB" w:rsidRPr="000052FF">
        <w:rPr>
          <w:rFonts w:eastAsia="Times New Roman"/>
          <w:lang w:val="fr-FR"/>
        </w:rPr>
        <w:t>valeurs mesurées sur les triangles de présignalisation sont les</w:t>
      </w:r>
      <w:r w:rsidR="001825DB" w:rsidRPr="008B062D">
        <w:rPr>
          <w:rFonts w:eastAsia="Times New Roman"/>
          <w:lang w:val="fr-FR"/>
        </w:rPr>
        <w:t xml:space="preserve"> suivants</w:t>
      </w:r>
      <w:r w:rsidR="001825DB" w:rsidRPr="000052FF">
        <w:rPr>
          <w:rFonts w:eastAsia="Times New Roman"/>
          <w:lang w:val="fr-FR"/>
        </w:rPr>
        <w:t>:</w:t>
      </w:r>
    </w:p>
    <w:p w:rsidR="001825DB" w:rsidRPr="008B062D" w:rsidRDefault="001825DB" w:rsidP="00413403">
      <w:pPr>
        <w:pStyle w:val="SingleTxtG"/>
        <w:keepNext/>
        <w:ind w:left="2268" w:hanging="1134"/>
        <w:rPr>
          <w:lang w:val="fr-FR" w:eastAsia="en-GB"/>
        </w:rPr>
      </w:pPr>
      <w:r w:rsidRPr="008B062D">
        <w:rPr>
          <w:lang w:val="fr-FR" w:eastAsia="en-GB"/>
        </w:rPr>
        <w:t xml:space="preserve">2.2.1.1 </w:t>
      </w:r>
      <w:r w:rsidRPr="008B062D">
        <w:rPr>
          <w:lang w:val="fr-FR" w:eastAsia="en-GB"/>
        </w:rPr>
        <w:tab/>
      </w:r>
      <w:r w:rsidR="00413403">
        <w:rPr>
          <w:lang w:val="fr-FR" w:eastAsia="en-GB"/>
        </w:rPr>
        <w:t>É</w:t>
      </w:r>
      <w:r w:rsidRPr="008B062D">
        <w:rPr>
          <w:lang w:val="fr-FR" w:eastAsia="en-GB"/>
        </w:rPr>
        <w:t>chantillon A</w:t>
      </w:r>
    </w:p>
    <w:p w:rsidR="001825DB" w:rsidRPr="008B062D" w:rsidRDefault="001825DB" w:rsidP="00F10C51">
      <w:pPr>
        <w:pStyle w:val="SingleTxtG"/>
        <w:tabs>
          <w:tab w:val="left" w:pos="2835"/>
          <w:tab w:val="right" w:pos="8505"/>
        </w:tabs>
        <w:ind w:left="2268"/>
        <w:rPr>
          <w:lang w:val="fr-FR" w:eastAsia="en-GB"/>
        </w:rPr>
      </w:pPr>
      <w:r w:rsidRPr="008B062D">
        <w:rPr>
          <w:lang w:val="fr-FR" w:eastAsia="en-GB"/>
        </w:rPr>
        <w:t xml:space="preserve">A3: </w:t>
      </w:r>
      <w:r w:rsidRPr="008B062D">
        <w:rPr>
          <w:lang w:val="fr-FR" w:eastAsia="en-GB"/>
        </w:rPr>
        <w:tab/>
        <w:t xml:space="preserve">pour un triangle de </w:t>
      </w:r>
      <w:r w:rsidR="003B6CB0">
        <w:rPr>
          <w:lang w:val="fr-FR" w:eastAsia="en-GB"/>
        </w:rPr>
        <w:t xml:space="preserve">présignalisation pas plus de </w:t>
      </w:r>
      <w:r w:rsidR="003B6CB0">
        <w:rPr>
          <w:lang w:val="fr-FR" w:eastAsia="en-GB"/>
        </w:rPr>
        <w:tab/>
      </w:r>
      <w:r w:rsidRPr="008B062D">
        <w:rPr>
          <w:lang w:val="fr-FR" w:eastAsia="en-GB"/>
        </w:rPr>
        <w:t>20 %</w:t>
      </w:r>
    </w:p>
    <w:p w:rsidR="001825DB" w:rsidRPr="008B062D" w:rsidRDefault="001825DB" w:rsidP="00F10C51">
      <w:pPr>
        <w:pStyle w:val="SingleTxtG"/>
        <w:tabs>
          <w:tab w:val="left" w:pos="2835"/>
          <w:tab w:val="right" w:pos="8505"/>
        </w:tabs>
        <w:ind w:left="2268"/>
        <w:rPr>
          <w:lang w:val="fr-FR" w:eastAsia="en-GB"/>
        </w:rPr>
      </w:pPr>
      <w:r w:rsidRPr="008B062D">
        <w:rPr>
          <w:lang w:val="fr-FR" w:eastAsia="en-GB"/>
        </w:rPr>
        <w:tab/>
        <w:t>pour l</w:t>
      </w:r>
      <w:r w:rsidR="00971BFE">
        <w:rPr>
          <w:lang w:val="fr-FR" w:eastAsia="en-GB"/>
        </w:rPr>
        <w:t>’</w:t>
      </w:r>
      <w:r w:rsidRPr="008B062D">
        <w:rPr>
          <w:lang w:val="fr-FR" w:eastAsia="en-GB"/>
        </w:rPr>
        <w:t>autre triangle</w:t>
      </w:r>
      <w:r w:rsidR="003B6CB0">
        <w:rPr>
          <w:lang w:val="fr-FR" w:eastAsia="en-GB"/>
        </w:rPr>
        <w:t xml:space="preserve"> de présignalisation plus de </w:t>
      </w:r>
      <w:r w:rsidR="003B6CB0">
        <w:rPr>
          <w:lang w:val="fr-FR" w:eastAsia="en-GB"/>
        </w:rPr>
        <w:tab/>
      </w:r>
      <w:r w:rsidRPr="008B062D">
        <w:rPr>
          <w:lang w:val="fr-FR" w:eastAsia="en-GB"/>
        </w:rPr>
        <w:t>20 %</w:t>
      </w:r>
    </w:p>
    <w:p w:rsidR="001825DB" w:rsidRPr="008B062D" w:rsidRDefault="003B6CB0" w:rsidP="00F10C51">
      <w:pPr>
        <w:pStyle w:val="SingleTxtG"/>
        <w:tabs>
          <w:tab w:val="left" w:pos="2835"/>
          <w:tab w:val="right" w:pos="8505"/>
        </w:tabs>
        <w:ind w:left="2268"/>
        <w:rPr>
          <w:lang w:val="fr-FR" w:eastAsia="en-GB"/>
        </w:rPr>
      </w:pPr>
      <w:r>
        <w:rPr>
          <w:lang w:val="fr-FR" w:eastAsia="en-GB"/>
        </w:rPr>
        <w:tab/>
        <w:t xml:space="preserve">mais pas plus de </w:t>
      </w:r>
      <w:r>
        <w:rPr>
          <w:lang w:val="fr-FR" w:eastAsia="en-GB"/>
        </w:rPr>
        <w:tab/>
      </w:r>
      <w:r w:rsidR="001825DB" w:rsidRPr="008B062D">
        <w:rPr>
          <w:lang w:val="fr-FR" w:eastAsia="en-GB"/>
        </w:rPr>
        <w:t>30 %</w:t>
      </w:r>
    </w:p>
    <w:p w:rsidR="001825DB" w:rsidRPr="008B062D" w:rsidRDefault="001825DB" w:rsidP="00936369">
      <w:pPr>
        <w:pStyle w:val="SingleTxtG"/>
        <w:keepNext/>
        <w:ind w:left="2268" w:hanging="1134"/>
        <w:rPr>
          <w:lang w:val="fr-FR" w:eastAsia="en-GB"/>
        </w:rPr>
      </w:pPr>
      <w:r w:rsidRPr="008B062D">
        <w:rPr>
          <w:lang w:val="fr-FR" w:eastAsia="en-GB"/>
        </w:rPr>
        <w:t>2.2.1.2</w:t>
      </w:r>
      <w:r w:rsidRPr="008B062D">
        <w:rPr>
          <w:lang w:val="fr-FR" w:eastAsia="en-GB"/>
        </w:rPr>
        <w:tab/>
      </w:r>
      <w:r w:rsidR="00936369">
        <w:rPr>
          <w:lang w:val="fr-FR" w:eastAsia="en-GB"/>
        </w:rPr>
        <w:t>É</w:t>
      </w:r>
      <w:r w:rsidRPr="008B062D">
        <w:rPr>
          <w:lang w:val="fr-FR" w:eastAsia="en-GB"/>
        </w:rPr>
        <w:t>chantillon B</w:t>
      </w:r>
    </w:p>
    <w:p w:rsidR="001825DB" w:rsidRPr="008B062D" w:rsidRDefault="001825DB" w:rsidP="001825DB">
      <w:pPr>
        <w:pStyle w:val="para"/>
        <w:tabs>
          <w:tab w:val="left" w:pos="2835"/>
          <w:tab w:val="left" w:pos="6804"/>
        </w:tabs>
        <w:ind w:firstLine="0"/>
        <w:rPr>
          <w:lang w:val="fr-FR" w:eastAsia="en-GB"/>
        </w:rPr>
      </w:pPr>
      <w:r w:rsidRPr="008B062D">
        <w:rPr>
          <w:lang w:val="fr-FR" w:eastAsia="en-GB"/>
        </w:rPr>
        <w:t xml:space="preserve">B2: </w:t>
      </w:r>
      <w:r w:rsidRPr="008B062D">
        <w:rPr>
          <w:lang w:val="fr-FR" w:eastAsia="en-GB"/>
        </w:rPr>
        <w:tab/>
        <w:t>dans le cas de A2</w:t>
      </w:r>
    </w:p>
    <w:p w:rsidR="001825DB" w:rsidRPr="008B062D" w:rsidRDefault="001825DB" w:rsidP="00F10C51">
      <w:pPr>
        <w:pStyle w:val="SingleTxtG"/>
        <w:tabs>
          <w:tab w:val="left" w:pos="2835"/>
          <w:tab w:val="right" w:pos="8505"/>
        </w:tabs>
        <w:ind w:left="2268"/>
        <w:rPr>
          <w:lang w:val="fr-FR" w:eastAsia="en-GB"/>
        </w:rPr>
      </w:pPr>
      <w:r w:rsidRPr="008B062D">
        <w:rPr>
          <w:lang w:val="fr-FR" w:eastAsia="en-GB"/>
        </w:rPr>
        <w:tab/>
        <w:t xml:space="preserve">pour un triangle </w:t>
      </w:r>
      <w:r w:rsidR="003B6CB0">
        <w:rPr>
          <w:lang w:val="fr-FR" w:eastAsia="en-GB"/>
        </w:rPr>
        <w:t xml:space="preserve">de présignalisation plus de </w:t>
      </w:r>
      <w:r w:rsidR="003B6CB0">
        <w:rPr>
          <w:lang w:val="fr-FR" w:eastAsia="en-GB"/>
        </w:rPr>
        <w:tab/>
      </w:r>
      <w:r w:rsidRPr="008B062D">
        <w:rPr>
          <w:lang w:val="fr-FR" w:eastAsia="en-GB"/>
        </w:rPr>
        <w:t>0 %</w:t>
      </w:r>
    </w:p>
    <w:p w:rsidR="001825DB" w:rsidRPr="008B062D" w:rsidRDefault="003B6CB0" w:rsidP="00F10C51">
      <w:pPr>
        <w:pStyle w:val="SingleTxtG"/>
        <w:tabs>
          <w:tab w:val="left" w:pos="2835"/>
          <w:tab w:val="right" w:pos="8505"/>
        </w:tabs>
        <w:ind w:left="2268"/>
        <w:rPr>
          <w:lang w:val="fr-FR" w:eastAsia="en-GB"/>
        </w:rPr>
      </w:pPr>
      <w:r>
        <w:rPr>
          <w:lang w:val="fr-FR" w:eastAsia="en-GB"/>
        </w:rPr>
        <w:tab/>
        <w:t xml:space="preserve">mais pas plus de </w:t>
      </w:r>
      <w:r>
        <w:rPr>
          <w:lang w:val="fr-FR" w:eastAsia="en-GB"/>
        </w:rPr>
        <w:tab/>
      </w:r>
      <w:r w:rsidR="001825DB" w:rsidRPr="008B062D">
        <w:rPr>
          <w:lang w:val="fr-FR" w:eastAsia="en-GB"/>
        </w:rPr>
        <w:t>20 %</w:t>
      </w:r>
    </w:p>
    <w:p w:rsidR="001825DB" w:rsidRPr="008B062D" w:rsidRDefault="001825DB" w:rsidP="00F10C51">
      <w:pPr>
        <w:pStyle w:val="SingleTxtG"/>
        <w:tabs>
          <w:tab w:val="left" w:pos="2835"/>
          <w:tab w:val="right" w:pos="8505"/>
        </w:tabs>
        <w:ind w:left="2268"/>
        <w:rPr>
          <w:lang w:val="fr-FR" w:eastAsia="en-GB"/>
        </w:rPr>
      </w:pPr>
      <w:r w:rsidRPr="008B062D">
        <w:rPr>
          <w:lang w:val="fr-FR" w:eastAsia="en-GB"/>
        </w:rPr>
        <w:tab/>
        <w:t>pour l</w:t>
      </w:r>
      <w:r w:rsidR="00971BFE">
        <w:rPr>
          <w:lang w:val="fr-FR" w:eastAsia="en-GB"/>
        </w:rPr>
        <w:t>’</w:t>
      </w:r>
      <w:r w:rsidRPr="008B062D">
        <w:rPr>
          <w:lang w:val="fr-FR" w:eastAsia="en-GB"/>
        </w:rPr>
        <w:t>autre triangle de présignalisation pas plus de</w:t>
      </w:r>
      <w:r w:rsidR="00D6396B">
        <w:rPr>
          <w:lang w:val="fr-FR" w:eastAsia="en-GB"/>
        </w:rPr>
        <w:t xml:space="preserve"> </w:t>
      </w:r>
      <w:r w:rsidRPr="008B062D">
        <w:rPr>
          <w:lang w:val="fr-FR" w:eastAsia="en-GB"/>
        </w:rPr>
        <w:tab/>
        <w:t>20 %</w:t>
      </w:r>
    </w:p>
    <w:p w:rsidR="001825DB" w:rsidRPr="008B062D" w:rsidRDefault="001825DB" w:rsidP="001825DB">
      <w:pPr>
        <w:pStyle w:val="para"/>
        <w:tabs>
          <w:tab w:val="left" w:pos="2835"/>
          <w:tab w:val="left" w:pos="6804"/>
        </w:tabs>
        <w:ind w:firstLine="0"/>
        <w:rPr>
          <w:lang w:val="fr-FR" w:eastAsia="en-GB"/>
        </w:rPr>
      </w:pPr>
      <w:r w:rsidRPr="008B062D">
        <w:rPr>
          <w:lang w:val="fr-FR" w:eastAsia="en-GB"/>
        </w:rPr>
        <w:t xml:space="preserve">B3: </w:t>
      </w:r>
      <w:r w:rsidRPr="008B062D">
        <w:rPr>
          <w:lang w:val="fr-FR" w:eastAsia="en-GB"/>
        </w:rPr>
        <w:tab/>
        <w:t>dans le cas de A2</w:t>
      </w:r>
    </w:p>
    <w:p w:rsidR="001825DB" w:rsidRPr="008B062D" w:rsidRDefault="001825DB" w:rsidP="00F10C51">
      <w:pPr>
        <w:pStyle w:val="SingleTxtG"/>
        <w:tabs>
          <w:tab w:val="left" w:pos="2835"/>
          <w:tab w:val="right" w:pos="8505"/>
        </w:tabs>
        <w:ind w:left="2268"/>
        <w:rPr>
          <w:lang w:val="fr-FR" w:eastAsia="en-GB"/>
        </w:rPr>
      </w:pPr>
      <w:r w:rsidRPr="008B062D">
        <w:rPr>
          <w:lang w:val="fr-FR" w:eastAsia="en-GB"/>
        </w:rPr>
        <w:tab/>
        <w:t>pour un t</w:t>
      </w:r>
      <w:r w:rsidR="003B6CB0">
        <w:rPr>
          <w:lang w:val="fr-FR" w:eastAsia="en-GB"/>
        </w:rPr>
        <w:t xml:space="preserve">riangle de présignalisation </w:t>
      </w:r>
      <w:r w:rsidR="003B6CB0">
        <w:rPr>
          <w:lang w:val="fr-FR" w:eastAsia="en-GB"/>
        </w:rPr>
        <w:tab/>
      </w:r>
      <w:r w:rsidRPr="008B062D">
        <w:rPr>
          <w:lang w:val="fr-FR" w:eastAsia="en-GB"/>
        </w:rPr>
        <w:t>0 %</w:t>
      </w:r>
    </w:p>
    <w:p w:rsidR="001825DB" w:rsidRPr="008B062D" w:rsidRDefault="001825DB" w:rsidP="00F10C51">
      <w:pPr>
        <w:pStyle w:val="SingleTxtG"/>
        <w:tabs>
          <w:tab w:val="left" w:pos="2835"/>
          <w:tab w:val="right" w:pos="8505"/>
        </w:tabs>
        <w:ind w:left="2268"/>
        <w:rPr>
          <w:lang w:val="fr-FR" w:eastAsia="en-GB"/>
        </w:rPr>
      </w:pPr>
      <w:r w:rsidRPr="008B062D">
        <w:rPr>
          <w:lang w:val="fr-FR" w:eastAsia="en-GB"/>
        </w:rPr>
        <w:tab/>
        <w:t>pour l</w:t>
      </w:r>
      <w:r w:rsidR="00971BFE">
        <w:rPr>
          <w:lang w:val="fr-FR" w:eastAsia="en-GB"/>
        </w:rPr>
        <w:t>’</w:t>
      </w:r>
      <w:r w:rsidRPr="008B062D">
        <w:rPr>
          <w:lang w:val="fr-FR" w:eastAsia="en-GB"/>
        </w:rPr>
        <w:t>autre triangle</w:t>
      </w:r>
      <w:r w:rsidR="003B6CB0">
        <w:rPr>
          <w:lang w:val="fr-FR" w:eastAsia="en-GB"/>
        </w:rPr>
        <w:t xml:space="preserve"> de présignalisation plus de </w:t>
      </w:r>
      <w:r w:rsidR="003B6CB0">
        <w:rPr>
          <w:lang w:val="fr-FR" w:eastAsia="en-GB"/>
        </w:rPr>
        <w:tab/>
      </w:r>
      <w:r w:rsidRPr="008B062D">
        <w:rPr>
          <w:lang w:val="fr-FR" w:eastAsia="en-GB"/>
        </w:rPr>
        <w:t>20 %</w:t>
      </w:r>
    </w:p>
    <w:p w:rsidR="001825DB" w:rsidRPr="008B062D" w:rsidRDefault="003B6CB0" w:rsidP="00F10C51">
      <w:pPr>
        <w:pStyle w:val="SingleTxtG"/>
        <w:tabs>
          <w:tab w:val="left" w:pos="2835"/>
          <w:tab w:val="right" w:pos="8505"/>
        </w:tabs>
        <w:ind w:left="2268"/>
        <w:rPr>
          <w:lang w:val="fr-FR" w:eastAsia="en-GB"/>
        </w:rPr>
      </w:pPr>
      <w:r>
        <w:rPr>
          <w:lang w:val="fr-FR" w:eastAsia="en-GB"/>
        </w:rPr>
        <w:tab/>
        <w:t xml:space="preserve">mais pas plus de </w:t>
      </w:r>
      <w:r>
        <w:rPr>
          <w:lang w:val="fr-FR" w:eastAsia="en-GB"/>
        </w:rPr>
        <w:tab/>
      </w:r>
      <w:r w:rsidR="001825DB" w:rsidRPr="008B062D">
        <w:rPr>
          <w:lang w:val="fr-FR" w:eastAsia="en-GB"/>
        </w:rPr>
        <w:t>30 %</w:t>
      </w:r>
    </w:p>
    <w:p w:rsidR="001825DB" w:rsidRPr="008B062D" w:rsidRDefault="001825DB" w:rsidP="00971BFE">
      <w:pPr>
        <w:pStyle w:val="SingleTxtG"/>
        <w:ind w:left="2268" w:hanging="1134"/>
        <w:rPr>
          <w:lang w:val="fr-FR" w:eastAsia="en-GB"/>
        </w:rPr>
      </w:pPr>
      <w:r w:rsidRPr="008B062D">
        <w:rPr>
          <w:lang w:val="fr-FR" w:eastAsia="en-GB"/>
        </w:rPr>
        <w:t>2.3</w:t>
      </w:r>
      <w:r w:rsidRPr="008B062D">
        <w:rPr>
          <w:lang w:val="fr-FR" w:eastAsia="en-GB"/>
        </w:rPr>
        <w:tab/>
        <w:t>Retrait de l</w:t>
      </w:r>
      <w:r w:rsidR="00971BFE">
        <w:rPr>
          <w:lang w:val="fr-FR" w:eastAsia="en-GB"/>
        </w:rPr>
        <w:t>’</w:t>
      </w:r>
      <w:r w:rsidRPr="008B062D">
        <w:rPr>
          <w:lang w:val="fr-FR" w:eastAsia="en-GB"/>
        </w:rPr>
        <w:t>homologation</w:t>
      </w:r>
    </w:p>
    <w:p w:rsidR="001825DB" w:rsidRPr="008B062D" w:rsidRDefault="001825DB" w:rsidP="006E5357">
      <w:pPr>
        <w:pStyle w:val="SingleTxtG"/>
        <w:ind w:left="2268"/>
        <w:rPr>
          <w:rFonts w:ascii="Courier New" w:eastAsia="Times New Roman" w:hAnsi="Courier New" w:cs="Courier New"/>
          <w:sz w:val="25"/>
          <w:szCs w:val="25"/>
          <w:lang w:val="fr-FR"/>
        </w:rPr>
      </w:pPr>
      <w:r w:rsidRPr="008B062D">
        <w:rPr>
          <w:lang w:val="fr-FR" w:eastAsia="en-GB"/>
        </w:rPr>
        <w:tab/>
      </w:r>
      <w:r w:rsidRPr="008B062D">
        <w:rPr>
          <w:rFonts w:eastAsia="Times New Roman"/>
          <w:lang w:val="fr-FR"/>
        </w:rPr>
        <w:t xml:space="preserve">La conformité est contestée et le paragraphe 11 du présent Règlement appliqué si, à </w:t>
      </w:r>
      <w:r w:rsidRPr="002F7592">
        <w:rPr>
          <w:rFonts w:eastAsia="Times New Roman"/>
          <w:lang w:val="fr-FR"/>
        </w:rPr>
        <w:t>l</w:t>
      </w:r>
      <w:r w:rsidR="00971BFE">
        <w:rPr>
          <w:rFonts w:eastAsia="Times New Roman"/>
          <w:lang w:val="fr-FR"/>
        </w:rPr>
        <w:t>’</w:t>
      </w:r>
      <w:r w:rsidRPr="002F7592">
        <w:rPr>
          <w:rFonts w:eastAsia="Times New Roman"/>
          <w:lang w:val="fr-FR"/>
        </w:rPr>
        <w:t>issue de la procédure de prélèv</w:t>
      </w:r>
      <w:r w:rsidRPr="008B062D">
        <w:rPr>
          <w:rFonts w:eastAsia="Times New Roman"/>
          <w:lang w:val="fr-FR"/>
        </w:rPr>
        <w:t xml:space="preserve">ement indiquée à la figure 1 de </w:t>
      </w:r>
      <w:r w:rsidRPr="002F7592">
        <w:rPr>
          <w:rFonts w:eastAsia="Times New Roman"/>
          <w:lang w:val="fr-FR"/>
        </w:rPr>
        <w:t>la</w:t>
      </w:r>
      <w:r w:rsidRPr="008B062D">
        <w:rPr>
          <w:rFonts w:eastAsia="Times New Roman"/>
          <w:lang w:val="fr-FR"/>
        </w:rPr>
        <w:t xml:space="preserve"> </w:t>
      </w:r>
      <w:r w:rsidRPr="002F7592">
        <w:rPr>
          <w:rFonts w:eastAsia="Times New Roman"/>
          <w:lang w:val="fr-FR"/>
        </w:rPr>
        <w:t>présente annexe, les écarts d</w:t>
      </w:r>
      <w:r w:rsidRPr="008B062D">
        <w:rPr>
          <w:rFonts w:eastAsia="Times New Roman"/>
          <w:lang w:val="fr-FR"/>
        </w:rPr>
        <w:t xml:space="preserve">es valeurs mesurées sur les </w:t>
      </w:r>
      <w:r w:rsidRPr="002F7592">
        <w:rPr>
          <w:rFonts w:eastAsia="Times New Roman"/>
          <w:lang w:val="fr-FR"/>
        </w:rPr>
        <w:t>triangles de</w:t>
      </w:r>
      <w:r w:rsidRPr="008B062D">
        <w:rPr>
          <w:rFonts w:eastAsia="Times New Roman"/>
          <w:lang w:val="fr-FR"/>
        </w:rPr>
        <w:t xml:space="preserve"> </w:t>
      </w:r>
      <w:r w:rsidRPr="002F7592">
        <w:rPr>
          <w:rFonts w:eastAsia="Times New Roman"/>
          <w:lang w:val="fr-FR"/>
        </w:rPr>
        <w:t>présignalisation sont les suivants</w:t>
      </w:r>
      <w:r w:rsidR="00971BFE">
        <w:rPr>
          <w:rFonts w:eastAsia="Times New Roman"/>
          <w:lang w:val="fr-FR"/>
        </w:rPr>
        <w:t>:</w:t>
      </w:r>
    </w:p>
    <w:p w:rsidR="001825DB" w:rsidRPr="008B062D" w:rsidRDefault="001825DB" w:rsidP="00971BFE">
      <w:pPr>
        <w:pStyle w:val="SingleTxtG"/>
        <w:ind w:left="2268" w:hanging="1134"/>
        <w:rPr>
          <w:lang w:val="fr-FR" w:eastAsia="en-GB"/>
        </w:rPr>
      </w:pPr>
      <w:r w:rsidRPr="008B062D">
        <w:rPr>
          <w:lang w:val="fr-FR" w:eastAsia="en-GB"/>
        </w:rPr>
        <w:t xml:space="preserve">2.3.1 </w:t>
      </w:r>
      <w:r w:rsidRPr="008B062D">
        <w:rPr>
          <w:lang w:val="fr-FR" w:eastAsia="en-GB"/>
        </w:rPr>
        <w:tab/>
      </w:r>
      <w:r w:rsidR="00936369">
        <w:rPr>
          <w:lang w:val="fr-FR" w:eastAsia="en-GB"/>
        </w:rPr>
        <w:t>É</w:t>
      </w:r>
      <w:r w:rsidRPr="008B062D">
        <w:rPr>
          <w:lang w:val="fr-FR" w:eastAsia="en-GB"/>
        </w:rPr>
        <w:t>chantillon A</w:t>
      </w:r>
    </w:p>
    <w:p w:rsidR="001825DB" w:rsidRPr="008B062D" w:rsidRDefault="001825DB" w:rsidP="00F10C51">
      <w:pPr>
        <w:pStyle w:val="SingleTxtG"/>
        <w:tabs>
          <w:tab w:val="left" w:pos="2835"/>
          <w:tab w:val="right" w:pos="8505"/>
        </w:tabs>
        <w:ind w:left="2268"/>
        <w:rPr>
          <w:lang w:val="fr-FR" w:eastAsia="en-GB"/>
        </w:rPr>
      </w:pPr>
      <w:r w:rsidRPr="008B062D">
        <w:rPr>
          <w:lang w:val="fr-FR" w:eastAsia="en-GB"/>
        </w:rPr>
        <w:t xml:space="preserve">A4: </w:t>
      </w:r>
      <w:r w:rsidRPr="008B062D">
        <w:rPr>
          <w:lang w:val="fr-FR" w:eastAsia="en-GB"/>
        </w:rPr>
        <w:tab/>
        <w:t xml:space="preserve">pour un triangle de </w:t>
      </w:r>
      <w:r w:rsidR="00936369">
        <w:rPr>
          <w:lang w:val="fr-FR" w:eastAsia="en-GB"/>
        </w:rPr>
        <w:t xml:space="preserve">présignalisation pas plus de </w:t>
      </w:r>
      <w:r w:rsidR="00936369">
        <w:rPr>
          <w:lang w:val="fr-FR" w:eastAsia="en-GB"/>
        </w:rPr>
        <w:tab/>
      </w:r>
      <w:r w:rsidRPr="008B062D">
        <w:rPr>
          <w:lang w:val="fr-FR" w:eastAsia="en-GB"/>
        </w:rPr>
        <w:t>20 %</w:t>
      </w:r>
    </w:p>
    <w:p w:rsidR="001825DB" w:rsidRPr="008B062D" w:rsidRDefault="001825DB" w:rsidP="00F10C51">
      <w:pPr>
        <w:pStyle w:val="SingleTxtG"/>
        <w:tabs>
          <w:tab w:val="left" w:pos="2835"/>
          <w:tab w:val="right" w:pos="8505"/>
        </w:tabs>
        <w:ind w:left="2268"/>
        <w:rPr>
          <w:lang w:val="fr-FR" w:eastAsia="en-GB"/>
        </w:rPr>
      </w:pPr>
      <w:r w:rsidRPr="008B062D">
        <w:rPr>
          <w:lang w:val="fr-FR" w:eastAsia="en-GB"/>
        </w:rPr>
        <w:tab/>
        <w:t>pour l</w:t>
      </w:r>
      <w:r w:rsidR="00971BFE">
        <w:rPr>
          <w:lang w:val="fr-FR" w:eastAsia="en-GB"/>
        </w:rPr>
        <w:t>’</w:t>
      </w:r>
      <w:r w:rsidRPr="008B062D">
        <w:rPr>
          <w:lang w:val="fr-FR" w:eastAsia="en-GB"/>
        </w:rPr>
        <w:t>autre triangle</w:t>
      </w:r>
      <w:r w:rsidR="00936369">
        <w:rPr>
          <w:lang w:val="fr-FR" w:eastAsia="en-GB"/>
        </w:rPr>
        <w:t xml:space="preserve"> de présignalisation plus de </w:t>
      </w:r>
      <w:r w:rsidR="00936369">
        <w:rPr>
          <w:lang w:val="fr-FR" w:eastAsia="en-GB"/>
        </w:rPr>
        <w:tab/>
      </w:r>
      <w:r w:rsidRPr="008B062D">
        <w:rPr>
          <w:lang w:val="fr-FR" w:eastAsia="en-GB"/>
        </w:rPr>
        <w:t>30 %</w:t>
      </w:r>
    </w:p>
    <w:p w:rsidR="001825DB" w:rsidRPr="008B062D" w:rsidRDefault="001825DB" w:rsidP="00F10C51">
      <w:pPr>
        <w:pStyle w:val="SingleTxtG"/>
        <w:tabs>
          <w:tab w:val="left" w:pos="2835"/>
          <w:tab w:val="right" w:pos="8505"/>
        </w:tabs>
        <w:ind w:left="2268"/>
        <w:rPr>
          <w:lang w:val="fr-FR" w:eastAsia="en-GB"/>
        </w:rPr>
      </w:pPr>
      <w:r w:rsidRPr="008B062D">
        <w:rPr>
          <w:lang w:val="fr-FR" w:eastAsia="en-GB"/>
        </w:rPr>
        <w:t xml:space="preserve">A5: </w:t>
      </w:r>
      <w:r w:rsidRPr="008B062D">
        <w:rPr>
          <w:lang w:val="fr-FR" w:eastAsia="en-GB"/>
        </w:rPr>
        <w:tab/>
        <w:t>pour les deux triangles</w:t>
      </w:r>
      <w:r w:rsidR="00936369">
        <w:rPr>
          <w:lang w:val="fr-FR" w:eastAsia="en-GB"/>
        </w:rPr>
        <w:t xml:space="preserve"> de présignalisation plus de </w:t>
      </w:r>
      <w:r w:rsidR="00936369">
        <w:rPr>
          <w:lang w:val="fr-FR" w:eastAsia="en-GB"/>
        </w:rPr>
        <w:tab/>
      </w:r>
      <w:r w:rsidRPr="008B062D">
        <w:rPr>
          <w:lang w:val="fr-FR" w:eastAsia="en-GB"/>
        </w:rPr>
        <w:t>20 %</w:t>
      </w:r>
    </w:p>
    <w:p w:rsidR="001825DB" w:rsidRPr="008B062D" w:rsidRDefault="001825DB" w:rsidP="00971BFE">
      <w:pPr>
        <w:pStyle w:val="SingleTxtG"/>
        <w:ind w:left="2268" w:hanging="1134"/>
        <w:rPr>
          <w:lang w:val="fr-FR" w:eastAsia="en-GB"/>
        </w:rPr>
      </w:pPr>
      <w:r w:rsidRPr="008B062D">
        <w:rPr>
          <w:lang w:val="fr-FR" w:eastAsia="en-GB"/>
        </w:rPr>
        <w:t>2.3.2</w:t>
      </w:r>
      <w:r w:rsidRPr="008B062D">
        <w:rPr>
          <w:lang w:val="fr-FR" w:eastAsia="en-GB"/>
        </w:rPr>
        <w:tab/>
      </w:r>
      <w:r w:rsidR="00520038">
        <w:rPr>
          <w:lang w:val="fr-FR" w:eastAsia="en-GB"/>
        </w:rPr>
        <w:t>É</w:t>
      </w:r>
      <w:r w:rsidRPr="008B062D">
        <w:rPr>
          <w:lang w:val="fr-FR" w:eastAsia="en-GB"/>
        </w:rPr>
        <w:t>chantillon B</w:t>
      </w:r>
    </w:p>
    <w:p w:rsidR="001825DB" w:rsidRPr="008B062D" w:rsidRDefault="001825DB" w:rsidP="001825DB">
      <w:pPr>
        <w:pStyle w:val="para"/>
        <w:tabs>
          <w:tab w:val="left" w:pos="2835"/>
          <w:tab w:val="left" w:pos="6804"/>
        </w:tabs>
        <w:ind w:firstLine="0"/>
        <w:rPr>
          <w:lang w:val="fr-FR" w:eastAsia="en-GB"/>
        </w:rPr>
      </w:pPr>
      <w:r w:rsidRPr="008B062D">
        <w:rPr>
          <w:lang w:val="fr-FR" w:eastAsia="en-GB"/>
        </w:rPr>
        <w:t>B4: dans le cas de A2</w:t>
      </w:r>
    </w:p>
    <w:p w:rsidR="001825DB" w:rsidRPr="008B062D" w:rsidRDefault="001825DB" w:rsidP="00F10C51">
      <w:pPr>
        <w:pStyle w:val="SingleTxtG"/>
        <w:tabs>
          <w:tab w:val="left" w:pos="2835"/>
          <w:tab w:val="right" w:pos="8505"/>
        </w:tabs>
        <w:ind w:left="2268"/>
        <w:rPr>
          <w:lang w:val="fr-FR" w:eastAsia="en-GB"/>
        </w:rPr>
      </w:pPr>
      <w:r w:rsidRPr="008B062D">
        <w:rPr>
          <w:lang w:val="fr-FR" w:eastAsia="en-GB"/>
        </w:rPr>
        <w:tab/>
        <w:t xml:space="preserve">pour un triangle </w:t>
      </w:r>
      <w:r w:rsidR="00936369">
        <w:rPr>
          <w:lang w:val="fr-FR" w:eastAsia="en-GB"/>
        </w:rPr>
        <w:t xml:space="preserve">de présignalisation plus de </w:t>
      </w:r>
      <w:r w:rsidR="00936369">
        <w:rPr>
          <w:lang w:val="fr-FR" w:eastAsia="en-GB"/>
        </w:rPr>
        <w:tab/>
      </w:r>
      <w:r w:rsidRPr="008B062D">
        <w:rPr>
          <w:lang w:val="fr-FR" w:eastAsia="en-GB"/>
        </w:rPr>
        <w:t>0 %</w:t>
      </w:r>
    </w:p>
    <w:p w:rsidR="001825DB" w:rsidRPr="008B062D" w:rsidRDefault="00936369" w:rsidP="00F10C51">
      <w:pPr>
        <w:pStyle w:val="SingleTxtG"/>
        <w:tabs>
          <w:tab w:val="left" w:pos="2835"/>
          <w:tab w:val="right" w:pos="8505"/>
        </w:tabs>
        <w:ind w:left="2268"/>
        <w:rPr>
          <w:lang w:val="fr-FR" w:eastAsia="en-GB"/>
        </w:rPr>
      </w:pPr>
      <w:r>
        <w:rPr>
          <w:lang w:val="fr-FR" w:eastAsia="en-GB"/>
        </w:rPr>
        <w:tab/>
        <w:t xml:space="preserve">mais pas plus de </w:t>
      </w:r>
      <w:r>
        <w:rPr>
          <w:lang w:val="fr-FR" w:eastAsia="en-GB"/>
        </w:rPr>
        <w:tab/>
      </w:r>
      <w:r w:rsidR="001825DB" w:rsidRPr="008B062D">
        <w:rPr>
          <w:lang w:val="fr-FR" w:eastAsia="en-GB"/>
        </w:rPr>
        <w:t>20 %</w:t>
      </w:r>
    </w:p>
    <w:p w:rsidR="001825DB" w:rsidRPr="008B062D" w:rsidRDefault="001825DB" w:rsidP="00F10C51">
      <w:pPr>
        <w:pStyle w:val="SingleTxtG"/>
        <w:tabs>
          <w:tab w:val="left" w:pos="2835"/>
          <w:tab w:val="right" w:pos="8505"/>
        </w:tabs>
        <w:ind w:left="2268"/>
        <w:rPr>
          <w:lang w:val="fr-FR" w:eastAsia="en-GB"/>
        </w:rPr>
      </w:pPr>
      <w:r w:rsidRPr="008B062D">
        <w:rPr>
          <w:lang w:val="fr-FR" w:eastAsia="en-GB"/>
        </w:rPr>
        <w:tab/>
        <w:t>pour l</w:t>
      </w:r>
      <w:r w:rsidR="00971BFE">
        <w:rPr>
          <w:lang w:val="fr-FR" w:eastAsia="en-GB"/>
        </w:rPr>
        <w:t>’</w:t>
      </w:r>
      <w:r w:rsidRPr="008B062D">
        <w:rPr>
          <w:lang w:val="fr-FR" w:eastAsia="en-GB"/>
        </w:rPr>
        <w:t>autre triangle</w:t>
      </w:r>
      <w:r w:rsidR="00936369">
        <w:rPr>
          <w:lang w:val="fr-FR" w:eastAsia="en-GB"/>
        </w:rPr>
        <w:t xml:space="preserve"> de présignalisation plus de </w:t>
      </w:r>
      <w:r w:rsidR="00936369">
        <w:rPr>
          <w:lang w:val="fr-FR" w:eastAsia="en-GB"/>
        </w:rPr>
        <w:tab/>
      </w:r>
      <w:r w:rsidRPr="008B062D">
        <w:rPr>
          <w:lang w:val="fr-FR" w:eastAsia="en-GB"/>
        </w:rPr>
        <w:t>20 %</w:t>
      </w:r>
    </w:p>
    <w:p w:rsidR="001825DB" w:rsidRPr="008B062D" w:rsidRDefault="001825DB" w:rsidP="001825DB">
      <w:pPr>
        <w:pStyle w:val="para"/>
        <w:tabs>
          <w:tab w:val="left" w:pos="2835"/>
          <w:tab w:val="left" w:pos="6804"/>
        </w:tabs>
        <w:ind w:firstLine="0"/>
        <w:rPr>
          <w:lang w:val="fr-FR" w:eastAsia="en-GB"/>
        </w:rPr>
      </w:pPr>
      <w:r w:rsidRPr="008B062D">
        <w:rPr>
          <w:lang w:val="fr-FR" w:eastAsia="en-GB"/>
        </w:rPr>
        <w:t xml:space="preserve">B5: </w:t>
      </w:r>
      <w:r w:rsidRPr="008B062D">
        <w:rPr>
          <w:lang w:val="fr-FR" w:eastAsia="en-GB"/>
        </w:rPr>
        <w:tab/>
        <w:t>dans le cas de A2</w:t>
      </w:r>
    </w:p>
    <w:p w:rsidR="001825DB" w:rsidRPr="008B062D" w:rsidRDefault="001825DB" w:rsidP="00F10C51">
      <w:pPr>
        <w:pStyle w:val="SingleTxtG"/>
        <w:tabs>
          <w:tab w:val="left" w:pos="2835"/>
          <w:tab w:val="right" w:pos="8505"/>
        </w:tabs>
        <w:ind w:left="2268"/>
        <w:rPr>
          <w:lang w:val="fr-FR" w:eastAsia="en-GB"/>
        </w:rPr>
      </w:pPr>
      <w:r w:rsidRPr="008B062D">
        <w:rPr>
          <w:lang w:val="fr-FR" w:eastAsia="en-GB"/>
        </w:rPr>
        <w:tab/>
        <w:t xml:space="preserve">pour les deux triangles de présignalisation plus de </w:t>
      </w:r>
      <w:r w:rsidRPr="008B062D">
        <w:rPr>
          <w:lang w:val="fr-FR" w:eastAsia="en-GB"/>
        </w:rPr>
        <w:tab/>
        <w:t>20 %</w:t>
      </w:r>
    </w:p>
    <w:p w:rsidR="001825DB" w:rsidRPr="008B062D" w:rsidRDefault="001825DB" w:rsidP="001825DB">
      <w:pPr>
        <w:pStyle w:val="para"/>
        <w:tabs>
          <w:tab w:val="left" w:pos="2835"/>
          <w:tab w:val="left" w:pos="6804"/>
        </w:tabs>
        <w:ind w:firstLine="0"/>
        <w:rPr>
          <w:lang w:val="fr-FR" w:eastAsia="en-GB"/>
        </w:rPr>
      </w:pPr>
      <w:r w:rsidRPr="008B062D">
        <w:rPr>
          <w:lang w:val="fr-FR" w:eastAsia="en-GB"/>
        </w:rPr>
        <w:t xml:space="preserve">B6: </w:t>
      </w:r>
      <w:r w:rsidRPr="008B062D">
        <w:rPr>
          <w:lang w:val="fr-FR" w:eastAsia="en-GB"/>
        </w:rPr>
        <w:tab/>
        <w:t>dans le cas de A2</w:t>
      </w:r>
    </w:p>
    <w:p w:rsidR="001825DB" w:rsidRPr="008B062D" w:rsidRDefault="001825DB" w:rsidP="00F10C51">
      <w:pPr>
        <w:pStyle w:val="SingleTxtG"/>
        <w:tabs>
          <w:tab w:val="left" w:pos="2835"/>
          <w:tab w:val="right" w:pos="8505"/>
        </w:tabs>
        <w:ind w:left="2268"/>
        <w:rPr>
          <w:lang w:val="fr-FR" w:eastAsia="en-GB"/>
        </w:rPr>
      </w:pPr>
      <w:r w:rsidRPr="008B062D">
        <w:rPr>
          <w:lang w:val="fr-FR" w:eastAsia="en-GB"/>
        </w:rPr>
        <w:tab/>
        <w:t>pour un triangle de prés</w:t>
      </w:r>
      <w:r w:rsidR="00936369">
        <w:rPr>
          <w:lang w:val="fr-FR" w:eastAsia="en-GB"/>
        </w:rPr>
        <w:t>ignalisation</w:t>
      </w:r>
      <w:r w:rsidR="00936369">
        <w:rPr>
          <w:lang w:val="fr-FR" w:eastAsia="en-GB"/>
        </w:rPr>
        <w:tab/>
      </w:r>
      <w:r w:rsidRPr="008B062D">
        <w:rPr>
          <w:lang w:val="fr-FR" w:eastAsia="en-GB"/>
        </w:rPr>
        <w:t>0 %</w:t>
      </w:r>
    </w:p>
    <w:p w:rsidR="001825DB" w:rsidRPr="008B062D" w:rsidRDefault="001825DB" w:rsidP="00F10C51">
      <w:pPr>
        <w:pStyle w:val="SingleTxtG"/>
        <w:tabs>
          <w:tab w:val="left" w:pos="2835"/>
          <w:tab w:val="right" w:pos="8505"/>
        </w:tabs>
        <w:ind w:left="2268"/>
        <w:rPr>
          <w:lang w:val="fr-FR" w:eastAsia="en-GB"/>
        </w:rPr>
      </w:pPr>
      <w:r w:rsidRPr="008B062D">
        <w:rPr>
          <w:lang w:val="fr-FR" w:eastAsia="en-GB"/>
        </w:rPr>
        <w:tab/>
        <w:t>pour l</w:t>
      </w:r>
      <w:r w:rsidR="00971BFE">
        <w:rPr>
          <w:lang w:val="fr-FR" w:eastAsia="en-GB"/>
        </w:rPr>
        <w:t>’</w:t>
      </w:r>
      <w:r w:rsidRPr="008B062D">
        <w:rPr>
          <w:lang w:val="fr-FR" w:eastAsia="en-GB"/>
        </w:rPr>
        <w:t>autre triangle</w:t>
      </w:r>
      <w:r w:rsidR="00936369">
        <w:rPr>
          <w:lang w:val="fr-FR" w:eastAsia="en-GB"/>
        </w:rPr>
        <w:t xml:space="preserve"> de présignalisation plus de </w:t>
      </w:r>
      <w:r w:rsidR="00936369">
        <w:rPr>
          <w:lang w:val="fr-FR" w:eastAsia="en-GB"/>
        </w:rPr>
        <w:tab/>
      </w:r>
      <w:r w:rsidRPr="008B062D">
        <w:rPr>
          <w:lang w:val="fr-FR" w:eastAsia="en-GB"/>
        </w:rPr>
        <w:t>30 %</w:t>
      </w:r>
    </w:p>
    <w:p w:rsidR="001825DB" w:rsidRPr="008B062D" w:rsidRDefault="00520038" w:rsidP="00520038">
      <w:pPr>
        <w:pStyle w:val="SingleTxtG"/>
        <w:keepNext/>
        <w:ind w:left="2268" w:hanging="1134"/>
        <w:jc w:val="left"/>
        <w:rPr>
          <w:lang w:val="fr-FR" w:eastAsia="en-GB"/>
        </w:rPr>
      </w:pPr>
      <w:r>
        <w:rPr>
          <w:lang w:val="fr-FR" w:eastAsia="en-GB"/>
        </w:rPr>
        <w:t>3.</w:t>
      </w:r>
      <w:r w:rsidR="001825DB" w:rsidRPr="008B062D">
        <w:rPr>
          <w:lang w:val="fr-FR" w:eastAsia="en-GB"/>
        </w:rPr>
        <w:tab/>
        <w:t>Second prélèvement</w:t>
      </w:r>
    </w:p>
    <w:p w:rsidR="001825DB" w:rsidRPr="008B062D" w:rsidRDefault="001825DB" w:rsidP="006E5357">
      <w:pPr>
        <w:pStyle w:val="SingleTxtG"/>
        <w:ind w:left="2268"/>
        <w:rPr>
          <w:rFonts w:eastAsia="Times New Roman"/>
          <w:lang w:val="fr-FR"/>
        </w:rPr>
      </w:pPr>
      <w:r w:rsidRPr="008B062D">
        <w:rPr>
          <w:lang w:val="fr-FR" w:eastAsia="en-GB"/>
        </w:rPr>
        <w:tab/>
      </w:r>
      <w:r w:rsidRPr="008B062D">
        <w:rPr>
          <w:rFonts w:eastAsia="Times New Roman"/>
          <w:lang w:val="fr-FR"/>
        </w:rPr>
        <w:t xml:space="preserve">Dans le cas des échantillons A3, B2 et B3, il faut procéder à un </w:t>
      </w:r>
      <w:r w:rsidRPr="00745971">
        <w:rPr>
          <w:rFonts w:eastAsia="Times New Roman"/>
          <w:lang w:val="fr-FR"/>
        </w:rPr>
        <w:t>nouveau prélèvement en choisissant un troisième échantillon C</w:t>
      </w:r>
      <w:r w:rsidRPr="008B062D">
        <w:rPr>
          <w:rFonts w:eastAsia="Times New Roman"/>
          <w:lang w:val="fr-FR"/>
        </w:rPr>
        <w:t xml:space="preserve"> compose </w:t>
      </w:r>
      <w:r w:rsidRPr="00745971">
        <w:rPr>
          <w:rFonts w:eastAsia="Times New Roman"/>
          <w:lang w:val="fr-FR"/>
        </w:rPr>
        <w:t>de deux triangles de pr</w:t>
      </w:r>
      <w:r w:rsidRPr="008B062D">
        <w:rPr>
          <w:rFonts w:eastAsia="Times New Roman"/>
          <w:lang w:val="fr-FR"/>
        </w:rPr>
        <w:t xml:space="preserve">ésignalisation, et un quatrième </w:t>
      </w:r>
      <w:r w:rsidRPr="00745971">
        <w:rPr>
          <w:rFonts w:eastAsia="Times New Roman"/>
          <w:lang w:val="fr-FR"/>
        </w:rPr>
        <w:t>échantillon D</w:t>
      </w:r>
      <w:r w:rsidRPr="008B062D">
        <w:rPr>
          <w:rFonts w:eastAsia="Times New Roman"/>
          <w:lang w:val="fr-FR"/>
        </w:rPr>
        <w:t xml:space="preserve"> </w:t>
      </w:r>
      <w:r w:rsidRPr="00745971">
        <w:rPr>
          <w:rFonts w:eastAsia="Times New Roman"/>
          <w:lang w:val="fr-FR"/>
        </w:rPr>
        <w:t>composé de deux triangles de pré</w:t>
      </w:r>
      <w:r w:rsidRPr="008B062D">
        <w:rPr>
          <w:rFonts w:eastAsia="Times New Roman"/>
          <w:lang w:val="fr-FR"/>
        </w:rPr>
        <w:t xml:space="preserve">signalisation, choisis parmi le </w:t>
      </w:r>
      <w:r w:rsidRPr="00745971">
        <w:rPr>
          <w:rFonts w:eastAsia="Times New Roman"/>
          <w:lang w:val="fr-FR"/>
        </w:rPr>
        <w:t>stock</w:t>
      </w:r>
      <w:r w:rsidRPr="008B062D">
        <w:rPr>
          <w:rFonts w:eastAsia="Times New Roman"/>
          <w:lang w:val="fr-FR"/>
        </w:rPr>
        <w:t xml:space="preserve"> </w:t>
      </w:r>
      <w:r w:rsidRPr="00745971">
        <w:rPr>
          <w:rFonts w:eastAsia="Times New Roman"/>
          <w:lang w:val="fr-FR"/>
        </w:rPr>
        <w:t>produit après mise en conformité,</w:t>
      </w:r>
      <w:r w:rsidRPr="008B062D">
        <w:rPr>
          <w:rFonts w:eastAsia="Times New Roman"/>
          <w:lang w:val="fr-FR"/>
        </w:rPr>
        <w:t xml:space="preserve"> dans les deux mois qui suivent </w:t>
      </w:r>
      <w:r w:rsidRPr="00745971">
        <w:rPr>
          <w:rFonts w:eastAsia="Times New Roman"/>
          <w:lang w:val="fr-FR"/>
        </w:rPr>
        <w:t>la</w:t>
      </w:r>
      <w:r w:rsidRPr="008B062D">
        <w:rPr>
          <w:rFonts w:eastAsia="Times New Roman"/>
          <w:lang w:val="fr-FR"/>
        </w:rPr>
        <w:t xml:space="preserve"> </w:t>
      </w:r>
      <w:r w:rsidRPr="00745971">
        <w:rPr>
          <w:rFonts w:eastAsia="Times New Roman"/>
          <w:lang w:val="fr-FR"/>
        </w:rPr>
        <w:t>notification.</w:t>
      </w:r>
    </w:p>
    <w:p w:rsidR="001825DB" w:rsidRPr="008B062D" w:rsidRDefault="00030ED7" w:rsidP="00971BFE">
      <w:pPr>
        <w:pStyle w:val="SingleTxtG"/>
        <w:ind w:left="2268" w:hanging="1134"/>
        <w:rPr>
          <w:lang w:val="fr-FR" w:eastAsia="en-GB"/>
        </w:rPr>
      </w:pPr>
      <w:r>
        <w:rPr>
          <w:lang w:val="fr-FR" w:eastAsia="en-GB"/>
        </w:rPr>
        <w:t>3.1</w:t>
      </w:r>
      <w:r w:rsidR="001825DB" w:rsidRPr="008B062D">
        <w:rPr>
          <w:lang w:val="fr-FR" w:eastAsia="en-GB"/>
        </w:rPr>
        <w:tab/>
        <w:t>La conformité n</w:t>
      </w:r>
      <w:r w:rsidR="00971BFE">
        <w:rPr>
          <w:lang w:val="fr-FR" w:eastAsia="en-GB"/>
        </w:rPr>
        <w:t>’</w:t>
      </w:r>
      <w:r w:rsidR="001825DB" w:rsidRPr="008B062D">
        <w:rPr>
          <w:lang w:val="fr-FR" w:eastAsia="en-GB"/>
        </w:rPr>
        <w:t>est pas contestée.</w:t>
      </w:r>
    </w:p>
    <w:p w:rsidR="001825DB" w:rsidRPr="00971BFE" w:rsidRDefault="001825DB" w:rsidP="00971BFE">
      <w:pPr>
        <w:pStyle w:val="SingleTxtG"/>
        <w:ind w:left="2268" w:hanging="1134"/>
        <w:rPr>
          <w:lang w:val="fr-FR" w:eastAsia="en-GB"/>
        </w:rPr>
      </w:pPr>
      <w:r w:rsidRPr="00971BFE">
        <w:rPr>
          <w:lang w:val="fr-FR" w:eastAsia="en-GB"/>
        </w:rPr>
        <w:t>3.1.1</w:t>
      </w:r>
      <w:r w:rsidRPr="008B062D">
        <w:rPr>
          <w:lang w:val="fr-FR" w:eastAsia="en-GB"/>
        </w:rPr>
        <w:tab/>
      </w:r>
      <w:r w:rsidR="00030ED7">
        <w:rPr>
          <w:lang w:val="fr-FR" w:eastAsia="en-GB"/>
        </w:rPr>
        <w:t>À</w:t>
      </w:r>
      <w:r w:rsidRPr="00971BFE">
        <w:rPr>
          <w:lang w:val="fr-FR" w:eastAsia="en-GB"/>
        </w:rPr>
        <w:t xml:space="preserve"> l</w:t>
      </w:r>
      <w:r w:rsidR="00971BFE">
        <w:rPr>
          <w:lang w:val="fr-FR" w:eastAsia="en-GB"/>
        </w:rPr>
        <w:t>’</w:t>
      </w:r>
      <w:r w:rsidRPr="00971BFE">
        <w:rPr>
          <w:lang w:val="fr-FR" w:eastAsia="en-GB"/>
        </w:rPr>
        <w:t>issue de la procédure de prélèvement indiquée à la figure 1 de la présente annexe, la conformité des triangles de présignalisation de série n</w:t>
      </w:r>
      <w:r w:rsidR="00971BFE">
        <w:rPr>
          <w:lang w:val="fr-FR" w:eastAsia="en-GB"/>
        </w:rPr>
        <w:t>’</w:t>
      </w:r>
      <w:r w:rsidRPr="00971BFE">
        <w:rPr>
          <w:lang w:val="fr-FR" w:eastAsia="en-GB"/>
        </w:rPr>
        <w:t>est pas contestée si les écarts des valeurs mesurées sur les triangles de présignalisation sont les suivants:</w:t>
      </w:r>
    </w:p>
    <w:p w:rsidR="001825DB" w:rsidRPr="008B062D" w:rsidRDefault="001825DB" w:rsidP="00231403">
      <w:pPr>
        <w:pStyle w:val="SingleTxtG"/>
        <w:keepNext/>
        <w:ind w:left="2268" w:hanging="1134"/>
        <w:jc w:val="left"/>
        <w:rPr>
          <w:lang w:val="fr-FR" w:eastAsia="en-GB"/>
        </w:rPr>
      </w:pPr>
      <w:r w:rsidRPr="008B062D">
        <w:rPr>
          <w:lang w:val="fr-FR" w:eastAsia="en-GB"/>
        </w:rPr>
        <w:t>3.1.1.</w:t>
      </w:r>
      <w:r w:rsidR="00030ED7">
        <w:rPr>
          <w:lang w:val="fr-FR" w:eastAsia="en-GB"/>
        </w:rPr>
        <w:t>1</w:t>
      </w:r>
      <w:r w:rsidRPr="008B062D">
        <w:rPr>
          <w:lang w:val="fr-FR" w:eastAsia="en-GB"/>
        </w:rPr>
        <w:tab/>
      </w:r>
      <w:r w:rsidR="00030ED7">
        <w:rPr>
          <w:lang w:val="fr-FR" w:eastAsia="en-GB"/>
        </w:rPr>
        <w:t>É</w:t>
      </w:r>
      <w:r w:rsidRPr="008B062D">
        <w:rPr>
          <w:lang w:val="fr-FR" w:eastAsia="en-GB"/>
        </w:rPr>
        <w:t>chantillon C</w:t>
      </w:r>
    </w:p>
    <w:p w:rsidR="001825DB" w:rsidRPr="008B062D" w:rsidRDefault="001825DB" w:rsidP="00F10C51">
      <w:pPr>
        <w:pStyle w:val="SingleTxtG"/>
        <w:tabs>
          <w:tab w:val="left" w:pos="2835"/>
          <w:tab w:val="right" w:pos="8505"/>
        </w:tabs>
        <w:ind w:left="2268"/>
        <w:rPr>
          <w:lang w:val="fr-FR" w:eastAsia="en-GB"/>
        </w:rPr>
      </w:pPr>
      <w:r w:rsidRPr="008B062D">
        <w:rPr>
          <w:lang w:val="fr-FR" w:eastAsia="en-GB"/>
        </w:rPr>
        <w:t xml:space="preserve">C1: </w:t>
      </w:r>
      <w:r w:rsidRPr="008B062D">
        <w:rPr>
          <w:lang w:val="fr-FR" w:eastAsia="en-GB"/>
        </w:rPr>
        <w:tab/>
        <w:t xml:space="preserve">pour un </w:t>
      </w:r>
      <w:r w:rsidR="00030ED7">
        <w:rPr>
          <w:lang w:val="fr-FR" w:eastAsia="en-GB"/>
        </w:rPr>
        <w:t>triangle de présignalisation</w:t>
      </w:r>
      <w:r w:rsidR="00030ED7">
        <w:rPr>
          <w:lang w:val="fr-FR" w:eastAsia="en-GB"/>
        </w:rPr>
        <w:tab/>
      </w:r>
      <w:r w:rsidRPr="008B062D">
        <w:rPr>
          <w:lang w:val="fr-FR" w:eastAsia="en-GB"/>
        </w:rPr>
        <w:t>0 %</w:t>
      </w:r>
    </w:p>
    <w:p w:rsidR="001825DB" w:rsidRPr="008B062D" w:rsidRDefault="001825DB" w:rsidP="00F10C51">
      <w:pPr>
        <w:pStyle w:val="SingleTxtG"/>
        <w:tabs>
          <w:tab w:val="left" w:pos="2835"/>
          <w:tab w:val="right" w:pos="8505"/>
        </w:tabs>
        <w:ind w:left="2268"/>
        <w:rPr>
          <w:lang w:val="fr-FR" w:eastAsia="en-GB"/>
        </w:rPr>
      </w:pPr>
      <w:r w:rsidRPr="008B062D">
        <w:rPr>
          <w:lang w:val="fr-FR" w:eastAsia="en-GB"/>
        </w:rPr>
        <w:tab/>
        <w:t>pour l</w:t>
      </w:r>
      <w:r w:rsidR="00971BFE">
        <w:rPr>
          <w:lang w:val="fr-FR" w:eastAsia="en-GB"/>
        </w:rPr>
        <w:t>’</w:t>
      </w:r>
      <w:r w:rsidRPr="008B062D">
        <w:rPr>
          <w:lang w:val="fr-FR" w:eastAsia="en-GB"/>
        </w:rPr>
        <w:t xml:space="preserve">autre triangle de présignalisation pas plus de </w:t>
      </w:r>
      <w:r w:rsidRPr="008B062D">
        <w:rPr>
          <w:lang w:val="fr-FR" w:eastAsia="en-GB"/>
        </w:rPr>
        <w:tab/>
        <w:t>20 %</w:t>
      </w:r>
    </w:p>
    <w:p w:rsidR="001825DB" w:rsidRPr="008B062D" w:rsidRDefault="001825DB" w:rsidP="00F10C51">
      <w:pPr>
        <w:pStyle w:val="SingleTxtG"/>
        <w:tabs>
          <w:tab w:val="left" w:pos="2835"/>
          <w:tab w:val="right" w:pos="8505"/>
        </w:tabs>
        <w:ind w:left="2268"/>
        <w:rPr>
          <w:lang w:val="fr-FR" w:eastAsia="en-GB"/>
        </w:rPr>
      </w:pPr>
      <w:r w:rsidRPr="008B062D">
        <w:rPr>
          <w:lang w:val="fr-FR" w:eastAsia="en-GB"/>
        </w:rPr>
        <w:t xml:space="preserve">C2: </w:t>
      </w:r>
      <w:r w:rsidRPr="008B062D">
        <w:rPr>
          <w:lang w:val="fr-FR" w:eastAsia="en-GB"/>
        </w:rPr>
        <w:tab/>
        <w:t>pour les deux triangle</w:t>
      </w:r>
      <w:r w:rsidR="00030ED7">
        <w:rPr>
          <w:lang w:val="fr-FR" w:eastAsia="en-GB"/>
        </w:rPr>
        <w:t>s de présignalisation plus de</w:t>
      </w:r>
      <w:r w:rsidR="00030ED7">
        <w:rPr>
          <w:lang w:val="fr-FR" w:eastAsia="en-GB"/>
        </w:rPr>
        <w:tab/>
      </w:r>
      <w:r w:rsidRPr="008B062D">
        <w:rPr>
          <w:lang w:val="fr-FR" w:eastAsia="en-GB"/>
        </w:rPr>
        <w:t>0 %</w:t>
      </w:r>
    </w:p>
    <w:p w:rsidR="001825DB" w:rsidRPr="008B062D" w:rsidRDefault="00030ED7" w:rsidP="00F10C51">
      <w:pPr>
        <w:pStyle w:val="SingleTxtG"/>
        <w:tabs>
          <w:tab w:val="left" w:pos="2835"/>
          <w:tab w:val="right" w:pos="8505"/>
        </w:tabs>
        <w:ind w:left="2268"/>
        <w:rPr>
          <w:lang w:val="fr-FR" w:eastAsia="en-GB"/>
        </w:rPr>
      </w:pPr>
      <w:r>
        <w:rPr>
          <w:lang w:val="fr-FR" w:eastAsia="en-GB"/>
        </w:rPr>
        <w:tab/>
        <w:t xml:space="preserve">mais pas plus de </w:t>
      </w:r>
      <w:r>
        <w:rPr>
          <w:lang w:val="fr-FR" w:eastAsia="en-GB"/>
        </w:rPr>
        <w:tab/>
      </w:r>
      <w:r w:rsidR="001825DB" w:rsidRPr="008B062D">
        <w:rPr>
          <w:lang w:val="fr-FR" w:eastAsia="en-GB"/>
        </w:rPr>
        <w:t>20 %</w:t>
      </w:r>
    </w:p>
    <w:p w:rsidR="001825DB" w:rsidRPr="008B062D" w:rsidRDefault="001825DB" w:rsidP="005D7772">
      <w:pPr>
        <w:pStyle w:val="SingleTxtG"/>
        <w:ind w:left="2268"/>
        <w:rPr>
          <w:lang w:val="fr-FR" w:eastAsia="en-GB"/>
        </w:rPr>
      </w:pPr>
      <w:r w:rsidRPr="008B062D">
        <w:rPr>
          <w:lang w:val="fr-FR" w:eastAsia="en-GB"/>
        </w:rPr>
        <w:tab/>
      </w:r>
      <w:r w:rsidR="00EA5C20">
        <w:rPr>
          <w:lang w:val="fr-FR" w:eastAsia="en-GB"/>
        </w:rPr>
        <w:tab/>
      </w:r>
      <w:r w:rsidRPr="008B062D">
        <w:rPr>
          <w:lang w:val="fr-FR" w:eastAsia="en-GB"/>
        </w:rPr>
        <w:t>passer à l</w:t>
      </w:r>
      <w:r w:rsidR="00971BFE">
        <w:rPr>
          <w:lang w:val="fr-FR" w:eastAsia="en-GB"/>
        </w:rPr>
        <w:t>’</w:t>
      </w:r>
      <w:r w:rsidRPr="008B062D">
        <w:rPr>
          <w:lang w:val="fr-FR" w:eastAsia="en-GB"/>
        </w:rPr>
        <w:t>échantillon D</w:t>
      </w:r>
    </w:p>
    <w:p w:rsidR="001825DB" w:rsidRPr="008B062D" w:rsidRDefault="001825DB" w:rsidP="00231403">
      <w:pPr>
        <w:pStyle w:val="SingleTxtG"/>
        <w:keepNext/>
        <w:ind w:left="2268" w:hanging="1134"/>
        <w:jc w:val="left"/>
        <w:rPr>
          <w:lang w:val="fr-FR" w:eastAsia="en-GB"/>
        </w:rPr>
      </w:pPr>
      <w:r w:rsidRPr="008B062D">
        <w:rPr>
          <w:lang w:val="fr-FR" w:eastAsia="en-GB"/>
        </w:rPr>
        <w:t xml:space="preserve">3.1.1.2 </w:t>
      </w:r>
      <w:r w:rsidRPr="008B062D">
        <w:rPr>
          <w:lang w:val="fr-FR" w:eastAsia="en-GB"/>
        </w:rPr>
        <w:tab/>
      </w:r>
      <w:r w:rsidR="00EA5C20">
        <w:rPr>
          <w:lang w:val="fr-FR" w:eastAsia="en-GB"/>
        </w:rPr>
        <w:t>É</w:t>
      </w:r>
      <w:r w:rsidRPr="008B062D">
        <w:rPr>
          <w:lang w:val="fr-FR" w:eastAsia="en-GB"/>
        </w:rPr>
        <w:t>chantillon D</w:t>
      </w:r>
    </w:p>
    <w:p w:rsidR="001825DB" w:rsidRPr="008B062D" w:rsidRDefault="001825DB" w:rsidP="005D7772">
      <w:pPr>
        <w:pStyle w:val="SingleTxtG"/>
        <w:ind w:left="2268"/>
        <w:rPr>
          <w:lang w:val="fr-FR" w:eastAsia="en-GB"/>
        </w:rPr>
      </w:pPr>
      <w:r w:rsidRPr="008B062D">
        <w:rPr>
          <w:lang w:val="fr-FR" w:eastAsia="en-GB"/>
        </w:rPr>
        <w:t xml:space="preserve">D1: </w:t>
      </w:r>
      <w:r w:rsidRPr="008B062D">
        <w:rPr>
          <w:lang w:val="fr-FR" w:eastAsia="en-GB"/>
        </w:rPr>
        <w:tab/>
        <w:t>dans le cas de C2</w:t>
      </w:r>
    </w:p>
    <w:p w:rsidR="001825DB" w:rsidRPr="008B062D" w:rsidRDefault="001825DB" w:rsidP="00F10C51">
      <w:pPr>
        <w:pStyle w:val="SingleTxtG"/>
        <w:tabs>
          <w:tab w:val="left" w:pos="2835"/>
          <w:tab w:val="right" w:pos="8505"/>
        </w:tabs>
        <w:ind w:left="2268"/>
        <w:rPr>
          <w:lang w:val="fr-FR" w:eastAsia="en-GB"/>
        </w:rPr>
      </w:pPr>
      <w:r w:rsidRPr="008B062D">
        <w:rPr>
          <w:lang w:val="fr-FR" w:eastAsia="en-GB"/>
        </w:rPr>
        <w:tab/>
        <w:t>pour les deux t</w:t>
      </w:r>
      <w:r w:rsidR="00AF3144">
        <w:rPr>
          <w:lang w:val="fr-FR" w:eastAsia="en-GB"/>
        </w:rPr>
        <w:t>riangles de présignalisation</w:t>
      </w:r>
      <w:r w:rsidR="00AF3144">
        <w:rPr>
          <w:lang w:val="fr-FR" w:eastAsia="en-GB"/>
        </w:rPr>
        <w:tab/>
      </w:r>
      <w:r w:rsidRPr="008B062D">
        <w:rPr>
          <w:lang w:val="fr-FR" w:eastAsia="en-GB"/>
        </w:rPr>
        <w:t>0 %</w:t>
      </w:r>
    </w:p>
    <w:p w:rsidR="001825DB" w:rsidRPr="008B062D" w:rsidRDefault="001825DB" w:rsidP="00971BFE">
      <w:pPr>
        <w:pStyle w:val="SingleTxtG"/>
        <w:ind w:left="2268" w:hanging="1134"/>
        <w:rPr>
          <w:lang w:val="fr-FR" w:eastAsia="en-GB"/>
        </w:rPr>
      </w:pPr>
      <w:r w:rsidRPr="008B062D">
        <w:rPr>
          <w:lang w:val="fr-FR" w:eastAsia="en-GB"/>
        </w:rPr>
        <w:t xml:space="preserve">3.2 </w:t>
      </w:r>
      <w:r w:rsidRPr="008B062D">
        <w:rPr>
          <w:lang w:val="fr-FR" w:eastAsia="en-GB"/>
        </w:rPr>
        <w:tab/>
        <w:t>La conformité est contestée.</w:t>
      </w:r>
    </w:p>
    <w:p w:rsidR="001825DB" w:rsidRPr="00971BFE" w:rsidRDefault="001825DB" w:rsidP="00971BFE">
      <w:pPr>
        <w:pStyle w:val="SingleTxtG"/>
        <w:ind w:left="2268" w:hanging="1134"/>
        <w:rPr>
          <w:lang w:val="fr-FR" w:eastAsia="en-GB"/>
        </w:rPr>
      </w:pPr>
      <w:r w:rsidRPr="008B062D">
        <w:rPr>
          <w:lang w:val="fr-FR" w:eastAsia="en-GB"/>
        </w:rPr>
        <w:t xml:space="preserve">3.2.1 </w:t>
      </w:r>
      <w:r w:rsidRPr="008B062D">
        <w:rPr>
          <w:lang w:val="fr-FR" w:eastAsia="en-GB"/>
        </w:rPr>
        <w:tab/>
      </w:r>
      <w:r w:rsidR="00EA5C20">
        <w:rPr>
          <w:lang w:val="fr-FR" w:eastAsia="en-GB"/>
        </w:rPr>
        <w:t>ä</w:t>
      </w:r>
      <w:r w:rsidRPr="00971BFE">
        <w:rPr>
          <w:lang w:val="fr-FR" w:eastAsia="en-GB"/>
        </w:rPr>
        <w:t xml:space="preserve"> l</w:t>
      </w:r>
      <w:r w:rsidR="00971BFE">
        <w:rPr>
          <w:lang w:val="fr-FR" w:eastAsia="en-GB"/>
        </w:rPr>
        <w:t>’</w:t>
      </w:r>
      <w:r w:rsidRPr="00971BFE">
        <w:rPr>
          <w:lang w:val="fr-FR" w:eastAsia="en-GB"/>
        </w:rPr>
        <w:t>issue de la procédure de prélèvement indiquée à la figure 1 de la présente annexe, la conformité des triangles de présignalisation de série est contestée et le fabricant est prié de mettre sa production en conformité, si les écarts des valeurs mesurées sur les triangles de présignalisation sont les suivants:</w:t>
      </w:r>
    </w:p>
    <w:p w:rsidR="001825DB" w:rsidRPr="008B062D" w:rsidRDefault="001825DB" w:rsidP="00231403">
      <w:pPr>
        <w:pStyle w:val="SingleTxtG"/>
        <w:keepNext/>
        <w:ind w:left="2268" w:hanging="1134"/>
        <w:jc w:val="left"/>
        <w:rPr>
          <w:lang w:val="fr-FR" w:eastAsia="en-GB"/>
        </w:rPr>
      </w:pPr>
      <w:r w:rsidRPr="008B062D">
        <w:rPr>
          <w:lang w:val="fr-FR" w:eastAsia="en-GB"/>
        </w:rPr>
        <w:t xml:space="preserve">3.2.1.1 </w:t>
      </w:r>
      <w:r w:rsidRPr="008B062D">
        <w:rPr>
          <w:lang w:val="fr-FR" w:eastAsia="en-GB"/>
        </w:rPr>
        <w:tab/>
      </w:r>
      <w:r w:rsidR="00EA5C20">
        <w:rPr>
          <w:lang w:val="fr-FR" w:eastAsia="en-GB"/>
        </w:rPr>
        <w:t>É</w:t>
      </w:r>
      <w:r w:rsidRPr="008B062D">
        <w:rPr>
          <w:lang w:val="fr-FR" w:eastAsia="en-GB"/>
        </w:rPr>
        <w:t>chantillon D</w:t>
      </w:r>
    </w:p>
    <w:p w:rsidR="001825DB" w:rsidRPr="008B062D" w:rsidRDefault="001825DB" w:rsidP="001825DB">
      <w:pPr>
        <w:pStyle w:val="para"/>
        <w:tabs>
          <w:tab w:val="left" w:pos="2835"/>
          <w:tab w:val="left" w:pos="6804"/>
        </w:tabs>
        <w:ind w:firstLine="0"/>
        <w:rPr>
          <w:lang w:val="fr-FR" w:eastAsia="en-GB"/>
        </w:rPr>
      </w:pPr>
      <w:r w:rsidRPr="008B062D">
        <w:rPr>
          <w:lang w:val="fr-FR" w:eastAsia="en-GB"/>
        </w:rPr>
        <w:t xml:space="preserve">D2: </w:t>
      </w:r>
      <w:r w:rsidRPr="008B062D">
        <w:rPr>
          <w:lang w:val="fr-FR" w:eastAsia="en-GB"/>
        </w:rPr>
        <w:tab/>
        <w:t>dans le cas de C2</w:t>
      </w:r>
    </w:p>
    <w:p w:rsidR="001825DB" w:rsidRPr="008B062D" w:rsidRDefault="001825DB" w:rsidP="00F10C51">
      <w:pPr>
        <w:pStyle w:val="SingleTxtG"/>
        <w:tabs>
          <w:tab w:val="left" w:pos="2835"/>
          <w:tab w:val="right" w:pos="8505"/>
        </w:tabs>
        <w:ind w:left="2268"/>
        <w:rPr>
          <w:lang w:val="fr-FR" w:eastAsia="en-GB"/>
        </w:rPr>
      </w:pPr>
      <w:r w:rsidRPr="008B062D">
        <w:rPr>
          <w:lang w:val="fr-FR" w:eastAsia="en-GB"/>
        </w:rPr>
        <w:tab/>
        <w:t>pour un triangle</w:t>
      </w:r>
      <w:r w:rsidR="00AF3144">
        <w:rPr>
          <w:lang w:val="fr-FR" w:eastAsia="en-GB"/>
        </w:rPr>
        <w:t xml:space="preserve"> de présignalisation plus de</w:t>
      </w:r>
      <w:r w:rsidR="00AF3144">
        <w:rPr>
          <w:lang w:val="fr-FR" w:eastAsia="en-GB"/>
        </w:rPr>
        <w:tab/>
      </w:r>
      <w:r w:rsidRPr="008B062D">
        <w:rPr>
          <w:lang w:val="fr-FR" w:eastAsia="en-GB"/>
        </w:rPr>
        <w:t>0 %</w:t>
      </w:r>
    </w:p>
    <w:p w:rsidR="001825DB" w:rsidRPr="008B062D" w:rsidRDefault="00AF3144" w:rsidP="00F10C51">
      <w:pPr>
        <w:pStyle w:val="SingleTxtG"/>
        <w:tabs>
          <w:tab w:val="left" w:pos="2835"/>
          <w:tab w:val="right" w:pos="8505"/>
        </w:tabs>
        <w:ind w:left="2268"/>
        <w:rPr>
          <w:lang w:val="fr-FR" w:eastAsia="en-GB"/>
        </w:rPr>
      </w:pPr>
      <w:r>
        <w:rPr>
          <w:lang w:val="fr-FR" w:eastAsia="en-GB"/>
        </w:rPr>
        <w:tab/>
        <w:t>mais pas plus de</w:t>
      </w:r>
      <w:r w:rsidR="00D6396B">
        <w:rPr>
          <w:lang w:val="fr-FR" w:eastAsia="en-GB"/>
        </w:rPr>
        <w:t xml:space="preserve"> </w:t>
      </w:r>
      <w:r>
        <w:rPr>
          <w:lang w:val="fr-FR" w:eastAsia="en-GB"/>
        </w:rPr>
        <w:tab/>
      </w:r>
      <w:r w:rsidR="001825DB" w:rsidRPr="008B062D">
        <w:rPr>
          <w:lang w:val="fr-FR" w:eastAsia="en-GB"/>
        </w:rPr>
        <w:t>20 %</w:t>
      </w:r>
    </w:p>
    <w:p w:rsidR="001825DB" w:rsidRPr="008B062D" w:rsidRDefault="001825DB" w:rsidP="00F10C51">
      <w:pPr>
        <w:pStyle w:val="SingleTxtG"/>
        <w:tabs>
          <w:tab w:val="left" w:pos="2835"/>
          <w:tab w:val="right" w:pos="8505"/>
        </w:tabs>
        <w:ind w:left="2268"/>
        <w:rPr>
          <w:lang w:val="fr-FR" w:eastAsia="en-GB"/>
        </w:rPr>
      </w:pPr>
      <w:r w:rsidRPr="008B062D">
        <w:rPr>
          <w:lang w:val="fr-FR" w:eastAsia="en-GB"/>
        </w:rPr>
        <w:tab/>
        <w:t>pour l</w:t>
      </w:r>
      <w:r w:rsidR="00971BFE">
        <w:rPr>
          <w:lang w:val="fr-FR" w:eastAsia="en-GB"/>
        </w:rPr>
        <w:t>’</w:t>
      </w:r>
      <w:r w:rsidRPr="008B062D">
        <w:rPr>
          <w:lang w:val="fr-FR" w:eastAsia="en-GB"/>
        </w:rPr>
        <w:t xml:space="preserve">autre triangle de présignalisation pas plus de </w:t>
      </w:r>
      <w:r w:rsidRPr="008B062D">
        <w:rPr>
          <w:lang w:val="fr-FR" w:eastAsia="en-GB"/>
        </w:rPr>
        <w:tab/>
        <w:t>20 %</w:t>
      </w:r>
    </w:p>
    <w:p w:rsidR="001825DB" w:rsidRPr="008B062D" w:rsidRDefault="001825DB" w:rsidP="00231403">
      <w:pPr>
        <w:pStyle w:val="SingleTxtG"/>
        <w:keepNext/>
        <w:ind w:left="2268" w:hanging="1134"/>
        <w:jc w:val="left"/>
        <w:rPr>
          <w:lang w:val="fr-FR" w:eastAsia="en-GB"/>
        </w:rPr>
      </w:pPr>
      <w:r w:rsidRPr="008B062D">
        <w:rPr>
          <w:lang w:val="fr-FR" w:eastAsia="en-GB"/>
        </w:rPr>
        <w:t xml:space="preserve">3.3 </w:t>
      </w:r>
      <w:r w:rsidRPr="008B062D">
        <w:rPr>
          <w:lang w:val="fr-FR" w:eastAsia="en-GB"/>
        </w:rPr>
        <w:tab/>
        <w:t>Retrait de l</w:t>
      </w:r>
      <w:r w:rsidR="00971BFE">
        <w:rPr>
          <w:lang w:val="fr-FR" w:eastAsia="en-GB"/>
        </w:rPr>
        <w:t>’</w:t>
      </w:r>
      <w:r w:rsidRPr="008B062D">
        <w:rPr>
          <w:lang w:val="fr-FR" w:eastAsia="en-GB"/>
        </w:rPr>
        <w:t>homologation</w:t>
      </w:r>
    </w:p>
    <w:p w:rsidR="001825DB" w:rsidRPr="008B062D" w:rsidRDefault="001825DB" w:rsidP="001825DB">
      <w:pPr>
        <w:pStyle w:val="para"/>
        <w:ind w:firstLine="0"/>
        <w:rPr>
          <w:lang w:val="fr-FR" w:eastAsia="en-GB"/>
        </w:rPr>
      </w:pPr>
      <w:r w:rsidRPr="008B062D">
        <w:rPr>
          <w:lang w:val="fr-FR" w:eastAsia="en-GB"/>
        </w:rPr>
        <w:t>La conformité est contestée et le paragraphe 11 du présent Règlement appliqué si, à l</w:t>
      </w:r>
      <w:r w:rsidR="00971BFE">
        <w:rPr>
          <w:lang w:val="fr-FR" w:eastAsia="en-GB"/>
        </w:rPr>
        <w:t>’</w:t>
      </w:r>
      <w:r w:rsidRPr="008B062D">
        <w:rPr>
          <w:lang w:val="fr-FR" w:eastAsia="en-GB"/>
        </w:rPr>
        <w:t>issue de</w:t>
      </w:r>
      <w:r w:rsidR="00D6396B">
        <w:rPr>
          <w:lang w:val="fr-FR" w:eastAsia="en-GB"/>
        </w:rPr>
        <w:t xml:space="preserve"> </w:t>
      </w:r>
      <w:r w:rsidRPr="008B062D">
        <w:rPr>
          <w:lang w:val="fr-FR" w:eastAsia="en-GB"/>
        </w:rPr>
        <w:t>la procédure de prélèvement indiquée à la figure 1 de la présente annexe, les écarts des valeurs mesurées sur les triangles de présignalisation sont les suivants:</w:t>
      </w:r>
    </w:p>
    <w:p w:rsidR="001825DB" w:rsidRPr="008B062D" w:rsidRDefault="001825DB" w:rsidP="00231403">
      <w:pPr>
        <w:pStyle w:val="SingleTxtG"/>
        <w:keepNext/>
        <w:ind w:left="2268" w:hanging="1134"/>
        <w:jc w:val="left"/>
        <w:rPr>
          <w:lang w:val="fr-FR" w:eastAsia="en-GB"/>
        </w:rPr>
      </w:pPr>
      <w:r w:rsidRPr="008B062D">
        <w:rPr>
          <w:lang w:val="fr-FR" w:eastAsia="en-GB"/>
        </w:rPr>
        <w:t xml:space="preserve">3.3.1 </w:t>
      </w:r>
      <w:r w:rsidRPr="008B062D">
        <w:rPr>
          <w:lang w:val="fr-FR" w:eastAsia="en-GB"/>
        </w:rPr>
        <w:tab/>
      </w:r>
      <w:r w:rsidR="00EA5C20">
        <w:rPr>
          <w:lang w:val="fr-FR" w:eastAsia="en-GB"/>
        </w:rPr>
        <w:t>É</w:t>
      </w:r>
      <w:r w:rsidRPr="008B062D">
        <w:rPr>
          <w:lang w:val="fr-FR" w:eastAsia="en-GB"/>
        </w:rPr>
        <w:t>chantillon C</w:t>
      </w:r>
    </w:p>
    <w:p w:rsidR="001825DB" w:rsidRPr="008B062D" w:rsidRDefault="001825DB" w:rsidP="00F10C51">
      <w:pPr>
        <w:pStyle w:val="SingleTxtG"/>
        <w:tabs>
          <w:tab w:val="left" w:pos="2835"/>
          <w:tab w:val="right" w:pos="8505"/>
        </w:tabs>
        <w:ind w:left="2268"/>
        <w:rPr>
          <w:lang w:val="fr-FR" w:eastAsia="en-GB"/>
        </w:rPr>
      </w:pPr>
      <w:r w:rsidRPr="008B062D">
        <w:rPr>
          <w:lang w:val="fr-FR" w:eastAsia="en-GB"/>
        </w:rPr>
        <w:t xml:space="preserve">C3: </w:t>
      </w:r>
      <w:r w:rsidRPr="008B062D">
        <w:rPr>
          <w:lang w:val="fr-FR" w:eastAsia="en-GB"/>
        </w:rPr>
        <w:tab/>
        <w:t xml:space="preserve">pour un triangle de </w:t>
      </w:r>
      <w:r w:rsidR="00AF3144">
        <w:rPr>
          <w:lang w:val="fr-FR" w:eastAsia="en-GB"/>
        </w:rPr>
        <w:t xml:space="preserve">présignalisation pas plus de </w:t>
      </w:r>
      <w:r w:rsidR="00AF3144">
        <w:rPr>
          <w:lang w:val="fr-FR" w:eastAsia="en-GB"/>
        </w:rPr>
        <w:tab/>
      </w:r>
      <w:r w:rsidRPr="008B062D">
        <w:rPr>
          <w:lang w:val="fr-FR" w:eastAsia="en-GB"/>
        </w:rPr>
        <w:t>20 %</w:t>
      </w:r>
    </w:p>
    <w:p w:rsidR="001825DB" w:rsidRPr="008B062D" w:rsidRDefault="001825DB" w:rsidP="00F10C51">
      <w:pPr>
        <w:pStyle w:val="SingleTxtG"/>
        <w:tabs>
          <w:tab w:val="left" w:pos="2835"/>
          <w:tab w:val="right" w:pos="8505"/>
        </w:tabs>
        <w:ind w:left="2268"/>
        <w:rPr>
          <w:lang w:val="fr-FR" w:eastAsia="en-GB"/>
        </w:rPr>
      </w:pPr>
      <w:r w:rsidRPr="008B062D">
        <w:rPr>
          <w:lang w:val="fr-FR" w:eastAsia="en-GB"/>
        </w:rPr>
        <w:tab/>
        <w:t>pour l</w:t>
      </w:r>
      <w:r w:rsidR="00971BFE">
        <w:rPr>
          <w:lang w:val="fr-FR" w:eastAsia="en-GB"/>
        </w:rPr>
        <w:t>’</w:t>
      </w:r>
      <w:r w:rsidRPr="008B062D">
        <w:rPr>
          <w:lang w:val="fr-FR" w:eastAsia="en-GB"/>
        </w:rPr>
        <w:t>autre triangle</w:t>
      </w:r>
      <w:r w:rsidR="00AF3144">
        <w:rPr>
          <w:lang w:val="fr-FR" w:eastAsia="en-GB"/>
        </w:rPr>
        <w:t xml:space="preserve"> de présignalisation plus de </w:t>
      </w:r>
      <w:r w:rsidR="00AF3144">
        <w:rPr>
          <w:lang w:val="fr-FR" w:eastAsia="en-GB"/>
        </w:rPr>
        <w:tab/>
      </w:r>
      <w:r w:rsidRPr="008B062D">
        <w:rPr>
          <w:lang w:val="fr-FR" w:eastAsia="en-GB"/>
        </w:rPr>
        <w:t>20 %</w:t>
      </w:r>
    </w:p>
    <w:p w:rsidR="001825DB" w:rsidRPr="008B062D" w:rsidRDefault="001825DB" w:rsidP="00F10C51">
      <w:pPr>
        <w:pStyle w:val="SingleTxtG"/>
        <w:tabs>
          <w:tab w:val="left" w:pos="2835"/>
          <w:tab w:val="right" w:pos="8505"/>
        </w:tabs>
        <w:ind w:left="2268"/>
        <w:rPr>
          <w:lang w:val="fr-FR" w:eastAsia="en-GB"/>
        </w:rPr>
      </w:pPr>
      <w:r w:rsidRPr="008B062D">
        <w:rPr>
          <w:lang w:val="fr-FR" w:eastAsia="en-GB"/>
        </w:rPr>
        <w:t xml:space="preserve">C4: </w:t>
      </w:r>
      <w:r w:rsidRPr="008B062D">
        <w:rPr>
          <w:lang w:val="fr-FR" w:eastAsia="en-GB"/>
        </w:rPr>
        <w:tab/>
        <w:t xml:space="preserve">pour les deux triangles de présignalisation plus de </w:t>
      </w:r>
      <w:r w:rsidRPr="008B062D">
        <w:rPr>
          <w:lang w:val="fr-FR" w:eastAsia="en-GB"/>
        </w:rPr>
        <w:tab/>
        <w:t>20 %</w:t>
      </w:r>
    </w:p>
    <w:p w:rsidR="001825DB" w:rsidRPr="008B062D" w:rsidRDefault="001825DB" w:rsidP="00231403">
      <w:pPr>
        <w:pStyle w:val="SingleTxtG"/>
        <w:keepNext/>
        <w:ind w:left="2268" w:hanging="1134"/>
        <w:jc w:val="left"/>
        <w:rPr>
          <w:lang w:val="fr-FR" w:eastAsia="en-GB"/>
        </w:rPr>
      </w:pPr>
      <w:r w:rsidRPr="008B062D">
        <w:rPr>
          <w:lang w:val="fr-FR" w:eastAsia="en-GB"/>
        </w:rPr>
        <w:t xml:space="preserve">3.3.2 </w:t>
      </w:r>
      <w:r w:rsidRPr="008B062D">
        <w:rPr>
          <w:lang w:val="fr-FR" w:eastAsia="en-GB"/>
        </w:rPr>
        <w:tab/>
      </w:r>
      <w:r w:rsidR="00EA5C20">
        <w:rPr>
          <w:lang w:val="fr-FR" w:eastAsia="en-GB"/>
        </w:rPr>
        <w:t>É</w:t>
      </w:r>
      <w:r w:rsidRPr="008B062D">
        <w:rPr>
          <w:lang w:val="fr-FR" w:eastAsia="en-GB"/>
        </w:rPr>
        <w:t>chantillon D</w:t>
      </w:r>
    </w:p>
    <w:p w:rsidR="001825DB" w:rsidRPr="008B062D" w:rsidRDefault="001825DB" w:rsidP="005D7772">
      <w:pPr>
        <w:pStyle w:val="SingleTxtG"/>
        <w:ind w:left="2268"/>
        <w:rPr>
          <w:lang w:val="fr-FR" w:eastAsia="en-GB"/>
        </w:rPr>
      </w:pPr>
      <w:r w:rsidRPr="008B062D">
        <w:rPr>
          <w:lang w:val="fr-FR" w:eastAsia="en-GB"/>
        </w:rPr>
        <w:t xml:space="preserve">D3: </w:t>
      </w:r>
      <w:r w:rsidRPr="008B062D">
        <w:rPr>
          <w:lang w:val="fr-FR" w:eastAsia="en-GB"/>
        </w:rPr>
        <w:tab/>
        <w:t>dans le cas de C2</w:t>
      </w:r>
    </w:p>
    <w:p w:rsidR="001825DB" w:rsidRPr="008B062D" w:rsidRDefault="001825DB" w:rsidP="00F10C51">
      <w:pPr>
        <w:pStyle w:val="SingleTxtG"/>
        <w:tabs>
          <w:tab w:val="left" w:pos="2835"/>
          <w:tab w:val="right" w:pos="8505"/>
        </w:tabs>
        <w:ind w:left="2268"/>
        <w:rPr>
          <w:lang w:val="fr-FR" w:eastAsia="en-GB"/>
        </w:rPr>
      </w:pPr>
      <w:r w:rsidRPr="008B062D">
        <w:rPr>
          <w:lang w:val="fr-FR" w:eastAsia="en-GB"/>
        </w:rPr>
        <w:tab/>
        <w:t>pour un triangle de pr</w:t>
      </w:r>
      <w:r w:rsidR="00AF3144">
        <w:rPr>
          <w:lang w:val="fr-FR" w:eastAsia="en-GB"/>
        </w:rPr>
        <w:t>ésignalisation 0 % ou plus de</w:t>
      </w:r>
      <w:r w:rsidR="00AF3144">
        <w:rPr>
          <w:lang w:val="fr-FR" w:eastAsia="en-GB"/>
        </w:rPr>
        <w:tab/>
      </w:r>
      <w:r w:rsidRPr="008B062D">
        <w:rPr>
          <w:lang w:val="fr-FR" w:eastAsia="en-GB"/>
        </w:rPr>
        <w:t>0 %</w:t>
      </w:r>
    </w:p>
    <w:p w:rsidR="001825DB" w:rsidRPr="008B062D" w:rsidRDefault="001825DB" w:rsidP="00F10C51">
      <w:pPr>
        <w:pStyle w:val="SingleTxtG"/>
        <w:tabs>
          <w:tab w:val="left" w:pos="2835"/>
          <w:tab w:val="right" w:pos="8505"/>
        </w:tabs>
        <w:ind w:left="2268"/>
        <w:rPr>
          <w:lang w:val="fr-FR" w:eastAsia="en-GB"/>
        </w:rPr>
      </w:pPr>
      <w:r w:rsidRPr="008B062D">
        <w:rPr>
          <w:lang w:val="fr-FR" w:eastAsia="en-GB"/>
        </w:rPr>
        <w:tab/>
        <w:t>pour l</w:t>
      </w:r>
      <w:r w:rsidR="00971BFE">
        <w:rPr>
          <w:lang w:val="fr-FR" w:eastAsia="en-GB"/>
        </w:rPr>
        <w:t>’</w:t>
      </w:r>
      <w:r w:rsidRPr="008B062D">
        <w:rPr>
          <w:lang w:val="fr-FR" w:eastAsia="en-GB"/>
        </w:rPr>
        <w:t>autre triangle de prés</w:t>
      </w:r>
      <w:r w:rsidR="00AF3144">
        <w:rPr>
          <w:lang w:val="fr-FR" w:eastAsia="en-GB"/>
        </w:rPr>
        <w:t xml:space="preserve">ignalisation plus de </w:t>
      </w:r>
      <w:r w:rsidR="00AF3144">
        <w:rPr>
          <w:lang w:val="fr-FR" w:eastAsia="en-GB"/>
        </w:rPr>
        <w:tab/>
      </w:r>
      <w:r w:rsidRPr="008B062D">
        <w:rPr>
          <w:lang w:val="fr-FR" w:eastAsia="en-GB"/>
        </w:rPr>
        <w:t>20 %</w:t>
      </w:r>
    </w:p>
    <w:p w:rsidR="001825DB" w:rsidRPr="008B062D" w:rsidRDefault="00F10C51" w:rsidP="00761456">
      <w:pPr>
        <w:pStyle w:val="SingleTxtG"/>
        <w:keepNext/>
        <w:ind w:left="2268" w:hanging="1134"/>
        <w:jc w:val="left"/>
        <w:rPr>
          <w:lang w:val="fr-FR" w:eastAsia="en-GB"/>
        </w:rPr>
      </w:pPr>
      <w:r>
        <w:rPr>
          <w:lang w:val="fr-FR" w:eastAsia="en-GB"/>
        </w:rPr>
        <w:t>4.</w:t>
      </w:r>
      <w:r w:rsidR="001825DB" w:rsidRPr="008B062D">
        <w:rPr>
          <w:lang w:val="fr-FR" w:eastAsia="en-GB"/>
        </w:rPr>
        <w:tab/>
        <w:t>Les essais additionnels</w:t>
      </w:r>
    </w:p>
    <w:p w:rsidR="001825DB" w:rsidRPr="008B062D" w:rsidRDefault="001825DB" w:rsidP="005D7772">
      <w:pPr>
        <w:pStyle w:val="SingleTxtG"/>
        <w:ind w:left="2268"/>
        <w:rPr>
          <w:lang w:val="fr-FR" w:eastAsia="en-GB"/>
        </w:rPr>
      </w:pPr>
      <w:r w:rsidRPr="008B062D">
        <w:rPr>
          <w:lang w:val="fr-FR" w:eastAsia="en-GB"/>
        </w:rPr>
        <w:t>En ce qui concerne la vérification de l</w:t>
      </w:r>
      <w:r w:rsidR="00971BFE">
        <w:rPr>
          <w:lang w:val="fr-FR" w:eastAsia="en-GB"/>
        </w:rPr>
        <w:t>’</w:t>
      </w:r>
      <w:r w:rsidRPr="008B062D">
        <w:rPr>
          <w:lang w:val="fr-FR" w:eastAsia="en-GB"/>
        </w:rPr>
        <w:t>utilisation normale, les procédures suivantes sont appliquées:</w:t>
      </w:r>
    </w:p>
    <w:p w:rsidR="001825DB" w:rsidRPr="008B062D" w:rsidRDefault="001825DB" w:rsidP="005D7772">
      <w:pPr>
        <w:pStyle w:val="SingleTxtG"/>
        <w:ind w:left="2268"/>
        <w:rPr>
          <w:lang w:val="fr-FR" w:eastAsia="en-GB"/>
        </w:rPr>
      </w:pPr>
      <w:r w:rsidRPr="008B062D">
        <w:rPr>
          <w:lang w:val="fr-FR" w:eastAsia="en-GB"/>
        </w:rPr>
        <w:t>Les échantillons d</w:t>
      </w:r>
      <w:r w:rsidR="00971BFE">
        <w:rPr>
          <w:lang w:val="fr-FR" w:eastAsia="en-GB"/>
        </w:rPr>
        <w:t>’</w:t>
      </w:r>
      <w:r w:rsidRPr="008B062D">
        <w:rPr>
          <w:lang w:val="fr-FR" w:eastAsia="en-GB"/>
        </w:rPr>
        <w:t>un triangle de présignalisation sont soumis aux procédures prévues aux paragraphes 1.4.3 à 1.7.3 de l</w:t>
      </w:r>
      <w:r w:rsidR="00971BFE">
        <w:rPr>
          <w:lang w:val="fr-FR" w:eastAsia="en-GB"/>
        </w:rPr>
        <w:t>’</w:t>
      </w:r>
      <w:r w:rsidRPr="008B062D">
        <w:rPr>
          <w:lang w:val="fr-FR" w:eastAsia="en-GB"/>
        </w:rPr>
        <w:t>annexe 5.</w:t>
      </w:r>
    </w:p>
    <w:p w:rsidR="001825DB" w:rsidRPr="008B062D" w:rsidRDefault="001825DB" w:rsidP="005D7772">
      <w:pPr>
        <w:pStyle w:val="SingleTxtG"/>
        <w:ind w:left="2268"/>
        <w:rPr>
          <w:lang w:val="fr-FR" w:eastAsia="en-GB"/>
        </w:rPr>
      </w:pPr>
      <w:r w:rsidRPr="008B062D">
        <w:rPr>
          <w:lang w:val="fr-FR" w:eastAsia="en-GB"/>
        </w:rPr>
        <w:t>Les triangles de présignalisation sont considérés comme satisfaisants si les résultats des essais sont favorables.</w:t>
      </w:r>
    </w:p>
    <w:p w:rsidR="001825DB" w:rsidRPr="008B062D" w:rsidRDefault="001825DB" w:rsidP="005D7772">
      <w:pPr>
        <w:pStyle w:val="SingleTxtG"/>
        <w:ind w:left="2268"/>
        <w:rPr>
          <w:lang w:val="fr-FR" w:eastAsia="en-GB"/>
        </w:rPr>
      </w:pPr>
      <w:r w:rsidRPr="008B062D">
        <w:rPr>
          <w:lang w:val="fr-FR" w:eastAsia="en-GB"/>
        </w:rPr>
        <w:t>Toutefois, si les essais sont défavorables pour l</w:t>
      </w:r>
      <w:r w:rsidR="00971BFE">
        <w:rPr>
          <w:lang w:val="fr-FR" w:eastAsia="en-GB"/>
        </w:rPr>
        <w:t>’</w:t>
      </w:r>
      <w:r w:rsidRPr="008B062D">
        <w:rPr>
          <w:lang w:val="fr-FR" w:eastAsia="en-GB"/>
        </w:rPr>
        <w:t>échantillon en question, les deux triangles de présignalisation sont soumis aux mêmes procédures et chacun doit passer les essais avec les résultats favorables.</w:t>
      </w:r>
    </w:p>
    <w:p w:rsidR="001825DB" w:rsidRPr="008B062D" w:rsidRDefault="001825DB" w:rsidP="00D57C66">
      <w:pPr>
        <w:pStyle w:val="para"/>
        <w:keepNext/>
        <w:keepLines/>
        <w:ind w:left="0" w:firstLine="0"/>
        <w:rPr>
          <w:lang w:val="fr-FR" w:eastAsia="en-GB"/>
        </w:rPr>
      </w:pPr>
      <w:r w:rsidRPr="008B062D">
        <w:rPr>
          <w:lang w:val="fr-FR"/>
        </w:rPr>
        <w:br w:type="page"/>
      </w:r>
      <w:r w:rsidRPr="008B062D">
        <w:rPr>
          <w:lang w:val="fr-FR" w:eastAsia="en-GB"/>
        </w:rPr>
        <w:t>Figure 1</w:t>
      </w:r>
    </w:p>
    <w:p w:rsidR="00D57C66" w:rsidRDefault="00D57C66" w:rsidP="00D57C66">
      <w:r>
        <w:rPr>
          <w:noProof/>
          <w:lang w:val="en-GB" w:eastAsia="en-GB"/>
        </w:rPr>
        <mc:AlternateContent>
          <mc:Choice Requires="wps">
            <w:drawing>
              <wp:anchor distT="0" distB="0" distL="114300" distR="114300" simplePos="0" relativeHeight="251693056" behindDoc="0" locked="0" layoutInCell="1" allowOverlap="1" wp14:anchorId="4AE41309" wp14:editId="2ABB10D2">
                <wp:simplePos x="0" y="0"/>
                <wp:positionH relativeFrom="column">
                  <wp:posOffset>5383530</wp:posOffset>
                </wp:positionH>
                <wp:positionV relativeFrom="paragraph">
                  <wp:posOffset>2950845</wp:posOffset>
                </wp:positionV>
                <wp:extent cx="215900" cy="1310005"/>
                <wp:effectExtent l="0" t="0" r="0" b="4445"/>
                <wp:wrapNone/>
                <wp:docPr id="36" name="Zone de texte 36"/>
                <wp:cNvGraphicFramePr/>
                <a:graphic xmlns:a="http://schemas.openxmlformats.org/drawingml/2006/main">
                  <a:graphicData uri="http://schemas.microsoft.com/office/word/2010/wordprocessingShape">
                    <wps:wsp>
                      <wps:cNvSpPr txBox="1"/>
                      <wps:spPr>
                        <a:xfrm>
                          <a:off x="0" y="0"/>
                          <a:ext cx="215900" cy="1310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4656" w:rsidRPr="00ED7AA6" w:rsidRDefault="00D84656" w:rsidP="00D57C66">
                            <w:pPr>
                              <w:spacing w:line="240" w:lineRule="auto"/>
                              <w:jc w:val="center"/>
                              <w:rPr>
                                <w:sz w:val="16"/>
                                <w:szCs w:val="16"/>
                              </w:rPr>
                            </w:pPr>
                            <w:r>
                              <w:rPr>
                                <w:sz w:val="16"/>
                                <w:szCs w:val="16"/>
                              </w:rPr>
                              <w:t>Résultats éventuels des essais sur l</w:t>
                            </w:r>
                            <w:r w:rsidRPr="00457FB2">
                              <w:rPr>
                                <w:sz w:val="16"/>
                                <w:szCs w:val="16"/>
                              </w:rPr>
                              <w:t>’</w:t>
                            </w:r>
                            <w:r>
                              <w:rPr>
                                <w:sz w:val="16"/>
                                <w:szCs w:val="16"/>
                              </w:rPr>
                              <w:t>échantillon D</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41309" id="Zone de texte 36" o:spid="_x0000_s1038" type="#_x0000_t202" style="position:absolute;margin-left:423.9pt;margin-top:232.35pt;width:17pt;height:10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" fillcolor="white [3201]" stroked="f" strokeweight=".5pt">
                <v:textbox style="layout-flow:vertical" inset="0,0,0,0">
                  <w:txbxContent>
                    <w:p w:rsidR="00D84656" w:rsidRPr="00ED7AA6" w:rsidRDefault="00D84656" w:rsidP="00D57C66">
                      <w:pPr>
                        <w:spacing w:line="240" w:lineRule="auto"/>
                        <w:jc w:val="center"/>
                        <w:rPr>
                          <w:sz w:val="16"/>
                          <w:szCs w:val="16"/>
                        </w:rPr>
                      </w:pPr>
                      <w:r>
                        <w:rPr>
                          <w:sz w:val="16"/>
                          <w:szCs w:val="16"/>
                        </w:rPr>
                        <w:t>Résultats éventuels des essais sur l</w:t>
                      </w:r>
                      <w:r w:rsidRPr="00457FB2">
                        <w:rPr>
                          <w:sz w:val="16"/>
                          <w:szCs w:val="16"/>
                        </w:rPr>
                        <w:t>’</w:t>
                      </w:r>
                      <w:r>
                        <w:rPr>
                          <w:sz w:val="16"/>
                          <w:szCs w:val="16"/>
                        </w:rPr>
                        <w:t>échantillon D</w:t>
                      </w:r>
                    </w:p>
                  </w:txbxContent>
                </v:textbox>
              </v:shape>
            </w:pict>
          </mc:Fallback>
        </mc:AlternateContent>
      </w:r>
      <w:r>
        <w:rPr>
          <w:noProof/>
          <w:lang w:val="en-GB" w:eastAsia="en-GB"/>
        </w:rPr>
        <mc:AlternateContent>
          <mc:Choice Requires="wps">
            <w:drawing>
              <wp:anchor distT="0" distB="0" distL="114300" distR="114300" simplePos="0" relativeHeight="251694080" behindDoc="0" locked="0" layoutInCell="1" allowOverlap="1" wp14:anchorId="65811158" wp14:editId="23833AA2">
                <wp:simplePos x="0" y="0"/>
                <wp:positionH relativeFrom="column">
                  <wp:posOffset>5269230</wp:posOffset>
                </wp:positionH>
                <wp:positionV relativeFrom="paragraph">
                  <wp:posOffset>2874645</wp:posOffset>
                </wp:positionV>
                <wp:extent cx="175260" cy="205740"/>
                <wp:effectExtent l="0" t="0" r="0" b="3810"/>
                <wp:wrapNone/>
                <wp:docPr id="37" name="Zone de texte 37"/>
                <wp:cNvGraphicFramePr/>
                <a:graphic xmlns:a="http://schemas.openxmlformats.org/drawingml/2006/main">
                  <a:graphicData uri="http://schemas.microsoft.com/office/word/2010/wordprocessingShape">
                    <wps:wsp>
                      <wps:cNvSpPr txBox="1"/>
                      <wps:spPr>
                        <a:xfrm>
                          <a:off x="0" y="0"/>
                          <a:ext cx="175260" cy="205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4656" w:rsidRPr="00E46E9E" w:rsidRDefault="00D84656" w:rsidP="00D57C66">
                            <w:pPr>
                              <w:spacing w:line="240" w:lineRule="auto"/>
                              <w:rPr>
                                <w:rFonts w:ascii="Arial" w:hAnsi="Arial" w:cs="Arial"/>
                                <w:sz w:val="32"/>
                                <w:szCs w:val="32"/>
                              </w:rPr>
                            </w:pPr>
                            <w:r w:rsidRPr="00E46E9E">
                              <w:rPr>
                                <w:rFonts w:ascii="Arial" w:hAnsi="Arial" w:cs="Arial"/>
                                <w:sz w:val="32"/>
                                <w:szCs w:val="32"/>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11158" id="Zone de texte 37" o:spid="_x0000_s1039" type="#_x0000_t202" style="position:absolute;margin-left:414.9pt;margin-top:226.35pt;width:13.8pt;height:16.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" fillcolor="white [3201]" stroked="f" strokeweight=".5pt">
                <v:textbox inset="0,0,0,0">
                  <w:txbxContent>
                    <w:p w:rsidR="00D84656" w:rsidRPr="00E46E9E" w:rsidRDefault="00D84656" w:rsidP="00D57C66">
                      <w:pPr>
                        <w:spacing w:line="240" w:lineRule="auto"/>
                        <w:rPr>
                          <w:rFonts w:ascii="Arial" w:hAnsi="Arial" w:cs="Arial"/>
                          <w:sz w:val="32"/>
                          <w:szCs w:val="32"/>
                        </w:rPr>
                      </w:pPr>
                      <w:r w:rsidRPr="00E46E9E">
                        <w:rPr>
                          <w:rFonts w:ascii="Arial" w:hAnsi="Arial" w:cs="Arial"/>
                          <w:sz w:val="32"/>
                          <w:szCs w:val="32"/>
                        </w:rPr>
                        <w:t>D</w:t>
                      </w:r>
                    </w:p>
                  </w:txbxContent>
                </v:textbox>
              </v:shape>
            </w:pict>
          </mc:Fallback>
        </mc:AlternateContent>
      </w:r>
      <w:r>
        <w:rPr>
          <w:noProof/>
          <w:lang w:val="en-GB" w:eastAsia="en-GB"/>
        </w:rPr>
        <mc:AlternateContent>
          <mc:Choice Requires="wps">
            <w:drawing>
              <wp:anchor distT="0" distB="0" distL="114300" distR="114300" simplePos="0" relativeHeight="251692032" behindDoc="0" locked="0" layoutInCell="1" allowOverlap="1" wp14:anchorId="7C6D0E46" wp14:editId="7EC980D2">
                <wp:simplePos x="0" y="0"/>
                <wp:positionH relativeFrom="column">
                  <wp:posOffset>5627370</wp:posOffset>
                </wp:positionH>
                <wp:positionV relativeFrom="paragraph">
                  <wp:posOffset>2729865</wp:posOffset>
                </wp:positionV>
                <wp:extent cx="111125" cy="2195830"/>
                <wp:effectExtent l="0" t="0" r="3175" b="0"/>
                <wp:wrapNone/>
                <wp:docPr id="35" name="Zone de texte 35"/>
                <wp:cNvGraphicFramePr/>
                <a:graphic xmlns:a="http://schemas.openxmlformats.org/drawingml/2006/main">
                  <a:graphicData uri="http://schemas.microsoft.com/office/word/2010/wordprocessingShape">
                    <wps:wsp>
                      <wps:cNvSpPr txBox="1"/>
                      <wps:spPr>
                        <a:xfrm>
                          <a:off x="0" y="0"/>
                          <a:ext cx="111125" cy="21958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4656" w:rsidRPr="00ED7AA6" w:rsidRDefault="00D84656" w:rsidP="00D57C66">
                            <w:pPr>
                              <w:spacing w:line="240" w:lineRule="auto"/>
                              <w:jc w:val="center"/>
                              <w:rPr>
                                <w:sz w:val="16"/>
                                <w:szCs w:val="16"/>
                              </w:rPr>
                            </w:pPr>
                            <w:r>
                              <w:rPr>
                                <w:sz w:val="16"/>
                                <w:szCs w:val="16"/>
                              </w:rPr>
                              <w:t>Résultats éventuels des essais sur l</w:t>
                            </w:r>
                            <w:r w:rsidRPr="00457FB2">
                              <w:rPr>
                                <w:sz w:val="16"/>
                                <w:szCs w:val="16"/>
                              </w:rPr>
                              <w:t>’</w:t>
                            </w:r>
                            <w:r>
                              <w:rPr>
                                <w:sz w:val="16"/>
                                <w:szCs w:val="16"/>
                              </w:rPr>
                              <w:t>échantillon B</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D0E46" id="Zone de texte 35" o:spid="_x0000_s1040" type="#_x0000_t202" style="position:absolute;margin-left:443.1pt;margin-top:214.95pt;width:8.75pt;height:172.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" fillcolor="white [3201]" stroked="f" strokeweight=".5pt">
                <v:textbox style="layout-flow:vertical" inset="0,0,0,0">
                  <w:txbxContent>
                    <w:p w:rsidR="00D84656" w:rsidRPr="00ED7AA6" w:rsidRDefault="00D84656" w:rsidP="00D57C66">
                      <w:pPr>
                        <w:spacing w:line="240" w:lineRule="auto"/>
                        <w:jc w:val="center"/>
                        <w:rPr>
                          <w:sz w:val="16"/>
                          <w:szCs w:val="16"/>
                        </w:rPr>
                      </w:pPr>
                      <w:r>
                        <w:rPr>
                          <w:sz w:val="16"/>
                          <w:szCs w:val="16"/>
                        </w:rPr>
                        <w:t>Résultats éventuels des essais sur l</w:t>
                      </w:r>
                      <w:r w:rsidRPr="00457FB2">
                        <w:rPr>
                          <w:sz w:val="16"/>
                          <w:szCs w:val="16"/>
                        </w:rPr>
                        <w:t>’</w:t>
                      </w:r>
                      <w:r>
                        <w:rPr>
                          <w:sz w:val="16"/>
                          <w:szCs w:val="16"/>
                        </w:rPr>
                        <w:t>échantillon B</w:t>
                      </w:r>
                    </w:p>
                  </w:txbxContent>
                </v:textbox>
              </v:shape>
            </w:pict>
          </mc:Fallback>
        </mc:AlternateContent>
      </w:r>
      <w:r>
        <w:rPr>
          <w:noProof/>
          <w:lang w:val="en-GB" w:eastAsia="en-GB"/>
        </w:rPr>
        <mc:AlternateContent>
          <mc:Choice Requires="wps">
            <w:drawing>
              <wp:anchor distT="0" distB="0" distL="114300" distR="114300" simplePos="0" relativeHeight="251691008" behindDoc="0" locked="0" layoutInCell="1" allowOverlap="1" wp14:anchorId="135FFFFD" wp14:editId="64EC3E96">
                <wp:simplePos x="0" y="0"/>
                <wp:positionH relativeFrom="column">
                  <wp:posOffset>560070</wp:posOffset>
                </wp:positionH>
                <wp:positionV relativeFrom="paragraph">
                  <wp:posOffset>2927985</wp:posOffset>
                </wp:positionV>
                <wp:extent cx="111600" cy="2196000"/>
                <wp:effectExtent l="0" t="0" r="3175" b="0"/>
                <wp:wrapNone/>
                <wp:docPr id="34" name="Zone de texte 34"/>
                <wp:cNvGraphicFramePr/>
                <a:graphic xmlns:a="http://schemas.openxmlformats.org/drawingml/2006/main">
                  <a:graphicData uri="http://schemas.microsoft.com/office/word/2010/wordprocessingShape">
                    <wps:wsp>
                      <wps:cNvSpPr txBox="1"/>
                      <wps:spPr>
                        <a:xfrm>
                          <a:off x="0" y="0"/>
                          <a:ext cx="111600" cy="219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4656" w:rsidRPr="00ED7AA6" w:rsidRDefault="00D84656" w:rsidP="00D57C66">
                            <w:pPr>
                              <w:spacing w:line="240" w:lineRule="auto"/>
                              <w:jc w:val="center"/>
                              <w:rPr>
                                <w:sz w:val="16"/>
                                <w:szCs w:val="16"/>
                              </w:rPr>
                            </w:pPr>
                            <w:r>
                              <w:rPr>
                                <w:sz w:val="16"/>
                                <w:szCs w:val="16"/>
                              </w:rPr>
                              <w:t>Résultats éventuels des essais sur l</w:t>
                            </w:r>
                            <w:r w:rsidRPr="00457FB2">
                              <w:rPr>
                                <w:sz w:val="16"/>
                                <w:szCs w:val="16"/>
                              </w:rPr>
                              <w:t>’</w:t>
                            </w:r>
                            <w:r>
                              <w:rPr>
                                <w:sz w:val="16"/>
                                <w:szCs w:val="16"/>
                              </w:rPr>
                              <w:t>échantillon C</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FFFFD" id="Zone de texte 34" o:spid="_x0000_s1041" type="#_x0000_t202" style="position:absolute;margin-left:44.1pt;margin-top:230.55pt;width:8.8pt;height:172.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" fillcolor="white [3201]" stroked="f" strokeweight=".5pt">
                <v:textbox style="layout-flow:vertical;mso-layout-flow-alt:bottom-to-top" inset="0,0,0,0">
                  <w:txbxContent>
                    <w:p w:rsidR="00D84656" w:rsidRPr="00ED7AA6" w:rsidRDefault="00D84656" w:rsidP="00D57C66">
                      <w:pPr>
                        <w:spacing w:line="240" w:lineRule="auto"/>
                        <w:jc w:val="center"/>
                        <w:rPr>
                          <w:sz w:val="16"/>
                          <w:szCs w:val="16"/>
                        </w:rPr>
                      </w:pPr>
                      <w:r>
                        <w:rPr>
                          <w:sz w:val="16"/>
                          <w:szCs w:val="16"/>
                        </w:rPr>
                        <w:t>Résultats éventuels des essais sur l</w:t>
                      </w:r>
                      <w:r w:rsidRPr="00457FB2">
                        <w:rPr>
                          <w:sz w:val="16"/>
                          <w:szCs w:val="16"/>
                        </w:rPr>
                        <w:t>’</w:t>
                      </w:r>
                      <w:r>
                        <w:rPr>
                          <w:sz w:val="16"/>
                          <w:szCs w:val="16"/>
                        </w:rPr>
                        <w:t>échantillon C</w:t>
                      </w:r>
                    </w:p>
                  </w:txbxContent>
                </v:textbox>
              </v:shape>
            </w:pict>
          </mc:Fallback>
        </mc:AlternateContent>
      </w:r>
      <w:r>
        <w:rPr>
          <w:noProof/>
          <w:lang w:val="en-GB" w:eastAsia="en-GB"/>
        </w:rPr>
        <mc:AlternateContent>
          <mc:Choice Requires="wps">
            <w:drawing>
              <wp:anchor distT="0" distB="0" distL="114300" distR="114300" simplePos="0" relativeHeight="251689984" behindDoc="0" locked="0" layoutInCell="1" allowOverlap="1" wp14:anchorId="5629EABD" wp14:editId="211F443B">
                <wp:simplePos x="0" y="0"/>
                <wp:positionH relativeFrom="column">
                  <wp:posOffset>361950</wp:posOffset>
                </wp:positionH>
                <wp:positionV relativeFrom="paragraph">
                  <wp:posOffset>2920365</wp:posOffset>
                </wp:positionV>
                <wp:extent cx="147600" cy="2196000"/>
                <wp:effectExtent l="0" t="0" r="5080" b="0"/>
                <wp:wrapNone/>
                <wp:docPr id="32" name="Zone de texte 32"/>
                <wp:cNvGraphicFramePr/>
                <a:graphic xmlns:a="http://schemas.openxmlformats.org/drawingml/2006/main">
                  <a:graphicData uri="http://schemas.microsoft.com/office/word/2010/wordprocessingShape">
                    <wps:wsp>
                      <wps:cNvSpPr txBox="1"/>
                      <wps:spPr>
                        <a:xfrm>
                          <a:off x="0" y="0"/>
                          <a:ext cx="147600" cy="219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4656" w:rsidRPr="00ED7AA6" w:rsidRDefault="00D84656" w:rsidP="00D57C66">
                            <w:pPr>
                              <w:spacing w:line="240" w:lineRule="auto"/>
                              <w:jc w:val="center"/>
                              <w:rPr>
                                <w:sz w:val="16"/>
                                <w:szCs w:val="16"/>
                              </w:rPr>
                            </w:pPr>
                            <w:r>
                              <w:rPr>
                                <w:sz w:val="16"/>
                                <w:szCs w:val="16"/>
                              </w:rPr>
                              <w:t>Résultats éventuels des essais sur l</w:t>
                            </w:r>
                            <w:r w:rsidRPr="00457FB2">
                              <w:rPr>
                                <w:sz w:val="16"/>
                                <w:szCs w:val="16"/>
                              </w:rPr>
                              <w:t>’</w:t>
                            </w:r>
                            <w:r>
                              <w:rPr>
                                <w:sz w:val="16"/>
                                <w:szCs w:val="16"/>
                              </w:rPr>
                              <w:t>échantillon A</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9EABD" id="Zone de texte 32" o:spid="_x0000_s1042" type="#_x0000_t202" style="position:absolute;margin-left:28.5pt;margin-top:229.95pt;width:11.6pt;height:172.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" fillcolor="white [3201]" stroked="f" strokeweight=".5pt">
                <v:textbox style="layout-flow:vertical;mso-layout-flow-alt:bottom-to-top" inset="0,0,0,0">
                  <w:txbxContent>
                    <w:p w:rsidR="00D84656" w:rsidRPr="00ED7AA6" w:rsidRDefault="00D84656" w:rsidP="00D57C66">
                      <w:pPr>
                        <w:spacing w:line="240" w:lineRule="auto"/>
                        <w:jc w:val="center"/>
                        <w:rPr>
                          <w:sz w:val="16"/>
                          <w:szCs w:val="16"/>
                        </w:rPr>
                      </w:pPr>
                      <w:r>
                        <w:rPr>
                          <w:sz w:val="16"/>
                          <w:szCs w:val="16"/>
                        </w:rPr>
                        <w:t>Résultats éventuels des essais sur l</w:t>
                      </w:r>
                      <w:r w:rsidRPr="00457FB2">
                        <w:rPr>
                          <w:sz w:val="16"/>
                          <w:szCs w:val="16"/>
                        </w:rPr>
                        <w:t>’</w:t>
                      </w:r>
                      <w:r>
                        <w:rPr>
                          <w:sz w:val="16"/>
                          <w:szCs w:val="16"/>
                        </w:rPr>
                        <w:t>échantillon A</w:t>
                      </w:r>
                    </w:p>
                  </w:txbxContent>
                </v:textbox>
              </v:shape>
            </w:pict>
          </mc:Fallback>
        </mc:AlternateContent>
      </w:r>
      <w:r>
        <w:rPr>
          <w:noProof/>
          <w:lang w:val="en-GB" w:eastAsia="en-GB"/>
        </w:rPr>
        <mc:AlternateContent>
          <mc:Choice Requires="wps">
            <w:drawing>
              <wp:anchor distT="0" distB="0" distL="114300" distR="114300" simplePos="0" relativeHeight="251688960" behindDoc="0" locked="0" layoutInCell="1" allowOverlap="1" wp14:anchorId="478950AB" wp14:editId="79E883AA">
                <wp:simplePos x="0" y="0"/>
                <wp:positionH relativeFrom="column">
                  <wp:posOffset>2373630</wp:posOffset>
                </wp:positionH>
                <wp:positionV relativeFrom="paragraph">
                  <wp:posOffset>7012305</wp:posOffset>
                </wp:positionV>
                <wp:extent cx="2522220" cy="312420"/>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2522220" cy="312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4656" w:rsidRPr="00ED7AA6" w:rsidRDefault="00D84656" w:rsidP="00D57C66">
                            <w:pPr>
                              <w:spacing w:before="60" w:line="240" w:lineRule="auto"/>
                              <w:rPr>
                                <w:sz w:val="16"/>
                                <w:szCs w:val="16"/>
                              </w:rPr>
                            </w:pPr>
                            <w:r>
                              <w:rPr>
                                <w:sz w:val="16"/>
                                <w:szCs w:val="16"/>
                              </w:rPr>
                              <w:t>Écart maximal en % dans le sens défavorable,</w:t>
                            </w:r>
                            <w:r>
                              <w:rPr>
                                <w:sz w:val="16"/>
                                <w:szCs w:val="16"/>
                              </w:rPr>
                              <w:br/>
                              <w:t>par rapport à la valeur limite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950AB" id="Zone de texte 31" o:spid="_x0000_s1043" type="#_x0000_t202" style="position:absolute;margin-left:186.9pt;margin-top:552.15pt;width:198.6pt;height:2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" fillcolor="white [3201]" stroked="f" strokeweight=".5pt">
                <v:textbox inset="0,0,0,0">
                  <w:txbxContent>
                    <w:p w:rsidR="00D84656" w:rsidRPr="00ED7AA6" w:rsidRDefault="00D84656" w:rsidP="00D57C66">
                      <w:pPr>
                        <w:spacing w:before="60" w:line="240" w:lineRule="auto"/>
                        <w:rPr>
                          <w:sz w:val="16"/>
                          <w:szCs w:val="16"/>
                        </w:rPr>
                      </w:pPr>
                      <w:r>
                        <w:rPr>
                          <w:sz w:val="16"/>
                          <w:szCs w:val="16"/>
                        </w:rPr>
                        <w:t>Écart maximal en % dans le sens défavorable,</w:t>
                      </w:r>
                      <w:r>
                        <w:rPr>
                          <w:sz w:val="16"/>
                          <w:szCs w:val="16"/>
                        </w:rPr>
                        <w:br/>
                        <w:t>par rapport à la valeur limite</w:t>
                      </w:r>
                    </w:p>
                  </w:txbxContent>
                </v:textbox>
              </v:shape>
            </w:pict>
          </mc:Fallback>
        </mc:AlternateContent>
      </w:r>
      <w:r>
        <w:rPr>
          <w:noProof/>
          <w:lang w:val="en-GB" w:eastAsia="en-GB"/>
        </w:rPr>
        <mc:AlternateContent>
          <mc:Choice Requires="wps">
            <w:drawing>
              <wp:anchor distT="0" distB="0" distL="114300" distR="114300" simplePos="0" relativeHeight="251687936" behindDoc="0" locked="0" layoutInCell="1" allowOverlap="1" wp14:anchorId="680FFEE6" wp14:editId="48B2BE35">
                <wp:simplePos x="0" y="0"/>
                <wp:positionH relativeFrom="column">
                  <wp:posOffset>2548890</wp:posOffset>
                </wp:positionH>
                <wp:positionV relativeFrom="paragraph">
                  <wp:posOffset>5290185</wp:posOffset>
                </wp:positionV>
                <wp:extent cx="1196340" cy="1379220"/>
                <wp:effectExtent l="0" t="0" r="3810" b="0"/>
                <wp:wrapNone/>
                <wp:docPr id="30" name="Zone de texte 30"/>
                <wp:cNvGraphicFramePr/>
                <a:graphic xmlns:a="http://schemas.openxmlformats.org/drawingml/2006/main">
                  <a:graphicData uri="http://schemas.microsoft.com/office/word/2010/wordprocessingShape">
                    <wps:wsp>
                      <wps:cNvSpPr txBox="1"/>
                      <wps:spPr>
                        <a:xfrm>
                          <a:off x="0" y="0"/>
                          <a:ext cx="1196340" cy="1379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4656" w:rsidRDefault="00D84656" w:rsidP="00D57C66">
                            <w:pPr>
                              <w:spacing w:before="600" w:line="240" w:lineRule="auto"/>
                              <w:jc w:val="center"/>
                              <w:rPr>
                                <w:sz w:val="32"/>
                                <w:szCs w:val="32"/>
                              </w:rPr>
                            </w:pPr>
                            <w:r>
                              <w:rPr>
                                <w:sz w:val="32"/>
                                <w:szCs w:val="32"/>
                              </w:rPr>
                              <w:t>Homologation</w:t>
                            </w:r>
                          </w:p>
                          <w:p w:rsidR="00D84656" w:rsidRPr="00535FE3" w:rsidRDefault="00D84656" w:rsidP="00D57C66">
                            <w:pPr>
                              <w:spacing w:line="240" w:lineRule="auto"/>
                              <w:jc w:val="center"/>
                              <w:rPr>
                                <w:sz w:val="32"/>
                                <w:szCs w:val="32"/>
                              </w:rPr>
                            </w:pPr>
                            <w:r>
                              <w:rPr>
                                <w:sz w:val="32"/>
                                <w:szCs w:val="32"/>
                              </w:rPr>
                              <w:t>retirée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FFEE6" id="Zone de texte 30" o:spid="_x0000_s1044" type="#_x0000_t202" style="position:absolute;margin-left:200.7pt;margin-top:416.55pt;width:94.2pt;height:108.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" fillcolor="white [3201]" stroked="f" strokeweight=".5pt">
                <v:textbox inset="0,0,0,0">
                  <w:txbxContent>
                    <w:p w:rsidR="00D84656" w:rsidRDefault="00D84656" w:rsidP="00D57C66">
                      <w:pPr>
                        <w:spacing w:before="600" w:line="240" w:lineRule="auto"/>
                        <w:jc w:val="center"/>
                        <w:rPr>
                          <w:sz w:val="32"/>
                          <w:szCs w:val="32"/>
                        </w:rPr>
                      </w:pPr>
                      <w:r>
                        <w:rPr>
                          <w:sz w:val="32"/>
                          <w:szCs w:val="32"/>
                        </w:rPr>
                        <w:t>Homologation</w:t>
                      </w:r>
                    </w:p>
                    <w:p w:rsidR="00D84656" w:rsidRPr="00535FE3" w:rsidRDefault="00D84656" w:rsidP="00D57C66">
                      <w:pPr>
                        <w:spacing w:line="240" w:lineRule="auto"/>
                        <w:jc w:val="center"/>
                        <w:rPr>
                          <w:sz w:val="32"/>
                          <w:szCs w:val="32"/>
                        </w:rPr>
                      </w:pPr>
                      <w:r>
                        <w:rPr>
                          <w:sz w:val="32"/>
                          <w:szCs w:val="32"/>
                        </w:rPr>
                        <w:t>retirée</w:t>
                      </w:r>
                    </w:p>
                  </w:txbxContent>
                </v:textbox>
              </v:shape>
            </w:pict>
          </mc:Fallback>
        </mc:AlternateContent>
      </w:r>
      <w:r>
        <w:rPr>
          <w:noProof/>
          <w:lang w:val="en-GB" w:eastAsia="en-GB"/>
        </w:rPr>
        <mc:AlternateContent>
          <mc:Choice Requires="wps">
            <w:drawing>
              <wp:anchor distT="0" distB="0" distL="114300" distR="114300" simplePos="0" relativeHeight="251686912" behindDoc="0" locked="0" layoutInCell="1" allowOverlap="1" wp14:anchorId="0C37CC60" wp14:editId="53A83F8A">
                <wp:simplePos x="0" y="0"/>
                <wp:positionH relativeFrom="column">
                  <wp:posOffset>2564130</wp:posOffset>
                </wp:positionH>
                <wp:positionV relativeFrom="paragraph">
                  <wp:posOffset>4627245</wp:posOffset>
                </wp:positionV>
                <wp:extent cx="1350000" cy="140400"/>
                <wp:effectExtent l="0" t="0" r="3175" b="0"/>
                <wp:wrapNone/>
                <wp:docPr id="29" name="Zone de texte 29"/>
                <wp:cNvGraphicFramePr/>
                <a:graphic xmlns:a="http://schemas.openxmlformats.org/drawingml/2006/main">
                  <a:graphicData uri="http://schemas.microsoft.com/office/word/2010/wordprocessingShape">
                    <wps:wsp>
                      <wps:cNvSpPr txBox="1"/>
                      <wps:spPr>
                        <a:xfrm>
                          <a:off x="0" y="0"/>
                          <a:ext cx="1350000" cy="140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4656" w:rsidRPr="00ED7AA6" w:rsidRDefault="00D84656" w:rsidP="00D57C66">
                            <w:pPr>
                              <w:spacing w:line="240" w:lineRule="auto"/>
                              <w:jc w:val="center"/>
                              <w:rPr>
                                <w:sz w:val="16"/>
                                <w:szCs w:val="16"/>
                              </w:rPr>
                            </w:pPr>
                            <w:r>
                              <w:rPr>
                                <w:sz w:val="16"/>
                                <w:szCs w:val="16"/>
                              </w:rPr>
                              <w:t>Passer à la mise en conformité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7CC60" id="Zone de texte 29" o:spid="_x0000_s1045" type="#_x0000_t202" style="position:absolute;margin-left:201.9pt;margin-top:364.35pt;width:106.3pt;height:1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" fillcolor="white [3201]" stroked="f" strokeweight=".5pt">
                <v:textbox inset="0,0,0,0">
                  <w:txbxContent>
                    <w:p w:rsidR="00D84656" w:rsidRPr="00ED7AA6" w:rsidRDefault="00D84656" w:rsidP="00D57C66">
                      <w:pPr>
                        <w:spacing w:line="240" w:lineRule="auto"/>
                        <w:jc w:val="center"/>
                        <w:rPr>
                          <w:sz w:val="16"/>
                          <w:szCs w:val="16"/>
                        </w:rPr>
                      </w:pPr>
                      <w:r>
                        <w:rPr>
                          <w:sz w:val="16"/>
                          <w:szCs w:val="16"/>
                        </w:rPr>
                        <w:t>Passer à la mise en conformité</w:t>
                      </w:r>
                    </w:p>
                  </w:txbxContent>
                </v:textbox>
              </v:shape>
            </w:pict>
          </mc:Fallback>
        </mc:AlternateContent>
      </w:r>
      <w:r>
        <w:rPr>
          <w:noProof/>
          <w:lang w:val="en-GB" w:eastAsia="en-GB"/>
        </w:rPr>
        <mc:AlternateContent>
          <mc:Choice Requires="wps">
            <w:drawing>
              <wp:anchor distT="0" distB="0" distL="114300" distR="114300" simplePos="0" relativeHeight="251685888" behindDoc="0" locked="0" layoutInCell="1" allowOverlap="1" wp14:anchorId="789A619A" wp14:editId="559F544B">
                <wp:simplePos x="0" y="0"/>
                <wp:positionH relativeFrom="column">
                  <wp:posOffset>2617470</wp:posOffset>
                </wp:positionH>
                <wp:positionV relativeFrom="paragraph">
                  <wp:posOffset>3834765</wp:posOffset>
                </wp:positionV>
                <wp:extent cx="1089660" cy="152400"/>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1089660"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4656" w:rsidRPr="00ED7AA6" w:rsidRDefault="00D84656" w:rsidP="00D57C66">
                            <w:pPr>
                              <w:spacing w:line="240" w:lineRule="auto"/>
                              <w:jc w:val="center"/>
                              <w:rPr>
                                <w:sz w:val="16"/>
                                <w:szCs w:val="16"/>
                              </w:rPr>
                            </w:pPr>
                            <w:r>
                              <w:rPr>
                                <w:sz w:val="16"/>
                                <w:szCs w:val="16"/>
                              </w:rPr>
                              <w:t>Passer à l</w:t>
                            </w:r>
                            <w:r w:rsidRPr="00A94450">
                              <w:rPr>
                                <w:sz w:val="16"/>
                                <w:szCs w:val="16"/>
                              </w:rPr>
                              <w:t>’</w:t>
                            </w:r>
                            <w:r>
                              <w:rPr>
                                <w:sz w:val="16"/>
                                <w:szCs w:val="16"/>
                              </w:rPr>
                              <w:t>échantillon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A619A" id="Zone de texte 28" o:spid="_x0000_s1046" type="#_x0000_t202" style="position:absolute;margin-left:206.1pt;margin-top:301.95pt;width:85.8pt;height: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" fillcolor="white [3201]" stroked="f" strokeweight=".5pt">
                <v:textbox inset="0,0,0,0">
                  <w:txbxContent>
                    <w:p w:rsidR="00D84656" w:rsidRPr="00ED7AA6" w:rsidRDefault="00D84656" w:rsidP="00D57C66">
                      <w:pPr>
                        <w:spacing w:line="240" w:lineRule="auto"/>
                        <w:jc w:val="center"/>
                        <w:rPr>
                          <w:sz w:val="16"/>
                          <w:szCs w:val="16"/>
                        </w:rPr>
                      </w:pPr>
                      <w:r>
                        <w:rPr>
                          <w:sz w:val="16"/>
                          <w:szCs w:val="16"/>
                        </w:rPr>
                        <w:t>Passer à l</w:t>
                      </w:r>
                      <w:r w:rsidRPr="00A94450">
                        <w:rPr>
                          <w:sz w:val="16"/>
                          <w:szCs w:val="16"/>
                        </w:rPr>
                        <w:t>’</w:t>
                      </w:r>
                      <w:r>
                        <w:rPr>
                          <w:sz w:val="16"/>
                          <w:szCs w:val="16"/>
                        </w:rPr>
                        <w:t>échantillon D</w:t>
                      </w:r>
                    </w:p>
                  </w:txbxContent>
                </v:textbox>
              </v:shape>
            </w:pict>
          </mc:Fallback>
        </mc:AlternateContent>
      </w:r>
      <w:r>
        <w:rPr>
          <w:noProof/>
          <w:lang w:val="en-GB" w:eastAsia="en-GB"/>
        </w:rPr>
        <mc:AlternateContent>
          <mc:Choice Requires="wps">
            <w:drawing>
              <wp:anchor distT="0" distB="0" distL="114300" distR="114300" simplePos="0" relativeHeight="251684864" behindDoc="0" locked="0" layoutInCell="1" allowOverlap="1" wp14:anchorId="5C71AB1E" wp14:editId="0FBE90FE">
                <wp:simplePos x="0" y="0"/>
                <wp:positionH relativeFrom="column">
                  <wp:posOffset>4438650</wp:posOffset>
                </wp:positionH>
                <wp:positionV relativeFrom="paragraph">
                  <wp:posOffset>2600325</wp:posOffset>
                </wp:positionV>
                <wp:extent cx="824230" cy="384810"/>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824230" cy="3848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4656" w:rsidRDefault="00D84656" w:rsidP="00D57C66">
                            <w:pPr>
                              <w:spacing w:line="240" w:lineRule="auto"/>
                              <w:jc w:val="center"/>
                              <w:rPr>
                                <w:sz w:val="16"/>
                                <w:szCs w:val="16"/>
                              </w:rPr>
                            </w:pPr>
                            <w:r>
                              <w:rPr>
                                <w:sz w:val="16"/>
                                <w:szCs w:val="16"/>
                              </w:rPr>
                              <w:t>Échantillon D:</w:t>
                            </w:r>
                          </w:p>
                          <w:p w:rsidR="00D84656" w:rsidRPr="00ED7AA6" w:rsidRDefault="00D84656" w:rsidP="00D57C66">
                            <w:pPr>
                              <w:spacing w:line="240" w:lineRule="auto"/>
                              <w:jc w:val="center"/>
                              <w:rPr>
                                <w:sz w:val="16"/>
                                <w:szCs w:val="16"/>
                              </w:rPr>
                            </w:pPr>
                            <w:r>
                              <w:rPr>
                                <w:sz w:val="16"/>
                                <w:szCs w:val="16"/>
                              </w:rPr>
                              <w:t>deux dispositifs</w:t>
                            </w:r>
                            <w:r>
                              <w:rPr>
                                <w:sz w:val="16"/>
                                <w:szCs w:val="16"/>
                              </w:rPr>
                              <w:br/>
                              <w:t>choisis au hasard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1AB1E" id="Zone de texte 27" o:spid="_x0000_s1047" type="#_x0000_t202" style="position:absolute;margin-left:349.5pt;margin-top:204.75pt;width:64.9pt;height:30.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" fillcolor="white [3201]" stroked="f" strokeweight=".5pt">
                <v:textbox inset="0,0,0,0">
                  <w:txbxContent>
                    <w:p w:rsidR="00D84656" w:rsidRDefault="00D84656" w:rsidP="00D57C66">
                      <w:pPr>
                        <w:spacing w:line="240" w:lineRule="auto"/>
                        <w:jc w:val="center"/>
                        <w:rPr>
                          <w:sz w:val="16"/>
                          <w:szCs w:val="16"/>
                        </w:rPr>
                      </w:pPr>
                      <w:r>
                        <w:rPr>
                          <w:sz w:val="16"/>
                          <w:szCs w:val="16"/>
                        </w:rPr>
                        <w:t>Échantillon D:</w:t>
                      </w:r>
                    </w:p>
                    <w:p w:rsidR="00D84656" w:rsidRPr="00ED7AA6" w:rsidRDefault="00D84656" w:rsidP="00D57C66">
                      <w:pPr>
                        <w:spacing w:line="240" w:lineRule="auto"/>
                        <w:jc w:val="center"/>
                        <w:rPr>
                          <w:sz w:val="16"/>
                          <w:szCs w:val="16"/>
                        </w:rPr>
                      </w:pPr>
                      <w:r>
                        <w:rPr>
                          <w:sz w:val="16"/>
                          <w:szCs w:val="16"/>
                        </w:rPr>
                        <w:t>deux dispositifs</w:t>
                      </w:r>
                      <w:r>
                        <w:rPr>
                          <w:sz w:val="16"/>
                          <w:szCs w:val="16"/>
                        </w:rPr>
                        <w:br/>
                        <w:t>choisis au hasard</w:t>
                      </w:r>
                    </w:p>
                  </w:txbxContent>
                </v:textbox>
              </v:shape>
            </w:pict>
          </mc:Fallback>
        </mc:AlternateContent>
      </w:r>
      <w:r>
        <w:rPr>
          <w:noProof/>
          <w:lang w:val="en-GB" w:eastAsia="en-GB"/>
        </w:rPr>
        <mc:AlternateContent>
          <mc:Choice Requires="wps">
            <w:drawing>
              <wp:anchor distT="0" distB="0" distL="114300" distR="114300" simplePos="0" relativeHeight="251683840" behindDoc="0" locked="0" layoutInCell="1" allowOverlap="1" wp14:anchorId="1CCD13C0" wp14:editId="027B7E6D">
                <wp:simplePos x="0" y="0"/>
                <wp:positionH relativeFrom="column">
                  <wp:posOffset>1085850</wp:posOffset>
                </wp:positionH>
                <wp:positionV relativeFrom="paragraph">
                  <wp:posOffset>2592705</wp:posOffset>
                </wp:positionV>
                <wp:extent cx="824230" cy="384810"/>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824230" cy="3848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4656" w:rsidRDefault="00D84656" w:rsidP="00D57C66">
                            <w:pPr>
                              <w:spacing w:line="240" w:lineRule="auto"/>
                              <w:jc w:val="center"/>
                              <w:rPr>
                                <w:sz w:val="16"/>
                                <w:szCs w:val="16"/>
                              </w:rPr>
                            </w:pPr>
                            <w:r>
                              <w:rPr>
                                <w:sz w:val="16"/>
                                <w:szCs w:val="16"/>
                              </w:rPr>
                              <w:t>Échantillon C:</w:t>
                            </w:r>
                          </w:p>
                          <w:p w:rsidR="00D84656" w:rsidRPr="00ED7AA6" w:rsidRDefault="00D84656" w:rsidP="00D57C66">
                            <w:pPr>
                              <w:spacing w:line="240" w:lineRule="auto"/>
                              <w:jc w:val="center"/>
                              <w:rPr>
                                <w:sz w:val="16"/>
                                <w:szCs w:val="16"/>
                              </w:rPr>
                            </w:pPr>
                            <w:r>
                              <w:rPr>
                                <w:sz w:val="16"/>
                                <w:szCs w:val="16"/>
                              </w:rPr>
                              <w:t>deux dispositifs</w:t>
                            </w:r>
                            <w:r>
                              <w:rPr>
                                <w:sz w:val="16"/>
                                <w:szCs w:val="16"/>
                              </w:rPr>
                              <w:br/>
                              <w:t>choisis au hasard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D13C0" id="Zone de texte 26" o:spid="_x0000_s1048" type="#_x0000_t202" style="position:absolute;margin-left:85.5pt;margin-top:204.15pt;width:64.9pt;height:30.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" fillcolor="white [3201]" stroked="f" strokeweight=".5pt">
                <v:textbox inset="0,0,0,0">
                  <w:txbxContent>
                    <w:p w:rsidR="00D84656" w:rsidRDefault="00D84656" w:rsidP="00D57C66">
                      <w:pPr>
                        <w:spacing w:line="240" w:lineRule="auto"/>
                        <w:jc w:val="center"/>
                        <w:rPr>
                          <w:sz w:val="16"/>
                          <w:szCs w:val="16"/>
                        </w:rPr>
                      </w:pPr>
                      <w:r>
                        <w:rPr>
                          <w:sz w:val="16"/>
                          <w:szCs w:val="16"/>
                        </w:rPr>
                        <w:t>Échantillon C:</w:t>
                      </w:r>
                    </w:p>
                    <w:p w:rsidR="00D84656" w:rsidRPr="00ED7AA6" w:rsidRDefault="00D84656" w:rsidP="00D57C66">
                      <w:pPr>
                        <w:spacing w:line="240" w:lineRule="auto"/>
                        <w:jc w:val="center"/>
                        <w:rPr>
                          <w:sz w:val="16"/>
                          <w:szCs w:val="16"/>
                        </w:rPr>
                      </w:pPr>
                      <w:r>
                        <w:rPr>
                          <w:sz w:val="16"/>
                          <w:szCs w:val="16"/>
                        </w:rPr>
                        <w:t>deux dispositifs</w:t>
                      </w:r>
                      <w:r>
                        <w:rPr>
                          <w:sz w:val="16"/>
                          <w:szCs w:val="16"/>
                        </w:rPr>
                        <w:br/>
                        <w:t>choisis au hasard</w:t>
                      </w:r>
                    </w:p>
                  </w:txbxContent>
                </v:textbox>
              </v:shape>
            </w:pict>
          </mc:Fallback>
        </mc:AlternateContent>
      </w:r>
      <w:r>
        <w:rPr>
          <w:noProof/>
          <w:lang w:val="en-GB" w:eastAsia="en-GB"/>
        </w:rPr>
        <mc:AlternateContent>
          <mc:Choice Requires="wps">
            <w:drawing>
              <wp:anchor distT="0" distB="0" distL="114300" distR="114300" simplePos="0" relativeHeight="251682816" behindDoc="0" locked="0" layoutInCell="1" allowOverlap="1" wp14:anchorId="56ADCE9F" wp14:editId="64DC9E5A">
                <wp:simplePos x="0" y="0"/>
                <wp:positionH relativeFrom="column">
                  <wp:posOffset>1969770</wp:posOffset>
                </wp:positionH>
                <wp:positionV relativeFrom="paragraph">
                  <wp:posOffset>2775585</wp:posOffset>
                </wp:positionV>
                <wp:extent cx="2407920" cy="48006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2407920" cy="480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4656" w:rsidRPr="00BE2F2B" w:rsidRDefault="00D84656" w:rsidP="00D57C66">
                            <w:pPr>
                              <w:spacing w:line="240" w:lineRule="auto"/>
                              <w:jc w:val="center"/>
                              <w:rPr>
                                <w:sz w:val="18"/>
                                <w:szCs w:val="18"/>
                              </w:rPr>
                            </w:pPr>
                            <w:r>
                              <w:rPr>
                                <w:sz w:val="24"/>
                                <w:szCs w:val="24"/>
                              </w:rPr>
                              <w:t>Second</w:t>
                            </w:r>
                            <w:r w:rsidRPr="00BE2F2B">
                              <w:rPr>
                                <w:sz w:val="24"/>
                                <w:szCs w:val="24"/>
                              </w:rPr>
                              <w:t xml:space="preserve"> prélèvement</w:t>
                            </w:r>
                            <w:r>
                              <w:br/>
                            </w:r>
                            <w:r w:rsidRPr="00BE2F2B">
                              <w:rPr>
                                <w:sz w:val="18"/>
                                <w:szCs w:val="18"/>
                              </w:rPr>
                              <w:t>Quatre dispositifs choisis au hasard</w:t>
                            </w:r>
                            <w:r w:rsidRPr="00BE2F2B">
                              <w:rPr>
                                <w:sz w:val="18"/>
                                <w:szCs w:val="18"/>
                              </w:rPr>
                              <w:br/>
                              <w:t xml:space="preserve">et répartis entre les échantillons </w:t>
                            </w:r>
                            <w:r w:rsidR="002E5874">
                              <w:rPr>
                                <w:sz w:val="18"/>
                                <w:szCs w:val="18"/>
                              </w:rPr>
                              <w:t>C</w:t>
                            </w:r>
                            <w:r w:rsidRPr="00BE2F2B">
                              <w:rPr>
                                <w:sz w:val="18"/>
                                <w:szCs w:val="18"/>
                              </w:rPr>
                              <w:t xml:space="preserve"> et </w:t>
                            </w:r>
                            <w:r w:rsidR="002E5874">
                              <w:rPr>
                                <w:sz w:val="18"/>
                                <w:szCs w:val="18"/>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DCE9F" id="Zone de texte 25" o:spid="_x0000_s1049" type="#_x0000_t202" style="position:absolute;margin-left:155.1pt;margin-top:218.55pt;width:189.6pt;height:37.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" fillcolor="white [3201]" stroked="f" strokeweight=".5pt">
                <v:textbox inset="0,0,0,0">
                  <w:txbxContent>
                    <w:p w:rsidR="00D84656" w:rsidRPr="00BE2F2B" w:rsidRDefault="00D84656" w:rsidP="00D57C66">
                      <w:pPr>
                        <w:spacing w:line="240" w:lineRule="auto"/>
                        <w:jc w:val="center"/>
                        <w:rPr>
                          <w:sz w:val="18"/>
                          <w:szCs w:val="18"/>
                        </w:rPr>
                      </w:pPr>
                      <w:r>
                        <w:rPr>
                          <w:sz w:val="24"/>
                          <w:szCs w:val="24"/>
                        </w:rPr>
                        <w:t>Second</w:t>
                      </w:r>
                      <w:r w:rsidRPr="00BE2F2B">
                        <w:rPr>
                          <w:sz w:val="24"/>
                          <w:szCs w:val="24"/>
                        </w:rPr>
                        <w:t xml:space="preserve"> prélèvement</w:t>
                      </w:r>
                      <w:r>
                        <w:br/>
                      </w:r>
                      <w:r w:rsidRPr="00BE2F2B">
                        <w:rPr>
                          <w:sz w:val="18"/>
                          <w:szCs w:val="18"/>
                        </w:rPr>
                        <w:t>Quatre dispositifs choisis au hasard</w:t>
                      </w:r>
                      <w:r w:rsidRPr="00BE2F2B">
                        <w:rPr>
                          <w:sz w:val="18"/>
                          <w:szCs w:val="18"/>
                        </w:rPr>
                        <w:br/>
                        <w:t xml:space="preserve">et répartis entre les échantillons </w:t>
                      </w:r>
                      <w:r w:rsidR="002E5874">
                        <w:rPr>
                          <w:sz w:val="18"/>
                          <w:szCs w:val="18"/>
                        </w:rPr>
                        <w:t>C</w:t>
                      </w:r>
                      <w:r w:rsidRPr="00BE2F2B">
                        <w:rPr>
                          <w:sz w:val="18"/>
                          <w:szCs w:val="18"/>
                        </w:rPr>
                        <w:t xml:space="preserve"> et </w:t>
                      </w:r>
                      <w:r w:rsidR="002E5874">
                        <w:rPr>
                          <w:sz w:val="18"/>
                          <w:szCs w:val="18"/>
                        </w:rPr>
                        <w:t>D</w:t>
                      </w:r>
                    </w:p>
                  </w:txbxContent>
                </v:textbox>
              </v:shape>
            </w:pict>
          </mc:Fallback>
        </mc:AlternateContent>
      </w:r>
      <w:r>
        <w:rPr>
          <w:noProof/>
          <w:lang w:val="en-GB" w:eastAsia="en-GB"/>
        </w:rPr>
        <mc:AlternateContent>
          <mc:Choice Requires="wps">
            <w:drawing>
              <wp:anchor distT="0" distB="0" distL="114300" distR="114300" simplePos="0" relativeHeight="251681792" behindDoc="0" locked="0" layoutInCell="1" allowOverlap="1" wp14:anchorId="7EB3C573" wp14:editId="51AAB60D">
                <wp:simplePos x="0" y="0"/>
                <wp:positionH relativeFrom="column">
                  <wp:posOffset>2404110</wp:posOffset>
                </wp:positionH>
                <wp:positionV relativeFrom="paragraph">
                  <wp:posOffset>1807845</wp:posOffset>
                </wp:positionV>
                <wp:extent cx="1540800" cy="640080"/>
                <wp:effectExtent l="0" t="0" r="2540" b="7620"/>
                <wp:wrapNone/>
                <wp:docPr id="24" name="Zone de texte 24"/>
                <wp:cNvGraphicFramePr/>
                <a:graphic xmlns:a="http://schemas.openxmlformats.org/drawingml/2006/main">
                  <a:graphicData uri="http://schemas.microsoft.com/office/word/2010/wordprocessingShape">
                    <wps:wsp>
                      <wps:cNvSpPr txBox="1"/>
                      <wps:spPr>
                        <a:xfrm>
                          <a:off x="0" y="0"/>
                          <a:ext cx="1540800" cy="640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4656" w:rsidRPr="00BE2F2B" w:rsidRDefault="00D84656" w:rsidP="00D57C66">
                            <w:pPr>
                              <w:spacing w:before="40" w:line="240" w:lineRule="auto"/>
                              <w:jc w:val="center"/>
                              <w:rPr>
                                <w:sz w:val="18"/>
                                <w:szCs w:val="18"/>
                              </w:rPr>
                            </w:pPr>
                            <w:r>
                              <w:rPr>
                                <w:sz w:val="24"/>
                                <w:szCs w:val="24"/>
                              </w:rPr>
                              <w:t>Mise en conformité</w:t>
                            </w:r>
                            <w:r>
                              <w:br/>
                            </w:r>
                            <w:r>
                              <w:rPr>
                                <w:sz w:val="18"/>
                                <w:szCs w:val="18"/>
                              </w:rPr>
                              <w:t>Le fabricant doit mettre</w:t>
                            </w:r>
                            <w:r>
                              <w:rPr>
                                <w:sz w:val="18"/>
                                <w:szCs w:val="18"/>
                              </w:rPr>
                              <w:br/>
                              <w:t>sa production en conformité</w:t>
                            </w:r>
                            <w:r>
                              <w:rPr>
                                <w:sz w:val="18"/>
                                <w:szCs w:val="18"/>
                              </w:rPr>
                              <w:br/>
                              <w:t>avec les prescriptions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3C573" id="Zone de texte 24" o:spid="_x0000_s1050" type="#_x0000_t202" style="position:absolute;margin-left:189.3pt;margin-top:142.35pt;width:121.3pt;height:5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" fillcolor="white [3201]" stroked="f" strokeweight=".5pt">
                <v:textbox inset="0,0,0,0">
                  <w:txbxContent>
                    <w:p w:rsidR="00D84656" w:rsidRPr="00BE2F2B" w:rsidRDefault="00D84656" w:rsidP="00D57C66">
                      <w:pPr>
                        <w:spacing w:before="40" w:line="240" w:lineRule="auto"/>
                        <w:jc w:val="center"/>
                        <w:rPr>
                          <w:sz w:val="18"/>
                          <w:szCs w:val="18"/>
                        </w:rPr>
                      </w:pPr>
                      <w:r>
                        <w:rPr>
                          <w:sz w:val="24"/>
                          <w:szCs w:val="24"/>
                        </w:rPr>
                        <w:t>Mise en conformité</w:t>
                      </w:r>
                      <w:r>
                        <w:br/>
                      </w:r>
                      <w:r>
                        <w:rPr>
                          <w:sz w:val="18"/>
                          <w:szCs w:val="18"/>
                        </w:rPr>
                        <w:t>Le fabricant doit mettre</w:t>
                      </w:r>
                      <w:r>
                        <w:rPr>
                          <w:sz w:val="18"/>
                          <w:szCs w:val="18"/>
                        </w:rPr>
                        <w:br/>
                        <w:t>sa production en conformité</w:t>
                      </w:r>
                      <w:r>
                        <w:rPr>
                          <w:sz w:val="18"/>
                          <w:szCs w:val="18"/>
                        </w:rPr>
                        <w:br/>
                        <w:t>avec les prescriptions</w:t>
                      </w:r>
                    </w:p>
                  </w:txbxContent>
                </v:textbox>
              </v:shape>
            </w:pict>
          </mc:Fallback>
        </mc:AlternateContent>
      </w:r>
      <w:r>
        <w:rPr>
          <w:noProof/>
          <w:lang w:val="en-GB" w:eastAsia="en-GB"/>
        </w:rPr>
        <mc:AlternateContent>
          <mc:Choice Requires="wps">
            <w:drawing>
              <wp:anchor distT="0" distB="0" distL="114300" distR="114300" simplePos="0" relativeHeight="251680768" behindDoc="0" locked="0" layoutInCell="1" allowOverlap="1" wp14:anchorId="1D16F282" wp14:editId="14621A47">
                <wp:simplePos x="0" y="0"/>
                <wp:positionH relativeFrom="column">
                  <wp:posOffset>2678430</wp:posOffset>
                </wp:positionH>
                <wp:positionV relativeFrom="paragraph">
                  <wp:posOffset>1175385</wp:posOffset>
                </wp:positionV>
                <wp:extent cx="1089660" cy="152400"/>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1089660"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4656" w:rsidRPr="00ED7AA6" w:rsidRDefault="00D84656" w:rsidP="00D57C66">
                            <w:pPr>
                              <w:spacing w:line="240" w:lineRule="auto"/>
                              <w:jc w:val="center"/>
                              <w:rPr>
                                <w:sz w:val="16"/>
                                <w:szCs w:val="16"/>
                              </w:rPr>
                            </w:pPr>
                            <w:r>
                              <w:rPr>
                                <w:sz w:val="16"/>
                                <w:szCs w:val="16"/>
                              </w:rPr>
                              <w:t>Passer à l</w:t>
                            </w:r>
                            <w:r w:rsidRPr="00A94450">
                              <w:rPr>
                                <w:sz w:val="16"/>
                                <w:szCs w:val="16"/>
                              </w:rPr>
                              <w:t>’</w:t>
                            </w:r>
                            <w:r>
                              <w:rPr>
                                <w:sz w:val="16"/>
                                <w:szCs w:val="16"/>
                              </w:rPr>
                              <w:t>échantillon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6F282" id="Zone de texte 22" o:spid="_x0000_s1051" type="#_x0000_t202" style="position:absolute;margin-left:210.9pt;margin-top:92.55pt;width:85.8pt;height: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" fillcolor="white [3201]" stroked="f" strokeweight=".5pt">
                <v:textbox inset="0,0,0,0">
                  <w:txbxContent>
                    <w:p w:rsidR="00D84656" w:rsidRPr="00ED7AA6" w:rsidRDefault="00D84656" w:rsidP="00D57C66">
                      <w:pPr>
                        <w:spacing w:line="240" w:lineRule="auto"/>
                        <w:jc w:val="center"/>
                        <w:rPr>
                          <w:sz w:val="16"/>
                          <w:szCs w:val="16"/>
                        </w:rPr>
                      </w:pPr>
                      <w:r>
                        <w:rPr>
                          <w:sz w:val="16"/>
                          <w:szCs w:val="16"/>
                        </w:rPr>
                        <w:t>Passer à l</w:t>
                      </w:r>
                      <w:r w:rsidRPr="00A94450">
                        <w:rPr>
                          <w:sz w:val="16"/>
                          <w:szCs w:val="16"/>
                        </w:rPr>
                        <w:t>’</w:t>
                      </w:r>
                      <w:r>
                        <w:rPr>
                          <w:sz w:val="16"/>
                          <w:szCs w:val="16"/>
                        </w:rPr>
                        <w:t>échantillon B</w:t>
                      </w:r>
                    </w:p>
                  </w:txbxContent>
                </v:textbox>
              </v:shape>
            </w:pict>
          </mc:Fallback>
        </mc:AlternateContent>
      </w:r>
      <w:r>
        <w:rPr>
          <w:noProof/>
          <w:lang w:val="en-GB" w:eastAsia="en-GB"/>
        </w:rPr>
        <mc:AlternateContent>
          <mc:Choice Requires="wps">
            <w:drawing>
              <wp:anchor distT="0" distB="0" distL="114300" distR="114300" simplePos="0" relativeHeight="251679744" behindDoc="0" locked="0" layoutInCell="1" allowOverlap="1" wp14:anchorId="1296E05A" wp14:editId="412985E8">
                <wp:simplePos x="0" y="0"/>
                <wp:positionH relativeFrom="column">
                  <wp:posOffset>2975610</wp:posOffset>
                </wp:positionH>
                <wp:positionV relativeFrom="paragraph">
                  <wp:posOffset>4314825</wp:posOffset>
                </wp:positionV>
                <wp:extent cx="373380" cy="144780"/>
                <wp:effectExtent l="0" t="0" r="7620" b="7620"/>
                <wp:wrapNone/>
                <wp:docPr id="23" name="Zone de texte 23"/>
                <wp:cNvGraphicFramePr/>
                <a:graphic xmlns:a="http://schemas.openxmlformats.org/drawingml/2006/main">
                  <a:graphicData uri="http://schemas.microsoft.com/office/word/2010/wordprocessingShape">
                    <wps:wsp>
                      <wps:cNvSpPr txBox="1"/>
                      <wps:spPr>
                        <a:xfrm>
                          <a:off x="0" y="0"/>
                          <a:ext cx="373380" cy="144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4656" w:rsidRPr="00ED7AA6" w:rsidRDefault="00D84656" w:rsidP="00D57C66">
                            <w:pPr>
                              <w:spacing w:line="240" w:lineRule="auto"/>
                              <w:jc w:val="center"/>
                              <w:rPr>
                                <w:sz w:val="16"/>
                                <w:szCs w:val="16"/>
                              </w:rPr>
                            </w:pPr>
                            <w:r>
                              <w:rPr>
                                <w:sz w:val="16"/>
                                <w:szCs w:val="16"/>
                              </w:rPr>
                              <w:t>FIN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6E05A" id="Zone de texte 23" o:spid="_x0000_s1052" type="#_x0000_t202" style="position:absolute;margin-left:234.3pt;margin-top:339.75pt;width:29.4pt;height:11.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" fillcolor="white [3201]" stroked="f" strokeweight=".5pt">
                <v:textbox inset="0,0,0,0">
                  <w:txbxContent>
                    <w:p w:rsidR="00D84656" w:rsidRPr="00ED7AA6" w:rsidRDefault="00D84656" w:rsidP="00D57C66">
                      <w:pPr>
                        <w:spacing w:line="240" w:lineRule="auto"/>
                        <w:jc w:val="center"/>
                        <w:rPr>
                          <w:sz w:val="16"/>
                          <w:szCs w:val="16"/>
                        </w:rPr>
                      </w:pPr>
                      <w:r>
                        <w:rPr>
                          <w:sz w:val="16"/>
                          <w:szCs w:val="16"/>
                        </w:rPr>
                        <w:t>FIN</w:t>
                      </w:r>
                    </w:p>
                  </w:txbxContent>
                </v:textbox>
              </v:shape>
            </w:pict>
          </mc:Fallback>
        </mc:AlternateContent>
      </w:r>
      <w:r>
        <w:rPr>
          <w:noProof/>
          <w:lang w:val="en-GB" w:eastAsia="en-GB"/>
        </w:rPr>
        <mc:AlternateContent>
          <mc:Choice Requires="wps">
            <w:drawing>
              <wp:anchor distT="0" distB="0" distL="114300" distR="114300" simplePos="0" relativeHeight="251678720" behindDoc="0" locked="0" layoutInCell="1" allowOverlap="1" wp14:anchorId="7102EB5F" wp14:editId="180C9067">
                <wp:simplePos x="0" y="0"/>
                <wp:positionH relativeFrom="column">
                  <wp:posOffset>2990850</wp:posOffset>
                </wp:positionH>
                <wp:positionV relativeFrom="paragraph">
                  <wp:posOffset>3537585</wp:posOffset>
                </wp:positionV>
                <wp:extent cx="373380" cy="144780"/>
                <wp:effectExtent l="0" t="0" r="7620" b="7620"/>
                <wp:wrapNone/>
                <wp:docPr id="33" name="Zone de texte 33"/>
                <wp:cNvGraphicFramePr/>
                <a:graphic xmlns:a="http://schemas.openxmlformats.org/drawingml/2006/main">
                  <a:graphicData uri="http://schemas.microsoft.com/office/word/2010/wordprocessingShape">
                    <wps:wsp>
                      <wps:cNvSpPr txBox="1"/>
                      <wps:spPr>
                        <a:xfrm>
                          <a:off x="0" y="0"/>
                          <a:ext cx="373380" cy="144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4656" w:rsidRPr="00ED7AA6" w:rsidRDefault="00D84656" w:rsidP="00D57C66">
                            <w:pPr>
                              <w:spacing w:line="240" w:lineRule="auto"/>
                              <w:jc w:val="center"/>
                              <w:rPr>
                                <w:sz w:val="16"/>
                                <w:szCs w:val="16"/>
                              </w:rPr>
                            </w:pPr>
                            <w:r>
                              <w:rPr>
                                <w:sz w:val="16"/>
                                <w:szCs w:val="16"/>
                              </w:rPr>
                              <w:t>FIN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2EB5F" id="Zone de texte 33" o:spid="_x0000_s1053" type="#_x0000_t202" style="position:absolute;margin-left:235.5pt;margin-top:278.55pt;width:29.4pt;height:1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" fillcolor="white [3201]" stroked="f" strokeweight=".5pt">
                <v:textbox inset="0,0,0,0">
                  <w:txbxContent>
                    <w:p w:rsidR="00D84656" w:rsidRPr="00ED7AA6" w:rsidRDefault="00D84656" w:rsidP="00D57C66">
                      <w:pPr>
                        <w:spacing w:line="240" w:lineRule="auto"/>
                        <w:jc w:val="center"/>
                        <w:rPr>
                          <w:sz w:val="16"/>
                          <w:szCs w:val="16"/>
                        </w:rPr>
                      </w:pPr>
                      <w:r>
                        <w:rPr>
                          <w:sz w:val="16"/>
                          <w:szCs w:val="16"/>
                        </w:rPr>
                        <w:t>FIN</w:t>
                      </w:r>
                    </w:p>
                  </w:txbxContent>
                </v:textbox>
              </v:shape>
            </w:pict>
          </mc:Fallback>
        </mc:AlternateContent>
      </w:r>
      <w:r>
        <w:rPr>
          <w:noProof/>
          <w:lang w:val="en-GB" w:eastAsia="en-GB"/>
        </w:rPr>
        <mc:AlternateContent>
          <mc:Choice Requires="wps">
            <w:drawing>
              <wp:anchor distT="0" distB="0" distL="114300" distR="114300" simplePos="0" relativeHeight="251677696" behindDoc="0" locked="0" layoutInCell="1" allowOverlap="1" wp14:anchorId="350C80AE" wp14:editId="3BB17511">
                <wp:simplePos x="0" y="0"/>
                <wp:positionH relativeFrom="column">
                  <wp:posOffset>2967990</wp:posOffset>
                </wp:positionH>
                <wp:positionV relativeFrom="paragraph">
                  <wp:posOffset>1495425</wp:posOffset>
                </wp:positionV>
                <wp:extent cx="373380" cy="144780"/>
                <wp:effectExtent l="0" t="0" r="7620" b="7620"/>
                <wp:wrapNone/>
                <wp:docPr id="38" name="Zone de texte 38"/>
                <wp:cNvGraphicFramePr/>
                <a:graphic xmlns:a="http://schemas.openxmlformats.org/drawingml/2006/main">
                  <a:graphicData uri="http://schemas.microsoft.com/office/word/2010/wordprocessingShape">
                    <wps:wsp>
                      <wps:cNvSpPr txBox="1"/>
                      <wps:spPr>
                        <a:xfrm>
                          <a:off x="0" y="0"/>
                          <a:ext cx="373380" cy="144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4656" w:rsidRPr="00ED7AA6" w:rsidRDefault="00D84656" w:rsidP="00D57C66">
                            <w:pPr>
                              <w:spacing w:line="240" w:lineRule="auto"/>
                              <w:jc w:val="center"/>
                              <w:rPr>
                                <w:sz w:val="16"/>
                                <w:szCs w:val="16"/>
                              </w:rPr>
                            </w:pPr>
                            <w:r>
                              <w:rPr>
                                <w:sz w:val="16"/>
                                <w:szCs w:val="16"/>
                              </w:rPr>
                              <w:t>FIN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C80AE" id="Zone de texte 38" o:spid="_x0000_s1054" type="#_x0000_t202" style="position:absolute;margin-left:233.7pt;margin-top:117.75pt;width:29.4pt;height:1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" fillcolor="white [3201]" stroked="f" strokeweight=".5pt">
                <v:textbox inset="0,0,0,0">
                  <w:txbxContent>
                    <w:p w:rsidR="00D84656" w:rsidRPr="00ED7AA6" w:rsidRDefault="00D84656" w:rsidP="00D57C66">
                      <w:pPr>
                        <w:spacing w:line="240" w:lineRule="auto"/>
                        <w:jc w:val="center"/>
                        <w:rPr>
                          <w:sz w:val="16"/>
                          <w:szCs w:val="16"/>
                        </w:rPr>
                      </w:pPr>
                      <w:r>
                        <w:rPr>
                          <w:sz w:val="16"/>
                          <w:szCs w:val="16"/>
                        </w:rPr>
                        <w:t>FIN</w:t>
                      </w:r>
                    </w:p>
                  </w:txbxContent>
                </v:textbox>
              </v:shape>
            </w:pict>
          </mc:Fallback>
        </mc:AlternateContent>
      </w:r>
      <w:r>
        <w:rPr>
          <w:noProof/>
          <w:lang w:val="en-GB" w:eastAsia="en-GB"/>
        </w:rPr>
        <mc:AlternateContent>
          <mc:Choice Requires="wps">
            <w:drawing>
              <wp:anchor distT="0" distB="0" distL="114300" distR="114300" simplePos="0" relativeHeight="251676672" behindDoc="0" locked="0" layoutInCell="1" allowOverlap="1" wp14:anchorId="21E4EF8F" wp14:editId="66C70761">
                <wp:simplePos x="0" y="0"/>
                <wp:positionH relativeFrom="column">
                  <wp:posOffset>2998470</wp:posOffset>
                </wp:positionH>
                <wp:positionV relativeFrom="paragraph">
                  <wp:posOffset>878205</wp:posOffset>
                </wp:positionV>
                <wp:extent cx="373380" cy="144780"/>
                <wp:effectExtent l="0" t="0" r="7620" b="7620"/>
                <wp:wrapNone/>
                <wp:docPr id="39" name="Zone de texte 39"/>
                <wp:cNvGraphicFramePr/>
                <a:graphic xmlns:a="http://schemas.openxmlformats.org/drawingml/2006/main">
                  <a:graphicData uri="http://schemas.microsoft.com/office/word/2010/wordprocessingShape">
                    <wps:wsp>
                      <wps:cNvSpPr txBox="1"/>
                      <wps:spPr>
                        <a:xfrm>
                          <a:off x="0" y="0"/>
                          <a:ext cx="373380" cy="144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4656" w:rsidRPr="00ED7AA6" w:rsidRDefault="00D84656" w:rsidP="00D57C66">
                            <w:pPr>
                              <w:spacing w:line="240" w:lineRule="auto"/>
                              <w:jc w:val="center"/>
                              <w:rPr>
                                <w:sz w:val="16"/>
                                <w:szCs w:val="16"/>
                              </w:rPr>
                            </w:pPr>
                            <w:r>
                              <w:rPr>
                                <w:sz w:val="16"/>
                                <w:szCs w:val="16"/>
                              </w:rPr>
                              <w:t>FIN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4EF8F" id="Zone de texte 39" o:spid="_x0000_s1055" type="#_x0000_t202" style="position:absolute;margin-left:236.1pt;margin-top:69.15pt;width:29.4pt;height:1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" fillcolor="white [3201]" stroked="f" strokeweight=".5pt">
                <v:textbox inset="0,0,0,0">
                  <w:txbxContent>
                    <w:p w:rsidR="00D84656" w:rsidRPr="00ED7AA6" w:rsidRDefault="00D84656" w:rsidP="00D57C66">
                      <w:pPr>
                        <w:spacing w:line="240" w:lineRule="auto"/>
                        <w:jc w:val="center"/>
                        <w:rPr>
                          <w:sz w:val="16"/>
                          <w:szCs w:val="16"/>
                        </w:rPr>
                      </w:pPr>
                      <w:r>
                        <w:rPr>
                          <w:sz w:val="16"/>
                          <w:szCs w:val="16"/>
                        </w:rPr>
                        <w:t>FIN</w:t>
                      </w:r>
                    </w:p>
                  </w:txbxContent>
                </v:textbox>
              </v:shape>
            </w:pict>
          </mc:Fallback>
        </mc:AlternateContent>
      </w:r>
      <w:r>
        <w:rPr>
          <w:noProof/>
          <w:lang w:val="en-GB" w:eastAsia="en-GB"/>
        </w:rPr>
        <mc:AlternateContent>
          <mc:Choice Requires="wps">
            <w:drawing>
              <wp:anchor distT="0" distB="0" distL="114300" distR="114300" simplePos="0" relativeHeight="251675648" behindDoc="0" locked="0" layoutInCell="1" allowOverlap="1" wp14:anchorId="7C730A8C" wp14:editId="646895CB">
                <wp:simplePos x="0" y="0"/>
                <wp:positionH relativeFrom="column">
                  <wp:posOffset>1863090</wp:posOffset>
                </wp:positionH>
                <wp:positionV relativeFrom="paragraph">
                  <wp:posOffset>215265</wp:posOffset>
                </wp:positionV>
                <wp:extent cx="2773680" cy="480060"/>
                <wp:effectExtent l="0" t="0" r="7620" b="0"/>
                <wp:wrapNone/>
                <wp:docPr id="40" name="Zone de texte 40"/>
                <wp:cNvGraphicFramePr/>
                <a:graphic xmlns:a="http://schemas.openxmlformats.org/drawingml/2006/main">
                  <a:graphicData uri="http://schemas.microsoft.com/office/word/2010/wordprocessingShape">
                    <wps:wsp>
                      <wps:cNvSpPr txBox="1"/>
                      <wps:spPr>
                        <a:xfrm>
                          <a:off x="0" y="0"/>
                          <a:ext cx="2773680" cy="480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4656" w:rsidRPr="00BE2F2B" w:rsidRDefault="00D84656" w:rsidP="00D57C66">
                            <w:pPr>
                              <w:spacing w:line="240" w:lineRule="auto"/>
                              <w:jc w:val="center"/>
                              <w:rPr>
                                <w:sz w:val="18"/>
                                <w:szCs w:val="18"/>
                              </w:rPr>
                            </w:pPr>
                            <w:r w:rsidRPr="00BE2F2B">
                              <w:rPr>
                                <w:sz w:val="24"/>
                                <w:szCs w:val="24"/>
                              </w:rPr>
                              <w:t>Premier prélèvement</w:t>
                            </w:r>
                            <w:r>
                              <w:br/>
                            </w:r>
                            <w:r w:rsidRPr="00BE2F2B">
                              <w:rPr>
                                <w:sz w:val="18"/>
                                <w:szCs w:val="18"/>
                              </w:rPr>
                              <w:t>Quatre dispositifs choisis au hasard</w:t>
                            </w:r>
                            <w:r w:rsidRPr="00BE2F2B">
                              <w:rPr>
                                <w:sz w:val="18"/>
                                <w:szCs w:val="18"/>
                              </w:rPr>
                              <w:br/>
                              <w:t>et répartis entre les échantillons A et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30A8C" id="Zone de texte 40" o:spid="_x0000_s1056" type="#_x0000_t202" style="position:absolute;margin-left:146.7pt;margin-top:16.95pt;width:218.4pt;height:3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" fillcolor="white [3201]" stroked="f" strokeweight=".5pt">
                <v:textbox inset="0,0,0,0">
                  <w:txbxContent>
                    <w:p w:rsidR="00D84656" w:rsidRPr="00BE2F2B" w:rsidRDefault="00D84656" w:rsidP="00D57C66">
                      <w:pPr>
                        <w:spacing w:line="240" w:lineRule="auto"/>
                        <w:jc w:val="center"/>
                        <w:rPr>
                          <w:sz w:val="18"/>
                          <w:szCs w:val="18"/>
                        </w:rPr>
                      </w:pPr>
                      <w:r w:rsidRPr="00BE2F2B">
                        <w:rPr>
                          <w:sz w:val="24"/>
                          <w:szCs w:val="24"/>
                        </w:rPr>
                        <w:t>Premier prélèvement</w:t>
                      </w:r>
                      <w:r>
                        <w:br/>
                      </w:r>
                      <w:r w:rsidRPr="00BE2F2B">
                        <w:rPr>
                          <w:sz w:val="18"/>
                          <w:szCs w:val="18"/>
                        </w:rPr>
                        <w:t>Quatre dispositifs choisis au hasard</w:t>
                      </w:r>
                      <w:r w:rsidRPr="00BE2F2B">
                        <w:rPr>
                          <w:sz w:val="18"/>
                          <w:szCs w:val="18"/>
                        </w:rPr>
                        <w:br/>
                        <w:t>et répartis entre les échantillons A et B</w:t>
                      </w:r>
                    </w:p>
                  </w:txbxContent>
                </v:textbox>
              </v:shape>
            </w:pict>
          </mc:Fallback>
        </mc:AlternateContent>
      </w:r>
      <w:r>
        <w:rPr>
          <w:noProof/>
          <w:lang w:val="en-GB" w:eastAsia="en-GB"/>
        </w:rPr>
        <mc:AlternateContent>
          <mc:Choice Requires="wps">
            <w:drawing>
              <wp:anchor distT="0" distB="0" distL="114300" distR="114300" simplePos="0" relativeHeight="251673600" behindDoc="0" locked="0" layoutInCell="1" allowOverlap="1" wp14:anchorId="1B476D08" wp14:editId="1E2E8F0B">
                <wp:simplePos x="0" y="0"/>
                <wp:positionH relativeFrom="column">
                  <wp:posOffset>666750</wp:posOffset>
                </wp:positionH>
                <wp:positionV relativeFrom="paragraph">
                  <wp:posOffset>40005</wp:posOffset>
                </wp:positionV>
                <wp:extent cx="953770" cy="384810"/>
                <wp:effectExtent l="0" t="0" r="0" b="0"/>
                <wp:wrapNone/>
                <wp:docPr id="41" name="Zone de texte 41"/>
                <wp:cNvGraphicFramePr/>
                <a:graphic xmlns:a="http://schemas.openxmlformats.org/drawingml/2006/main">
                  <a:graphicData uri="http://schemas.microsoft.com/office/word/2010/wordprocessingShape">
                    <wps:wsp>
                      <wps:cNvSpPr txBox="1"/>
                      <wps:spPr>
                        <a:xfrm>
                          <a:off x="0" y="0"/>
                          <a:ext cx="953770" cy="3848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4656" w:rsidRDefault="00D84656" w:rsidP="00D57C66">
                            <w:pPr>
                              <w:spacing w:line="240" w:lineRule="auto"/>
                              <w:jc w:val="center"/>
                              <w:rPr>
                                <w:sz w:val="16"/>
                                <w:szCs w:val="16"/>
                              </w:rPr>
                            </w:pPr>
                            <w:r>
                              <w:rPr>
                                <w:sz w:val="16"/>
                                <w:szCs w:val="16"/>
                              </w:rPr>
                              <w:t>Échantillon A:</w:t>
                            </w:r>
                          </w:p>
                          <w:p w:rsidR="00D84656" w:rsidRPr="00ED7AA6" w:rsidRDefault="00D84656" w:rsidP="00D57C66">
                            <w:pPr>
                              <w:spacing w:line="240" w:lineRule="auto"/>
                              <w:jc w:val="center"/>
                              <w:rPr>
                                <w:sz w:val="16"/>
                                <w:szCs w:val="16"/>
                              </w:rPr>
                            </w:pPr>
                            <w:r>
                              <w:rPr>
                                <w:sz w:val="16"/>
                                <w:szCs w:val="16"/>
                              </w:rPr>
                              <w:t>deux dispositifs</w:t>
                            </w:r>
                            <w:r>
                              <w:rPr>
                                <w:sz w:val="16"/>
                                <w:szCs w:val="16"/>
                              </w:rPr>
                              <w:br/>
                              <w:t>choisis au hasard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76D08" id="Zone de texte 41" o:spid="_x0000_s1057" type="#_x0000_t202" style="position:absolute;margin-left:52.5pt;margin-top:3.15pt;width:75.1pt;height:30.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" fillcolor="white [3201]" stroked="f" strokeweight=".5pt">
                <v:textbox inset="0,0,0,0">
                  <w:txbxContent>
                    <w:p w:rsidR="00D84656" w:rsidRDefault="00D84656" w:rsidP="00D57C66">
                      <w:pPr>
                        <w:spacing w:line="240" w:lineRule="auto"/>
                        <w:jc w:val="center"/>
                        <w:rPr>
                          <w:sz w:val="16"/>
                          <w:szCs w:val="16"/>
                        </w:rPr>
                      </w:pPr>
                      <w:r>
                        <w:rPr>
                          <w:sz w:val="16"/>
                          <w:szCs w:val="16"/>
                        </w:rPr>
                        <w:t>Échantillon A:</w:t>
                      </w:r>
                    </w:p>
                    <w:p w:rsidR="00D84656" w:rsidRPr="00ED7AA6" w:rsidRDefault="00D84656" w:rsidP="00D57C66">
                      <w:pPr>
                        <w:spacing w:line="240" w:lineRule="auto"/>
                        <w:jc w:val="center"/>
                        <w:rPr>
                          <w:sz w:val="16"/>
                          <w:szCs w:val="16"/>
                        </w:rPr>
                      </w:pPr>
                      <w:r>
                        <w:rPr>
                          <w:sz w:val="16"/>
                          <w:szCs w:val="16"/>
                        </w:rPr>
                        <w:t>deux dispositifs</w:t>
                      </w:r>
                      <w:r>
                        <w:rPr>
                          <w:sz w:val="16"/>
                          <w:szCs w:val="16"/>
                        </w:rPr>
                        <w:br/>
                        <w:t>choisis au hasard</w:t>
                      </w:r>
                    </w:p>
                  </w:txbxContent>
                </v:textbox>
              </v:shape>
            </w:pict>
          </mc:Fallback>
        </mc:AlternateContent>
      </w:r>
      <w:r>
        <w:rPr>
          <w:noProof/>
          <w:lang w:val="en-GB" w:eastAsia="en-GB"/>
        </w:rPr>
        <mc:AlternateContent>
          <mc:Choice Requires="wps">
            <w:drawing>
              <wp:anchor distT="0" distB="0" distL="114300" distR="114300" simplePos="0" relativeHeight="251674624" behindDoc="0" locked="0" layoutInCell="1" allowOverlap="1" wp14:anchorId="7B32693E" wp14:editId="57FC5DF7">
                <wp:simplePos x="0" y="0"/>
                <wp:positionH relativeFrom="column">
                  <wp:posOffset>4705350</wp:posOffset>
                </wp:positionH>
                <wp:positionV relativeFrom="paragraph">
                  <wp:posOffset>40005</wp:posOffset>
                </wp:positionV>
                <wp:extent cx="831600" cy="385200"/>
                <wp:effectExtent l="0" t="0" r="6985" b="0"/>
                <wp:wrapNone/>
                <wp:docPr id="42" name="Zone de texte 42"/>
                <wp:cNvGraphicFramePr/>
                <a:graphic xmlns:a="http://schemas.openxmlformats.org/drawingml/2006/main">
                  <a:graphicData uri="http://schemas.microsoft.com/office/word/2010/wordprocessingShape">
                    <wps:wsp>
                      <wps:cNvSpPr txBox="1"/>
                      <wps:spPr>
                        <a:xfrm>
                          <a:off x="0" y="0"/>
                          <a:ext cx="831600" cy="38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4656" w:rsidRDefault="00D84656" w:rsidP="00D57C66">
                            <w:pPr>
                              <w:spacing w:line="240" w:lineRule="auto"/>
                              <w:jc w:val="center"/>
                              <w:rPr>
                                <w:sz w:val="16"/>
                                <w:szCs w:val="16"/>
                              </w:rPr>
                            </w:pPr>
                            <w:r>
                              <w:rPr>
                                <w:sz w:val="16"/>
                                <w:szCs w:val="16"/>
                              </w:rPr>
                              <w:t>Échantillon B</w:t>
                            </w:r>
                            <w:r w:rsidR="00761456">
                              <w:rPr>
                                <w:sz w:val="16"/>
                                <w:szCs w:val="16"/>
                              </w:rPr>
                              <w:t>:</w:t>
                            </w:r>
                          </w:p>
                          <w:p w:rsidR="00D84656" w:rsidRPr="00ED7AA6" w:rsidRDefault="00D84656" w:rsidP="00D57C66">
                            <w:pPr>
                              <w:spacing w:line="240" w:lineRule="auto"/>
                              <w:jc w:val="center"/>
                              <w:rPr>
                                <w:sz w:val="16"/>
                                <w:szCs w:val="16"/>
                              </w:rPr>
                            </w:pPr>
                            <w:r>
                              <w:rPr>
                                <w:sz w:val="16"/>
                                <w:szCs w:val="16"/>
                              </w:rPr>
                              <w:t>deux dispositifs</w:t>
                            </w:r>
                            <w:r>
                              <w:rPr>
                                <w:sz w:val="16"/>
                                <w:szCs w:val="16"/>
                              </w:rPr>
                              <w:br/>
                              <w:t>choisis au hasard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2693E" id="Zone de texte 42" o:spid="_x0000_s1058" type="#_x0000_t202" style="position:absolute;margin-left:370.5pt;margin-top:3.15pt;width:65.5pt;height:30.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" fillcolor="white [3201]" stroked="f" strokeweight=".5pt">
                <v:textbox inset="0,0,0,0">
                  <w:txbxContent>
                    <w:p w:rsidR="00D84656" w:rsidRDefault="00D84656" w:rsidP="00D57C66">
                      <w:pPr>
                        <w:spacing w:line="240" w:lineRule="auto"/>
                        <w:jc w:val="center"/>
                        <w:rPr>
                          <w:sz w:val="16"/>
                          <w:szCs w:val="16"/>
                        </w:rPr>
                      </w:pPr>
                      <w:r>
                        <w:rPr>
                          <w:sz w:val="16"/>
                          <w:szCs w:val="16"/>
                        </w:rPr>
                        <w:t>Échantillon B</w:t>
                      </w:r>
                      <w:r w:rsidR="00761456">
                        <w:rPr>
                          <w:sz w:val="16"/>
                          <w:szCs w:val="16"/>
                        </w:rPr>
                        <w:t>:</w:t>
                      </w:r>
                    </w:p>
                    <w:p w:rsidR="00D84656" w:rsidRPr="00ED7AA6" w:rsidRDefault="00D84656" w:rsidP="00D57C66">
                      <w:pPr>
                        <w:spacing w:line="240" w:lineRule="auto"/>
                        <w:jc w:val="center"/>
                        <w:rPr>
                          <w:sz w:val="16"/>
                          <w:szCs w:val="16"/>
                        </w:rPr>
                      </w:pPr>
                      <w:r>
                        <w:rPr>
                          <w:sz w:val="16"/>
                          <w:szCs w:val="16"/>
                        </w:rPr>
                        <w:t>deux dispositifs</w:t>
                      </w:r>
                      <w:r>
                        <w:rPr>
                          <w:sz w:val="16"/>
                          <w:szCs w:val="16"/>
                        </w:rPr>
                        <w:br/>
                        <w:t>choisis au hasard</w:t>
                      </w:r>
                    </w:p>
                  </w:txbxContent>
                </v:textbox>
              </v:shape>
            </w:pict>
          </mc:Fallback>
        </mc:AlternateContent>
      </w:r>
      <w:r w:rsidRPr="00431B0F">
        <w:object w:dxaOrig="8388" w:dyaOrig="9828">
          <v:shape id="_x0000_i1034" type="#_x0000_t75" style="width:480.75pt;height:588pt" o:ole="" o:bordertopcolor="this" o:borderleftcolor="this" o:borderbottomcolor="this" o:borderrightcolor="this">
            <v:imagedata r:id="rId53" o:title="" croptop="-1134f" cropbottom="-1134f"/>
            <w10:bordertop type="single" width="4"/>
            <w10:borderleft type="single" width="4"/>
            <w10:borderbottom type="single" width="4"/>
            <w10:borderright type="single" width="4"/>
          </v:shape>
          <o:OLEObject Type="Embed" ProgID="Unknown" ShapeID="_x0000_i1034" DrawAspect="Content" ObjectID="_1545491805" r:id="rId54"/>
        </w:object>
      </w:r>
    </w:p>
    <w:p w:rsidR="002F3A71" w:rsidRDefault="002F3A71">
      <w:pPr>
        <w:suppressAutoHyphens w:val="0"/>
        <w:kinsoku/>
        <w:overflowPunct/>
        <w:autoSpaceDE/>
        <w:autoSpaceDN/>
        <w:adjustRightInd/>
        <w:snapToGrid/>
        <w:spacing w:line="240" w:lineRule="auto"/>
        <w:rPr>
          <w:rFonts w:eastAsia="Times New Roman"/>
          <w:lang w:val="fr-FR"/>
        </w:rPr>
        <w:sectPr w:rsidR="002F3A71" w:rsidSect="004B1660">
          <w:headerReference w:type="even" r:id="rId55"/>
          <w:headerReference w:type="default" r:id="rId56"/>
          <w:footnotePr>
            <w:numRestart w:val="eachSect"/>
          </w:footnotePr>
          <w:endnotePr>
            <w:numFmt w:val="decimal"/>
          </w:endnotePr>
          <w:pgSz w:w="11907" w:h="16840" w:code="9"/>
          <w:pgMar w:top="1701" w:right="1134" w:bottom="2268" w:left="1134" w:header="794" w:footer="1701" w:gutter="0"/>
          <w:cols w:space="720"/>
          <w:docGrid w:linePitch="272"/>
        </w:sectPr>
      </w:pPr>
    </w:p>
    <w:p w:rsidR="002F3A71" w:rsidRPr="002F3A71" w:rsidRDefault="002F3A71" w:rsidP="002F3A71">
      <w:pPr>
        <w:pStyle w:val="HChG"/>
      </w:pPr>
      <w:bookmarkStart w:id="57" w:name="_Toc386120441"/>
      <w:r w:rsidRPr="008B062D">
        <w:rPr>
          <w:lang w:val="fr-FR"/>
        </w:rPr>
        <w:t>Annexe 9</w:t>
      </w:r>
      <w:bookmarkEnd w:id="57"/>
    </w:p>
    <w:p w:rsidR="002F3A71" w:rsidRPr="002F3A71" w:rsidRDefault="002F3A71" w:rsidP="002F3A71">
      <w:pPr>
        <w:pStyle w:val="HChG"/>
      </w:pPr>
      <w:r w:rsidRPr="008B062D">
        <w:rPr>
          <w:lang w:val="fr-FR"/>
        </w:rPr>
        <w:tab/>
      </w:r>
      <w:r w:rsidRPr="008B062D">
        <w:rPr>
          <w:lang w:val="fr-FR"/>
        </w:rPr>
        <w:tab/>
        <w:t>Résistance des couleurs à la lumière artificielle:</w:t>
      </w:r>
      <w:r w:rsidRPr="008B062D">
        <w:rPr>
          <w:lang w:val="fr-FR"/>
        </w:rPr>
        <w:br/>
        <w:t>essai avec une lampe à arc au xénon</w:t>
      </w:r>
    </w:p>
    <w:p w:rsidR="002F3A71" w:rsidRPr="006B41B3" w:rsidRDefault="002F3A71" w:rsidP="002F3A71">
      <w:pPr>
        <w:pStyle w:val="SingleTxtG"/>
        <w:keepNext/>
        <w:ind w:left="2268" w:hanging="1134"/>
        <w:rPr>
          <w:bCs/>
          <w:lang w:val="fr-FR"/>
        </w:rPr>
      </w:pPr>
      <w:r w:rsidRPr="006B41B3">
        <w:rPr>
          <w:bCs/>
          <w:lang w:val="fr-FR"/>
        </w:rPr>
        <w:t>1.</w:t>
      </w:r>
      <w:r w:rsidRPr="006B41B3">
        <w:rPr>
          <w:bCs/>
          <w:lang w:val="fr-FR"/>
        </w:rPr>
        <w:tab/>
      </w:r>
      <w:r w:rsidRPr="006B41B3">
        <w:rPr>
          <w:lang w:val="fr-FR"/>
        </w:rPr>
        <w:t>Domaine d’application</w:t>
      </w:r>
    </w:p>
    <w:p w:rsidR="002F3A71" w:rsidRPr="006B41B3" w:rsidRDefault="002F3A71" w:rsidP="002F3A71">
      <w:pPr>
        <w:pStyle w:val="SingleTxtG"/>
        <w:ind w:left="2268"/>
        <w:rPr>
          <w:bCs/>
          <w:lang w:val="fr-FR"/>
        </w:rPr>
      </w:pPr>
      <w:r w:rsidRPr="006B41B3">
        <w:rPr>
          <w:lang w:val="fr-FR"/>
        </w:rPr>
        <w:t xml:space="preserve">On trouvera dans la présente annexe la description d’une méthode visant à déterminer la résistance de la couleur d’échantillons d’essai de tous types et de toutes formes à l’action d’une source de lumière artificielle représentative de la lumière naturelle du jour </w:t>
      </w:r>
      <w:r w:rsidRPr="006B41B3">
        <w:rPr>
          <w:bCs/>
          <w:lang w:val="fr-FR"/>
        </w:rPr>
        <w:t>(D65).</w:t>
      </w:r>
    </w:p>
    <w:p w:rsidR="002F3A71" w:rsidRPr="006B41B3" w:rsidRDefault="002F3A71" w:rsidP="002F3A71">
      <w:pPr>
        <w:pStyle w:val="SingleTxtG"/>
        <w:keepNext/>
        <w:ind w:left="2268" w:hanging="1134"/>
        <w:rPr>
          <w:bCs/>
          <w:lang w:val="fr-FR"/>
        </w:rPr>
      </w:pPr>
      <w:r w:rsidRPr="006B41B3">
        <w:rPr>
          <w:bCs/>
          <w:lang w:val="fr-FR"/>
        </w:rPr>
        <w:t>2.</w:t>
      </w:r>
      <w:r w:rsidRPr="006B41B3">
        <w:rPr>
          <w:bCs/>
          <w:lang w:val="fr-FR"/>
        </w:rPr>
        <w:tab/>
      </w:r>
      <w:r w:rsidRPr="006B41B3">
        <w:rPr>
          <w:lang w:val="fr-FR"/>
        </w:rPr>
        <w:t>Principe</w:t>
      </w:r>
    </w:p>
    <w:p w:rsidR="002F3A71" w:rsidRPr="006B41B3" w:rsidRDefault="002F3A71" w:rsidP="002F3A71">
      <w:pPr>
        <w:pStyle w:val="SingleTxtG"/>
        <w:ind w:left="2268"/>
        <w:rPr>
          <w:bCs/>
          <w:lang w:val="fr-FR"/>
        </w:rPr>
      </w:pPr>
      <w:r w:rsidRPr="006B41B3">
        <w:rPr>
          <w:lang w:val="fr-FR"/>
        </w:rPr>
        <w:t>Un spécimen de matériau à éprouver est exposé à une lumière artificielle dans les conditions prescrites, avec le matériau de référence spécifié (laine bleue).</w:t>
      </w:r>
    </w:p>
    <w:p w:rsidR="002F3A71" w:rsidRPr="006B41B3" w:rsidRDefault="002F3A71" w:rsidP="002F3A71">
      <w:pPr>
        <w:pStyle w:val="SingleTxtG"/>
        <w:keepNext/>
        <w:ind w:left="2268" w:hanging="1134"/>
        <w:rPr>
          <w:bCs/>
          <w:lang w:val="fr-FR"/>
        </w:rPr>
      </w:pPr>
      <w:r w:rsidRPr="006B41B3">
        <w:rPr>
          <w:bCs/>
          <w:lang w:val="fr-FR"/>
        </w:rPr>
        <w:t>3.</w:t>
      </w:r>
      <w:r w:rsidRPr="006B41B3">
        <w:rPr>
          <w:bCs/>
          <w:lang w:val="fr-FR"/>
        </w:rPr>
        <w:tab/>
      </w:r>
      <w:r w:rsidRPr="006B41B3">
        <w:rPr>
          <w:lang w:val="fr-FR"/>
        </w:rPr>
        <w:t xml:space="preserve">Matériaux de référence </w:t>
      </w:r>
    </w:p>
    <w:p w:rsidR="002F3A71" w:rsidRPr="006B41B3" w:rsidRDefault="002F3A71" w:rsidP="002F3A71">
      <w:pPr>
        <w:pStyle w:val="SingleTxtG"/>
        <w:ind w:left="2268"/>
        <w:rPr>
          <w:lang w:val="fr-FR"/>
        </w:rPr>
      </w:pPr>
      <w:r w:rsidRPr="006B41B3">
        <w:rPr>
          <w:lang w:val="fr-FR"/>
        </w:rPr>
        <w:t xml:space="preserve">Les indices de stabilité des couleurs mentionnés dans la présente annexe s’obtiennent par comparaison avec les références de laine bleue spécifiées, soumises à une exposition aux fins de la vérification du rayonnement maximal admis comme contraste maximal prescrit dans le présent Règlement. </w:t>
      </w:r>
    </w:p>
    <w:p w:rsidR="002F3A71" w:rsidRPr="006B41B3" w:rsidRDefault="002F3A71" w:rsidP="002F3A71">
      <w:pPr>
        <w:pStyle w:val="SingleTxtG"/>
        <w:ind w:left="2268" w:hanging="1134"/>
        <w:rPr>
          <w:bCs/>
          <w:lang w:val="fr-FR"/>
        </w:rPr>
      </w:pPr>
      <w:r w:rsidRPr="006B41B3">
        <w:rPr>
          <w:bCs/>
          <w:lang w:val="fr-FR"/>
        </w:rPr>
        <w:t>3.1</w:t>
      </w:r>
      <w:r w:rsidRPr="006B41B3">
        <w:rPr>
          <w:bCs/>
          <w:lang w:val="fr-FR"/>
        </w:rPr>
        <w:tab/>
      </w:r>
      <w:r w:rsidRPr="006B41B3">
        <w:rPr>
          <w:lang w:val="fr-FR"/>
        </w:rPr>
        <w:t>Les références de laine bleue mises au point et fabriquées en Europe sont désignées par les chiffres 1 à 8.</w:t>
      </w:r>
      <w:r w:rsidRPr="006B41B3">
        <w:rPr>
          <w:bCs/>
          <w:lang w:val="fr-FR"/>
        </w:rPr>
        <w:t xml:space="preserve"> </w:t>
      </w:r>
      <w:r w:rsidRPr="006B41B3">
        <w:rPr>
          <w:lang w:val="fr-FR"/>
        </w:rPr>
        <w:t>Ce sont des échantillons de laine teints à l’aide des colorants indiqués au tableau 1</w:t>
      </w:r>
      <w:r w:rsidRPr="006B41B3">
        <w:rPr>
          <w:bCs/>
          <w:lang w:val="fr-FR"/>
        </w:rPr>
        <w:t xml:space="preserve">. </w:t>
      </w:r>
      <w:r w:rsidRPr="006B41B3">
        <w:rPr>
          <w:lang w:val="fr-FR"/>
        </w:rPr>
        <w:t>Aux fins de la procédure d’essai décrite dans la présente annexe, on utilise uniquement les références de laine bleue 5 et 7, mentionnées dans le tableau 1 ci-après.</w:t>
      </w:r>
    </w:p>
    <w:p w:rsidR="002F3A71" w:rsidRPr="006B41B3" w:rsidRDefault="002F3A71" w:rsidP="002F3A71">
      <w:pPr>
        <w:pStyle w:val="Heading1"/>
        <w:spacing w:before="120"/>
        <w:rPr>
          <w:lang w:val="fr-FR"/>
        </w:rPr>
      </w:pPr>
      <w:r w:rsidRPr="006B41B3">
        <w:rPr>
          <w:lang w:val="fr-FR"/>
        </w:rPr>
        <w:t>Tableau 1</w:t>
      </w:r>
    </w:p>
    <w:p w:rsidR="002F3A71" w:rsidRPr="006B41B3" w:rsidRDefault="002F3A71" w:rsidP="002F3A71">
      <w:pPr>
        <w:pStyle w:val="Heading1"/>
        <w:spacing w:after="120"/>
        <w:rPr>
          <w:b/>
          <w:lang w:val="fr-FR"/>
        </w:rPr>
      </w:pPr>
      <w:r w:rsidRPr="006B41B3">
        <w:rPr>
          <w:b/>
          <w:lang w:val="fr-FR"/>
        </w:rPr>
        <w:t xml:space="preserve">Colorants utilisés pour les références de laine bleue 5 et 7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5103"/>
      </w:tblGrid>
      <w:tr w:rsidR="002F3A71" w:rsidRPr="00960CC6" w:rsidTr="00AB1CBE">
        <w:trPr>
          <w:tblHeader/>
        </w:trPr>
        <w:tc>
          <w:tcPr>
            <w:tcW w:w="2268" w:type="dxa"/>
            <w:tcBorders>
              <w:bottom w:val="single" w:sz="12" w:space="0" w:color="auto"/>
            </w:tcBorders>
            <w:shd w:val="clear" w:color="auto" w:fill="auto"/>
            <w:vAlign w:val="bottom"/>
          </w:tcPr>
          <w:p w:rsidR="002F3A71" w:rsidRPr="00960CC6" w:rsidRDefault="002F3A71" w:rsidP="00960CC6">
            <w:pPr>
              <w:suppressAutoHyphens w:val="0"/>
              <w:spacing w:before="60" w:after="60" w:line="200" w:lineRule="atLeast"/>
              <w:ind w:left="57" w:right="57"/>
              <w:jc w:val="center"/>
              <w:rPr>
                <w:i/>
                <w:sz w:val="16"/>
                <w:szCs w:val="16"/>
                <w:lang w:val="fr-FR"/>
              </w:rPr>
            </w:pPr>
            <w:r w:rsidRPr="00960CC6">
              <w:rPr>
                <w:i/>
                <w:sz w:val="16"/>
                <w:szCs w:val="16"/>
                <w:lang w:val="fr-FR"/>
              </w:rPr>
              <w:t>Référence</w:t>
            </w:r>
          </w:p>
        </w:tc>
        <w:tc>
          <w:tcPr>
            <w:tcW w:w="5103" w:type="dxa"/>
            <w:tcBorders>
              <w:bottom w:val="single" w:sz="12" w:space="0" w:color="auto"/>
            </w:tcBorders>
            <w:shd w:val="clear" w:color="auto" w:fill="auto"/>
            <w:vAlign w:val="bottom"/>
          </w:tcPr>
          <w:p w:rsidR="002F3A71" w:rsidRPr="00960CC6" w:rsidRDefault="002F3A71" w:rsidP="00960CC6">
            <w:pPr>
              <w:suppressAutoHyphens w:val="0"/>
              <w:spacing w:before="60" w:after="60" w:line="200" w:lineRule="atLeast"/>
              <w:ind w:left="57" w:right="57"/>
              <w:jc w:val="center"/>
              <w:rPr>
                <w:i/>
                <w:sz w:val="16"/>
                <w:szCs w:val="16"/>
                <w:lang w:val="fr-FR"/>
              </w:rPr>
            </w:pPr>
            <w:r w:rsidRPr="00960CC6">
              <w:rPr>
                <w:i/>
                <w:sz w:val="16"/>
                <w:szCs w:val="16"/>
                <w:lang w:val="fr-FR"/>
              </w:rPr>
              <w:t>Colorant (désignation selon le Colour Index)</w:t>
            </w:r>
            <w:r w:rsidRPr="00960CC6">
              <w:rPr>
                <w:sz w:val="16"/>
                <w:szCs w:val="16"/>
                <w:vertAlign w:val="superscript"/>
                <w:lang w:val="fr-FR"/>
              </w:rPr>
              <w:t>1</w:t>
            </w:r>
          </w:p>
        </w:tc>
      </w:tr>
      <w:tr w:rsidR="002F3A71" w:rsidRPr="009E50E6" w:rsidTr="00AB1CBE">
        <w:tc>
          <w:tcPr>
            <w:tcW w:w="2268" w:type="dxa"/>
            <w:tcBorders>
              <w:top w:val="single" w:sz="12" w:space="0" w:color="auto"/>
              <w:bottom w:val="single" w:sz="4" w:space="0" w:color="auto"/>
            </w:tcBorders>
            <w:shd w:val="clear" w:color="auto" w:fill="auto"/>
          </w:tcPr>
          <w:p w:rsidR="002F3A71" w:rsidRPr="009E50E6" w:rsidRDefault="002F3A71" w:rsidP="009E50E6">
            <w:pPr>
              <w:suppressAutoHyphens w:val="0"/>
              <w:spacing w:before="60" w:after="60" w:line="220" w:lineRule="atLeast"/>
              <w:ind w:left="57" w:right="57"/>
              <w:rPr>
                <w:sz w:val="18"/>
                <w:szCs w:val="18"/>
                <w:lang w:val="fr-FR"/>
              </w:rPr>
            </w:pPr>
            <w:r w:rsidRPr="009E50E6">
              <w:rPr>
                <w:sz w:val="18"/>
                <w:szCs w:val="18"/>
                <w:lang w:val="fr-FR"/>
              </w:rPr>
              <w:t>5</w:t>
            </w:r>
          </w:p>
        </w:tc>
        <w:tc>
          <w:tcPr>
            <w:tcW w:w="5103" w:type="dxa"/>
            <w:tcBorders>
              <w:top w:val="single" w:sz="12" w:space="0" w:color="auto"/>
              <w:bottom w:val="single" w:sz="4" w:space="0" w:color="auto"/>
            </w:tcBorders>
            <w:shd w:val="clear" w:color="auto" w:fill="auto"/>
          </w:tcPr>
          <w:p w:rsidR="002F3A71" w:rsidRPr="009E50E6" w:rsidRDefault="002F3A71" w:rsidP="009E50E6">
            <w:pPr>
              <w:suppressAutoHyphens w:val="0"/>
              <w:spacing w:before="60" w:after="60" w:line="220" w:lineRule="atLeast"/>
              <w:ind w:left="57" w:right="57"/>
              <w:jc w:val="center"/>
              <w:rPr>
                <w:sz w:val="18"/>
                <w:szCs w:val="18"/>
                <w:lang w:val="fr-FR"/>
              </w:rPr>
            </w:pPr>
            <w:r w:rsidRPr="009E50E6">
              <w:rPr>
                <w:sz w:val="18"/>
                <w:szCs w:val="18"/>
                <w:lang w:val="fr-FR"/>
              </w:rPr>
              <w:t>Cl Acid Blue 47</w:t>
            </w:r>
          </w:p>
        </w:tc>
      </w:tr>
      <w:tr w:rsidR="002F3A71" w:rsidRPr="009E50E6" w:rsidTr="00AB1CBE">
        <w:tc>
          <w:tcPr>
            <w:tcW w:w="2268" w:type="dxa"/>
            <w:tcBorders>
              <w:bottom w:val="single" w:sz="12" w:space="0" w:color="auto"/>
            </w:tcBorders>
            <w:shd w:val="clear" w:color="auto" w:fill="auto"/>
          </w:tcPr>
          <w:p w:rsidR="002F3A71" w:rsidRPr="009E50E6" w:rsidRDefault="002F3A71" w:rsidP="009E50E6">
            <w:pPr>
              <w:suppressAutoHyphens w:val="0"/>
              <w:spacing w:before="60" w:after="60" w:line="220" w:lineRule="atLeast"/>
              <w:ind w:left="57" w:right="57"/>
              <w:rPr>
                <w:sz w:val="18"/>
                <w:szCs w:val="18"/>
                <w:lang w:val="fr-FR"/>
              </w:rPr>
            </w:pPr>
            <w:r w:rsidRPr="009E50E6">
              <w:rPr>
                <w:sz w:val="18"/>
                <w:szCs w:val="18"/>
                <w:lang w:val="fr-FR"/>
              </w:rPr>
              <w:t>7</w:t>
            </w:r>
          </w:p>
        </w:tc>
        <w:tc>
          <w:tcPr>
            <w:tcW w:w="5103" w:type="dxa"/>
            <w:tcBorders>
              <w:bottom w:val="single" w:sz="12" w:space="0" w:color="auto"/>
            </w:tcBorders>
            <w:shd w:val="clear" w:color="auto" w:fill="auto"/>
          </w:tcPr>
          <w:p w:rsidR="002F3A71" w:rsidRPr="009E50E6" w:rsidRDefault="002F3A71" w:rsidP="009E50E6">
            <w:pPr>
              <w:suppressAutoHyphens w:val="0"/>
              <w:spacing w:before="60" w:after="60" w:line="220" w:lineRule="atLeast"/>
              <w:ind w:left="57" w:right="57"/>
              <w:jc w:val="center"/>
              <w:rPr>
                <w:sz w:val="18"/>
                <w:szCs w:val="18"/>
                <w:lang w:val="fr-FR"/>
              </w:rPr>
            </w:pPr>
            <w:r w:rsidRPr="009E50E6">
              <w:rPr>
                <w:sz w:val="18"/>
                <w:szCs w:val="18"/>
                <w:lang w:val="fr-FR"/>
              </w:rPr>
              <w:t>Cl Solubilised Vat Blue 5</w:t>
            </w:r>
          </w:p>
        </w:tc>
      </w:tr>
    </w:tbl>
    <w:p w:rsidR="002F3A71" w:rsidRPr="006B41B3" w:rsidRDefault="00513422" w:rsidP="00513422">
      <w:pPr>
        <w:pStyle w:val="SingleTxtG"/>
        <w:keepNext/>
        <w:spacing w:before="120" w:after="240"/>
        <w:ind w:firstLine="170"/>
        <w:jc w:val="left"/>
        <w:rPr>
          <w:bCs/>
          <w:lang w:val="fr-FR"/>
        </w:rPr>
      </w:pPr>
      <w:r w:rsidRPr="009A1926">
        <w:rPr>
          <w:bCs/>
          <w:i/>
          <w:sz w:val="18"/>
          <w:szCs w:val="18"/>
          <w:vertAlign w:val="superscript"/>
          <w:lang w:val="fr-FR"/>
        </w:rPr>
        <w:t>1</w:t>
      </w:r>
      <w:r w:rsidRPr="009E50E6">
        <w:rPr>
          <w:sz w:val="18"/>
          <w:szCs w:val="18"/>
          <w:lang w:val="fr-FR"/>
        </w:rPr>
        <w:t xml:space="preserve">  Le Colour Index (3</w:t>
      </w:r>
      <w:r w:rsidRPr="009E50E6">
        <w:rPr>
          <w:sz w:val="18"/>
          <w:szCs w:val="18"/>
          <w:vertAlign w:val="superscript"/>
          <w:lang w:val="fr-FR"/>
        </w:rPr>
        <w:t>e</w:t>
      </w:r>
      <w:r w:rsidRPr="009E50E6">
        <w:rPr>
          <w:sz w:val="18"/>
          <w:szCs w:val="18"/>
          <w:lang w:val="fr-FR"/>
        </w:rPr>
        <w:t> éd.) est publié par la Society of Dyers and Colourists, P.O. Box 244, Perkin House, 82 Grattan Road, Bradford BD1 2JB, Royaume-Uni, et par l’American Association of Textile Chemists and Colorists, P.O. Box 12215, Research Triangle Park, NC 27709-2215, États</w:t>
      </w:r>
      <w:r w:rsidRPr="009E50E6">
        <w:rPr>
          <w:sz w:val="18"/>
          <w:szCs w:val="18"/>
          <w:lang w:val="fr-FR"/>
        </w:rPr>
        <w:noBreakHyphen/>
        <w:t>Unis d’Amérique</w:t>
      </w:r>
      <w:r w:rsidRPr="009E50E6">
        <w:rPr>
          <w:bCs/>
          <w:sz w:val="18"/>
          <w:szCs w:val="18"/>
          <w:lang w:val="fr-FR"/>
        </w:rPr>
        <w:t>.</w:t>
      </w:r>
    </w:p>
    <w:p w:rsidR="002F3A71" w:rsidRPr="006B41B3" w:rsidRDefault="002F3A71" w:rsidP="002F3A71">
      <w:pPr>
        <w:pStyle w:val="SingleTxtG"/>
        <w:keepNext/>
        <w:ind w:left="2268" w:hanging="1134"/>
        <w:rPr>
          <w:bCs/>
          <w:lang w:val="fr-FR"/>
        </w:rPr>
      </w:pPr>
      <w:r w:rsidRPr="006B41B3">
        <w:rPr>
          <w:bCs/>
          <w:lang w:val="fr-FR"/>
        </w:rPr>
        <w:t>4.</w:t>
      </w:r>
      <w:r w:rsidRPr="006B41B3">
        <w:rPr>
          <w:bCs/>
          <w:lang w:val="fr-FR"/>
        </w:rPr>
        <w:tab/>
      </w:r>
      <w:r w:rsidRPr="006B41B3">
        <w:rPr>
          <w:lang w:val="fr-FR"/>
        </w:rPr>
        <w:t xml:space="preserve">Échelle de gris </w:t>
      </w:r>
    </w:p>
    <w:p w:rsidR="002F3A71" w:rsidRPr="006B41B3" w:rsidRDefault="002F3A71" w:rsidP="002F3A71">
      <w:pPr>
        <w:pStyle w:val="SingleTxtG"/>
        <w:ind w:left="2268"/>
        <w:rPr>
          <w:lang w:val="fr-FR"/>
        </w:rPr>
      </w:pPr>
      <w:r w:rsidRPr="006B41B3">
        <w:rPr>
          <w:lang w:val="fr-FR"/>
        </w:rPr>
        <w:t>Échelle permettant d’évaluer la dégradation de la couleur des échantillons d’essai lors des essais de stabilité des coul</w:t>
      </w:r>
      <w:r w:rsidR="00513422">
        <w:rPr>
          <w:lang w:val="fr-FR"/>
        </w:rPr>
        <w:t>eurs. On trouvera à l’appendice </w:t>
      </w:r>
      <w:r w:rsidRPr="006B41B3">
        <w:rPr>
          <w:lang w:val="fr-FR"/>
        </w:rPr>
        <w:t>1 de la présente annexe une définition colorimétrique précise de l’échelle.</w:t>
      </w:r>
    </w:p>
    <w:p w:rsidR="002F3A71" w:rsidRPr="006B41B3" w:rsidRDefault="002F3A71" w:rsidP="002F3A71">
      <w:pPr>
        <w:pStyle w:val="SingleTxtG"/>
        <w:ind w:left="2268" w:hanging="1134"/>
        <w:rPr>
          <w:lang w:val="fr-FR"/>
        </w:rPr>
      </w:pPr>
      <w:r w:rsidRPr="006B41B3">
        <w:rPr>
          <w:lang w:val="fr-FR"/>
        </w:rPr>
        <w:t>4.1</w:t>
      </w:r>
      <w:r w:rsidRPr="006B41B3">
        <w:rPr>
          <w:lang w:val="fr-FR"/>
        </w:rPr>
        <w:tab/>
        <w:t>Le mode d’emploi de l’échelle est présenté à la note 2 du tableau 1 de l’appendice 1 de la présente annexe.</w:t>
      </w:r>
    </w:p>
    <w:p w:rsidR="002F3A71" w:rsidRPr="006B41B3" w:rsidRDefault="002F3A71" w:rsidP="002F3A71">
      <w:pPr>
        <w:pStyle w:val="SingleTxtG"/>
        <w:keepNext/>
        <w:ind w:left="2268" w:hanging="1134"/>
        <w:rPr>
          <w:bCs/>
          <w:lang w:val="fr-FR"/>
        </w:rPr>
      </w:pPr>
      <w:r w:rsidRPr="006B41B3">
        <w:rPr>
          <w:bCs/>
          <w:lang w:val="fr-FR"/>
        </w:rPr>
        <w:t>5.</w:t>
      </w:r>
      <w:r w:rsidRPr="006B41B3">
        <w:rPr>
          <w:bCs/>
          <w:lang w:val="fr-FR"/>
        </w:rPr>
        <w:tab/>
      </w:r>
      <w:r w:rsidRPr="006B41B3">
        <w:rPr>
          <w:lang w:val="fr-FR"/>
        </w:rPr>
        <w:t xml:space="preserve">Dispositif d’exposition à lampe à arc au xénon </w:t>
      </w:r>
    </w:p>
    <w:p w:rsidR="002F3A71" w:rsidRPr="006B41B3" w:rsidRDefault="002F3A71" w:rsidP="002F3A71">
      <w:pPr>
        <w:pStyle w:val="SingleTxtG"/>
        <w:ind w:left="2268"/>
        <w:rPr>
          <w:lang w:val="fr-FR"/>
        </w:rPr>
      </w:pPr>
      <w:r w:rsidRPr="006B41B3">
        <w:rPr>
          <w:lang w:val="fr-FR"/>
        </w:rPr>
        <w:t xml:space="preserve">Le dispositif employé est un dispositif à lampe à arc au xénon refroidie par eau ou par air permettant d’exposer des échantillons conformément à la norme EN ISO 4892-2. </w:t>
      </w:r>
    </w:p>
    <w:p w:rsidR="002F3A71" w:rsidRPr="006B41B3" w:rsidRDefault="002F3A71" w:rsidP="002F3A71">
      <w:pPr>
        <w:pStyle w:val="SingleTxtG"/>
        <w:ind w:left="2268" w:hanging="1134"/>
        <w:rPr>
          <w:lang w:val="fr-FR"/>
        </w:rPr>
      </w:pPr>
      <w:r w:rsidRPr="006B41B3">
        <w:rPr>
          <w:lang w:val="fr-FR"/>
        </w:rPr>
        <w:t>5.1</w:t>
      </w:r>
      <w:r w:rsidRPr="006B41B3">
        <w:rPr>
          <w:lang w:val="fr-FR"/>
        </w:rPr>
        <w:tab/>
        <w:t>Les conditions d’exposition doivent être conformes aux prescriptions du tableau 2 ci-après.</w:t>
      </w:r>
    </w:p>
    <w:p w:rsidR="002F3A71" w:rsidRPr="006B41B3" w:rsidRDefault="002F3A71" w:rsidP="002F3A71">
      <w:pPr>
        <w:pStyle w:val="Heading1"/>
        <w:rPr>
          <w:lang w:val="fr-FR"/>
        </w:rPr>
      </w:pPr>
      <w:r w:rsidRPr="006B41B3">
        <w:rPr>
          <w:lang w:val="fr-FR"/>
        </w:rPr>
        <w:t>Tableau 2</w:t>
      </w:r>
    </w:p>
    <w:p w:rsidR="002F3A71" w:rsidRPr="006B41B3" w:rsidRDefault="002F3A71" w:rsidP="002F3A71">
      <w:pPr>
        <w:pStyle w:val="Heading1"/>
        <w:spacing w:after="120"/>
        <w:rPr>
          <w:b/>
          <w:lang w:val="fr-FR"/>
        </w:rPr>
      </w:pPr>
      <w:r w:rsidRPr="006B41B3">
        <w:rPr>
          <w:b/>
          <w:lang w:val="fr-FR"/>
        </w:rPr>
        <w:t>Paramètres de l’essai de résistance aux intempéries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12"/>
        <w:gridCol w:w="2513"/>
        <w:gridCol w:w="2345"/>
      </w:tblGrid>
      <w:tr w:rsidR="002F3A71" w:rsidRPr="00960CC6" w:rsidTr="00AB1CBE">
        <w:trPr>
          <w:tblHeader/>
        </w:trPr>
        <w:tc>
          <w:tcPr>
            <w:tcW w:w="2512" w:type="dxa"/>
            <w:tcBorders>
              <w:bottom w:val="single" w:sz="12" w:space="0" w:color="auto"/>
            </w:tcBorders>
            <w:shd w:val="clear" w:color="auto" w:fill="auto"/>
            <w:vAlign w:val="bottom"/>
          </w:tcPr>
          <w:p w:rsidR="002F3A71" w:rsidRPr="00960CC6" w:rsidRDefault="002F3A71" w:rsidP="00960CC6">
            <w:pPr>
              <w:suppressAutoHyphens w:val="0"/>
              <w:spacing w:before="60" w:after="60" w:line="200" w:lineRule="atLeast"/>
              <w:ind w:left="57" w:right="57"/>
              <w:jc w:val="center"/>
              <w:rPr>
                <w:i/>
                <w:sz w:val="16"/>
                <w:szCs w:val="16"/>
                <w:lang w:val="fr-FR"/>
              </w:rPr>
            </w:pPr>
            <w:r w:rsidRPr="00960CC6">
              <w:rPr>
                <w:i/>
                <w:sz w:val="16"/>
                <w:szCs w:val="16"/>
                <w:lang w:val="fr-FR"/>
              </w:rPr>
              <w:t xml:space="preserve">Paramètres d’exposition </w:t>
            </w:r>
          </w:p>
        </w:tc>
        <w:tc>
          <w:tcPr>
            <w:tcW w:w="2513" w:type="dxa"/>
            <w:tcBorders>
              <w:bottom w:val="single" w:sz="12" w:space="0" w:color="auto"/>
            </w:tcBorders>
            <w:shd w:val="clear" w:color="auto" w:fill="auto"/>
            <w:vAlign w:val="bottom"/>
          </w:tcPr>
          <w:p w:rsidR="002F3A71" w:rsidRPr="00960CC6" w:rsidRDefault="002F3A71" w:rsidP="00960CC6">
            <w:pPr>
              <w:suppressAutoHyphens w:val="0"/>
              <w:spacing w:before="60" w:after="60" w:line="200" w:lineRule="atLeast"/>
              <w:ind w:left="57" w:right="57"/>
              <w:jc w:val="center"/>
              <w:rPr>
                <w:i/>
                <w:sz w:val="16"/>
                <w:szCs w:val="16"/>
                <w:lang w:val="fr-FR"/>
              </w:rPr>
            </w:pPr>
            <w:r w:rsidRPr="00960CC6">
              <w:rPr>
                <w:i/>
                <w:sz w:val="16"/>
                <w:szCs w:val="16"/>
                <w:lang w:val="fr-FR"/>
              </w:rPr>
              <w:t xml:space="preserve">Lampe refroidie par air </w:t>
            </w:r>
          </w:p>
        </w:tc>
        <w:tc>
          <w:tcPr>
            <w:tcW w:w="2345" w:type="dxa"/>
            <w:tcBorders>
              <w:bottom w:val="single" w:sz="12" w:space="0" w:color="auto"/>
            </w:tcBorders>
            <w:shd w:val="clear" w:color="auto" w:fill="auto"/>
            <w:vAlign w:val="bottom"/>
          </w:tcPr>
          <w:p w:rsidR="002F3A71" w:rsidRPr="00960CC6" w:rsidRDefault="002F3A71" w:rsidP="00960CC6">
            <w:pPr>
              <w:suppressAutoHyphens w:val="0"/>
              <w:spacing w:before="60" w:after="60" w:line="200" w:lineRule="atLeast"/>
              <w:ind w:left="57" w:right="57"/>
              <w:jc w:val="center"/>
              <w:rPr>
                <w:i/>
                <w:sz w:val="16"/>
                <w:szCs w:val="16"/>
                <w:lang w:val="fr-FR"/>
              </w:rPr>
            </w:pPr>
            <w:r w:rsidRPr="00960CC6">
              <w:rPr>
                <w:i/>
                <w:sz w:val="16"/>
                <w:szCs w:val="16"/>
                <w:lang w:val="fr-FR"/>
              </w:rPr>
              <w:t xml:space="preserve">Lampe refroidie par eau </w:t>
            </w:r>
          </w:p>
        </w:tc>
      </w:tr>
      <w:tr w:rsidR="002F3A71" w:rsidRPr="00E60587" w:rsidTr="00AB1CBE">
        <w:tc>
          <w:tcPr>
            <w:tcW w:w="2512" w:type="dxa"/>
            <w:tcBorders>
              <w:top w:val="single" w:sz="12" w:space="0" w:color="auto"/>
            </w:tcBorders>
            <w:shd w:val="clear" w:color="auto" w:fill="auto"/>
          </w:tcPr>
          <w:p w:rsidR="002F3A71" w:rsidRPr="00E60587" w:rsidRDefault="002F3A71" w:rsidP="00E60587">
            <w:pPr>
              <w:suppressAutoHyphens w:val="0"/>
              <w:spacing w:before="60" w:after="60" w:line="220" w:lineRule="atLeast"/>
              <w:ind w:left="57" w:right="57"/>
              <w:rPr>
                <w:sz w:val="18"/>
                <w:szCs w:val="18"/>
                <w:lang w:val="fr-FR"/>
              </w:rPr>
            </w:pPr>
            <w:r w:rsidRPr="00E60587">
              <w:rPr>
                <w:sz w:val="18"/>
                <w:szCs w:val="18"/>
                <w:lang w:val="fr-FR"/>
              </w:rPr>
              <w:t>Cycle lumière/obscurité/ pulvérisation d’eau</w:t>
            </w:r>
          </w:p>
        </w:tc>
        <w:tc>
          <w:tcPr>
            <w:tcW w:w="2513" w:type="dxa"/>
            <w:tcBorders>
              <w:top w:val="single" w:sz="12" w:space="0" w:color="auto"/>
            </w:tcBorders>
            <w:shd w:val="clear" w:color="auto" w:fill="auto"/>
          </w:tcPr>
          <w:p w:rsidR="002F3A71" w:rsidRPr="00E60587" w:rsidRDefault="002F3A71" w:rsidP="00E60587">
            <w:pPr>
              <w:suppressAutoHyphens w:val="0"/>
              <w:spacing w:before="60" w:after="60" w:line="220" w:lineRule="atLeast"/>
              <w:ind w:left="57" w:right="57"/>
              <w:rPr>
                <w:sz w:val="18"/>
                <w:szCs w:val="18"/>
                <w:lang w:val="fr-FR"/>
              </w:rPr>
            </w:pPr>
            <w:r w:rsidRPr="00E60587">
              <w:rPr>
                <w:sz w:val="18"/>
                <w:szCs w:val="18"/>
                <w:lang w:val="fr-FR"/>
              </w:rPr>
              <w:t xml:space="preserve">Lumière continue sans pulvérisation d’eau </w:t>
            </w:r>
          </w:p>
        </w:tc>
        <w:tc>
          <w:tcPr>
            <w:tcW w:w="2345" w:type="dxa"/>
            <w:tcBorders>
              <w:top w:val="single" w:sz="12" w:space="0" w:color="auto"/>
            </w:tcBorders>
            <w:shd w:val="clear" w:color="auto" w:fill="auto"/>
          </w:tcPr>
          <w:p w:rsidR="002F3A71" w:rsidRPr="00E60587" w:rsidRDefault="002F3A71" w:rsidP="00E60587">
            <w:pPr>
              <w:suppressAutoHyphens w:val="0"/>
              <w:spacing w:before="60" w:after="60" w:line="220" w:lineRule="atLeast"/>
              <w:ind w:left="57" w:right="57"/>
              <w:rPr>
                <w:sz w:val="18"/>
                <w:szCs w:val="18"/>
                <w:lang w:val="fr-FR"/>
              </w:rPr>
            </w:pPr>
            <w:r w:rsidRPr="00E60587">
              <w:rPr>
                <w:sz w:val="18"/>
                <w:szCs w:val="18"/>
                <w:lang w:val="fr-FR"/>
              </w:rPr>
              <w:t xml:space="preserve">Lumière continue sans pulvérisation d’eau </w:t>
            </w:r>
          </w:p>
        </w:tc>
      </w:tr>
      <w:tr w:rsidR="002F3A71" w:rsidRPr="00E60587" w:rsidTr="00AB1CBE">
        <w:tc>
          <w:tcPr>
            <w:tcW w:w="2512" w:type="dxa"/>
            <w:shd w:val="clear" w:color="auto" w:fill="auto"/>
          </w:tcPr>
          <w:p w:rsidR="002F3A71" w:rsidRPr="00E60587" w:rsidRDefault="002F3A71" w:rsidP="00E60587">
            <w:pPr>
              <w:suppressAutoHyphens w:val="0"/>
              <w:spacing w:before="60" w:after="60" w:line="220" w:lineRule="atLeast"/>
              <w:ind w:left="57" w:right="57"/>
              <w:rPr>
                <w:sz w:val="18"/>
                <w:szCs w:val="18"/>
                <w:lang w:val="fr-FR"/>
              </w:rPr>
            </w:pPr>
            <w:r w:rsidRPr="00E60587">
              <w:rPr>
                <w:sz w:val="18"/>
                <w:szCs w:val="18"/>
                <w:lang w:val="fr-FR"/>
              </w:rPr>
              <w:t>Température du noir de référence durant les périodes d’éclairement seul</w:t>
            </w:r>
          </w:p>
        </w:tc>
        <w:tc>
          <w:tcPr>
            <w:tcW w:w="2513" w:type="dxa"/>
            <w:shd w:val="clear" w:color="auto" w:fill="auto"/>
          </w:tcPr>
          <w:p w:rsidR="002F3A71" w:rsidRPr="00E60587" w:rsidRDefault="002F3A71" w:rsidP="009C671B">
            <w:pPr>
              <w:suppressAutoHyphens w:val="0"/>
              <w:spacing w:before="60" w:after="60" w:line="220" w:lineRule="atLeast"/>
              <w:ind w:left="57" w:right="57"/>
              <w:rPr>
                <w:sz w:val="18"/>
                <w:szCs w:val="18"/>
                <w:lang w:val="fr-FR"/>
              </w:rPr>
            </w:pPr>
            <w:r w:rsidRPr="00E60587">
              <w:rPr>
                <w:sz w:val="18"/>
                <w:szCs w:val="18"/>
                <w:lang w:val="fr-FR"/>
              </w:rPr>
              <w:t xml:space="preserve">(47 </w:t>
            </w:r>
            <w:r w:rsidR="009C671B">
              <w:rPr>
                <w:sz w:val="18"/>
                <w:szCs w:val="18"/>
                <w:lang w:val="fr-FR"/>
              </w:rPr>
              <w:sym w:font="Symbol" w:char="F0B1"/>
            </w:r>
            <w:r w:rsidRPr="00E60587">
              <w:rPr>
                <w:sz w:val="18"/>
                <w:szCs w:val="18"/>
                <w:lang w:val="fr-FR"/>
              </w:rPr>
              <w:t xml:space="preserve"> 3) °C mesurée à l’aide d’un thermomètre de noir de référence </w:t>
            </w:r>
          </w:p>
        </w:tc>
        <w:tc>
          <w:tcPr>
            <w:tcW w:w="2345" w:type="dxa"/>
            <w:shd w:val="clear" w:color="auto" w:fill="auto"/>
          </w:tcPr>
          <w:p w:rsidR="002F3A71" w:rsidRPr="00E60587" w:rsidRDefault="002F3A71" w:rsidP="009C671B">
            <w:pPr>
              <w:suppressAutoHyphens w:val="0"/>
              <w:spacing w:before="60" w:after="60" w:line="220" w:lineRule="atLeast"/>
              <w:ind w:left="57" w:right="57"/>
              <w:rPr>
                <w:sz w:val="18"/>
                <w:szCs w:val="18"/>
                <w:lang w:val="fr-FR"/>
              </w:rPr>
            </w:pPr>
            <w:r w:rsidRPr="00E60587">
              <w:rPr>
                <w:sz w:val="18"/>
                <w:szCs w:val="18"/>
                <w:lang w:val="fr-FR"/>
              </w:rPr>
              <w:t xml:space="preserve">(47 </w:t>
            </w:r>
            <w:r w:rsidR="000D55DF">
              <w:rPr>
                <w:sz w:val="18"/>
                <w:szCs w:val="18"/>
                <w:lang w:val="fr-FR"/>
              </w:rPr>
              <w:sym w:font="Symbol" w:char="F0B1"/>
            </w:r>
            <w:r w:rsidRPr="00E60587">
              <w:rPr>
                <w:sz w:val="18"/>
                <w:szCs w:val="18"/>
                <w:lang w:val="fr-FR"/>
              </w:rPr>
              <w:t xml:space="preserve"> 3) °C mesurée à l’aide d’un thermomètre de noir de</w:t>
            </w:r>
            <w:r w:rsidR="009C671B">
              <w:rPr>
                <w:sz w:val="18"/>
                <w:szCs w:val="18"/>
                <w:lang w:val="fr-FR"/>
              </w:rPr>
              <w:t> </w:t>
            </w:r>
            <w:r w:rsidRPr="00E60587">
              <w:rPr>
                <w:sz w:val="18"/>
                <w:szCs w:val="18"/>
                <w:lang w:val="fr-FR"/>
              </w:rPr>
              <w:t xml:space="preserve">référence </w:t>
            </w:r>
          </w:p>
        </w:tc>
      </w:tr>
      <w:tr w:rsidR="002F3A71" w:rsidRPr="00E60587" w:rsidTr="00AB1CBE">
        <w:tc>
          <w:tcPr>
            <w:tcW w:w="2512" w:type="dxa"/>
            <w:tcBorders>
              <w:bottom w:val="single" w:sz="4" w:space="0" w:color="auto"/>
            </w:tcBorders>
            <w:shd w:val="clear" w:color="auto" w:fill="auto"/>
          </w:tcPr>
          <w:p w:rsidR="002F3A71" w:rsidRPr="00E60587" w:rsidRDefault="002F3A71" w:rsidP="00E60587">
            <w:pPr>
              <w:suppressAutoHyphens w:val="0"/>
              <w:spacing w:before="60" w:after="60" w:line="220" w:lineRule="atLeast"/>
              <w:ind w:left="57" w:right="57"/>
              <w:rPr>
                <w:sz w:val="18"/>
                <w:szCs w:val="18"/>
                <w:lang w:val="fr-FR"/>
              </w:rPr>
            </w:pPr>
            <w:r w:rsidRPr="00E60587">
              <w:rPr>
                <w:sz w:val="18"/>
                <w:szCs w:val="18"/>
                <w:lang w:val="fr-FR"/>
              </w:rPr>
              <w:t xml:space="preserve">Humidité relative </w:t>
            </w:r>
          </w:p>
        </w:tc>
        <w:tc>
          <w:tcPr>
            <w:tcW w:w="2513" w:type="dxa"/>
            <w:tcBorders>
              <w:bottom w:val="single" w:sz="4" w:space="0" w:color="auto"/>
            </w:tcBorders>
            <w:shd w:val="clear" w:color="auto" w:fill="auto"/>
          </w:tcPr>
          <w:p w:rsidR="002F3A71" w:rsidRPr="00E60587" w:rsidRDefault="002F3A71" w:rsidP="00E60587">
            <w:pPr>
              <w:suppressAutoHyphens w:val="0"/>
              <w:spacing w:before="60" w:after="60" w:line="220" w:lineRule="atLeast"/>
              <w:ind w:left="57" w:right="57"/>
              <w:rPr>
                <w:sz w:val="18"/>
                <w:szCs w:val="18"/>
                <w:lang w:val="fr-FR"/>
              </w:rPr>
            </w:pPr>
            <w:r w:rsidRPr="00E60587">
              <w:rPr>
                <w:sz w:val="18"/>
                <w:szCs w:val="18"/>
                <w:lang w:val="fr-FR"/>
              </w:rPr>
              <w:t>40 % environ</w:t>
            </w:r>
          </w:p>
        </w:tc>
        <w:tc>
          <w:tcPr>
            <w:tcW w:w="2345" w:type="dxa"/>
            <w:tcBorders>
              <w:bottom w:val="single" w:sz="4" w:space="0" w:color="auto"/>
            </w:tcBorders>
            <w:shd w:val="clear" w:color="auto" w:fill="auto"/>
          </w:tcPr>
          <w:p w:rsidR="002F3A71" w:rsidRPr="00E60587" w:rsidRDefault="002F3A71" w:rsidP="00E60587">
            <w:pPr>
              <w:suppressAutoHyphens w:val="0"/>
              <w:spacing w:before="60" w:after="60" w:line="220" w:lineRule="atLeast"/>
              <w:ind w:left="57" w:right="57"/>
              <w:rPr>
                <w:sz w:val="18"/>
                <w:szCs w:val="18"/>
                <w:lang w:val="fr-FR"/>
              </w:rPr>
            </w:pPr>
            <w:r w:rsidRPr="00E60587">
              <w:rPr>
                <w:sz w:val="18"/>
                <w:szCs w:val="18"/>
                <w:lang w:val="fr-FR"/>
              </w:rPr>
              <w:t>40 % environ</w:t>
            </w:r>
          </w:p>
        </w:tc>
      </w:tr>
      <w:tr w:rsidR="002F3A71" w:rsidRPr="00E60587" w:rsidTr="00AB1CBE">
        <w:tc>
          <w:tcPr>
            <w:tcW w:w="2512" w:type="dxa"/>
            <w:tcBorders>
              <w:bottom w:val="single" w:sz="12" w:space="0" w:color="auto"/>
            </w:tcBorders>
            <w:shd w:val="clear" w:color="auto" w:fill="auto"/>
          </w:tcPr>
          <w:p w:rsidR="002F3A71" w:rsidRPr="00E60587" w:rsidRDefault="002F3A71" w:rsidP="00E60587">
            <w:pPr>
              <w:suppressAutoHyphens w:val="0"/>
              <w:spacing w:before="60" w:after="60" w:line="220" w:lineRule="atLeast"/>
              <w:ind w:left="57" w:right="57"/>
              <w:rPr>
                <w:sz w:val="18"/>
                <w:szCs w:val="18"/>
                <w:lang w:val="fr-FR"/>
              </w:rPr>
            </w:pPr>
            <w:r w:rsidRPr="00E60587">
              <w:rPr>
                <w:sz w:val="18"/>
                <w:szCs w:val="18"/>
                <w:lang w:val="fr-FR"/>
              </w:rPr>
              <w:t>Filtres</w:t>
            </w:r>
          </w:p>
        </w:tc>
        <w:tc>
          <w:tcPr>
            <w:tcW w:w="2513" w:type="dxa"/>
            <w:tcBorders>
              <w:bottom w:val="single" w:sz="12" w:space="0" w:color="auto"/>
            </w:tcBorders>
            <w:shd w:val="clear" w:color="auto" w:fill="auto"/>
          </w:tcPr>
          <w:p w:rsidR="002F3A71" w:rsidRPr="00E60587" w:rsidRDefault="002F3A71" w:rsidP="00E60587">
            <w:pPr>
              <w:suppressAutoHyphens w:val="0"/>
              <w:spacing w:before="60" w:after="60" w:line="220" w:lineRule="atLeast"/>
              <w:ind w:left="57" w:right="57"/>
              <w:rPr>
                <w:sz w:val="18"/>
                <w:szCs w:val="18"/>
                <w:lang w:val="fr-FR"/>
              </w:rPr>
            </w:pPr>
            <w:r w:rsidRPr="00E60587">
              <w:rPr>
                <w:sz w:val="18"/>
                <w:szCs w:val="18"/>
                <w:lang w:val="fr-FR"/>
              </w:rPr>
              <w:t xml:space="preserve">Verre à vitre </w:t>
            </w:r>
            <w:r w:rsidRPr="00E60587">
              <w:rPr>
                <w:sz w:val="18"/>
                <w:szCs w:val="18"/>
                <w:lang w:val="fr-FR"/>
              </w:rPr>
              <w:br/>
              <w:t xml:space="preserve">Pour plus de détails, voir le paragraphe 5.2 ci-après </w:t>
            </w:r>
          </w:p>
        </w:tc>
        <w:tc>
          <w:tcPr>
            <w:tcW w:w="2345" w:type="dxa"/>
            <w:tcBorders>
              <w:bottom w:val="single" w:sz="12" w:space="0" w:color="auto"/>
            </w:tcBorders>
            <w:shd w:val="clear" w:color="auto" w:fill="auto"/>
          </w:tcPr>
          <w:p w:rsidR="002F3A71" w:rsidRPr="00E60587" w:rsidRDefault="002F3A71" w:rsidP="00E60587">
            <w:pPr>
              <w:suppressAutoHyphens w:val="0"/>
              <w:spacing w:before="60" w:after="60" w:line="220" w:lineRule="atLeast"/>
              <w:ind w:left="57" w:right="57"/>
              <w:rPr>
                <w:sz w:val="18"/>
                <w:szCs w:val="18"/>
                <w:lang w:val="fr-FR"/>
              </w:rPr>
            </w:pPr>
            <w:r w:rsidRPr="00E60587">
              <w:rPr>
                <w:sz w:val="18"/>
                <w:szCs w:val="18"/>
                <w:lang w:val="fr-FR"/>
              </w:rPr>
              <w:t xml:space="preserve">Verre à vitre </w:t>
            </w:r>
            <w:r w:rsidRPr="00E60587">
              <w:rPr>
                <w:sz w:val="18"/>
                <w:szCs w:val="18"/>
                <w:lang w:val="fr-FR"/>
              </w:rPr>
              <w:br/>
              <w:t xml:space="preserve">Pour plus de détails, voir le paragraphe 5.2 ci-après </w:t>
            </w:r>
          </w:p>
        </w:tc>
      </w:tr>
      <w:tr w:rsidR="002F3A71" w:rsidRPr="00960CC6" w:rsidTr="00AB1CBE">
        <w:tc>
          <w:tcPr>
            <w:tcW w:w="7370" w:type="dxa"/>
            <w:gridSpan w:val="3"/>
            <w:tcBorders>
              <w:top w:val="single" w:sz="12" w:space="0" w:color="auto"/>
              <w:bottom w:val="single" w:sz="12" w:space="0" w:color="auto"/>
            </w:tcBorders>
            <w:shd w:val="clear" w:color="auto" w:fill="auto"/>
          </w:tcPr>
          <w:p w:rsidR="002F3A71" w:rsidRPr="00960CC6" w:rsidRDefault="002F3A71" w:rsidP="00960CC6">
            <w:pPr>
              <w:suppressAutoHyphens w:val="0"/>
              <w:spacing w:before="60" w:after="60" w:line="200" w:lineRule="atLeast"/>
              <w:ind w:left="57" w:right="57"/>
              <w:jc w:val="right"/>
              <w:rPr>
                <w:sz w:val="16"/>
                <w:szCs w:val="16"/>
                <w:lang w:val="fr-FR"/>
              </w:rPr>
            </w:pPr>
            <w:r w:rsidRPr="00960CC6">
              <w:rPr>
                <w:i/>
                <w:sz w:val="16"/>
                <w:szCs w:val="16"/>
                <w:lang w:val="fr-FR"/>
              </w:rPr>
              <w:t>Éclairement</w:t>
            </w:r>
            <w:r w:rsidRPr="00960CC6">
              <w:rPr>
                <w:sz w:val="16"/>
                <w:szCs w:val="16"/>
                <w:lang w:val="fr-FR"/>
              </w:rPr>
              <w:t xml:space="preserve"> </w:t>
            </w:r>
            <w:r w:rsidRPr="00960CC6">
              <w:rPr>
                <w:i/>
                <w:sz w:val="16"/>
                <w:szCs w:val="16"/>
                <w:lang w:val="fr-FR"/>
              </w:rPr>
              <w:t>énergétique (W/m²) contrôlé à:</w:t>
            </w:r>
          </w:p>
        </w:tc>
      </w:tr>
      <w:tr w:rsidR="002F3A71" w:rsidRPr="00E60587" w:rsidTr="009C671B">
        <w:tc>
          <w:tcPr>
            <w:tcW w:w="2512" w:type="dxa"/>
            <w:tcBorders>
              <w:top w:val="single" w:sz="12" w:space="0" w:color="auto"/>
              <w:bottom w:val="single" w:sz="4" w:space="0" w:color="auto"/>
            </w:tcBorders>
            <w:shd w:val="clear" w:color="auto" w:fill="auto"/>
          </w:tcPr>
          <w:p w:rsidR="002F3A71" w:rsidRPr="00E60587" w:rsidRDefault="002F3A71" w:rsidP="00E60587">
            <w:pPr>
              <w:suppressAutoHyphens w:val="0"/>
              <w:spacing w:before="60" w:after="60" w:line="220" w:lineRule="atLeast"/>
              <w:ind w:left="57" w:right="57"/>
              <w:rPr>
                <w:sz w:val="18"/>
                <w:szCs w:val="18"/>
                <w:lang w:val="fr-FR"/>
              </w:rPr>
            </w:pPr>
            <w:r w:rsidRPr="00E60587">
              <w:rPr>
                <w:sz w:val="18"/>
                <w:szCs w:val="18"/>
                <w:lang w:val="fr-FR"/>
              </w:rPr>
              <w:t>Plage de longueurs d’onde de 300 nm à 400 nm</w:t>
            </w:r>
          </w:p>
        </w:tc>
        <w:tc>
          <w:tcPr>
            <w:tcW w:w="2513" w:type="dxa"/>
            <w:tcBorders>
              <w:top w:val="single" w:sz="12" w:space="0" w:color="auto"/>
              <w:bottom w:val="single" w:sz="4" w:space="0" w:color="auto"/>
            </w:tcBorders>
            <w:shd w:val="clear" w:color="auto" w:fill="auto"/>
            <w:vAlign w:val="bottom"/>
          </w:tcPr>
          <w:p w:rsidR="002F3A71" w:rsidRPr="00E60587" w:rsidRDefault="002F3A71" w:rsidP="00E60587">
            <w:pPr>
              <w:suppressAutoHyphens w:val="0"/>
              <w:spacing w:before="60" w:after="60" w:line="220" w:lineRule="atLeast"/>
              <w:ind w:left="57" w:right="57"/>
              <w:jc w:val="right"/>
              <w:rPr>
                <w:sz w:val="18"/>
                <w:szCs w:val="18"/>
                <w:lang w:val="fr-FR"/>
              </w:rPr>
            </w:pPr>
            <w:r w:rsidRPr="00E60587">
              <w:rPr>
                <w:sz w:val="18"/>
                <w:szCs w:val="18"/>
                <w:lang w:val="fr-FR"/>
              </w:rPr>
              <w:t xml:space="preserve">42 </w:t>
            </w:r>
            <w:r w:rsidR="009C671B">
              <w:rPr>
                <w:sz w:val="18"/>
                <w:szCs w:val="18"/>
                <w:lang w:val="fr-FR"/>
              </w:rPr>
              <w:sym w:font="Symbol" w:char="F0B1"/>
            </w:r>
            <w:r w:rsidRPr="00E60587">
              <w:rPr>
                <w:sz w:val="18"/>
                <w:szCs w:val="18"/>
                <w:lang w:val="fr-FR"/>
              </w:rPr>
              <w:t xml:space="preserve"> 2</w:t>
            </w:r>
          </w:p>
        </w:tc>
        <w:tc>
          <w:tcPr>
            <w:tcW w:w="2345" w:type="dxa"/>
            <w:tcBorders>
              <w:top w:val="single" w:sz="12" w:space="0" w:color="auto"/>
              <w:bottom w:val="single" w:sz="4" w:space="0" w:color="auto"/>
            </w:tcBorders>
            <w:shd w:val="clear" w:color="auto" w:fill="auto"/>
            <w:vAlign w:val="bottom"/>
          </w:tcPr>
          <w:p w:rsidR="002F3A71" w:rsidRPr="00E60587" w:rsidRDefault="002F3A71" w:rsidP="00E60587">
            <w:pPr>
              <w:suppressAutoHyphens w:val="0"/>
              <w:spacing w:before="60" w:after="60" w:line="220" w:lineRule="atLeast"/>
              <w:ind w:left="57" w:right="57"/>
              <w:jc w:val="right"/>
              <w:rPr>
                <w:sz w:val="18"/>
                <w:szCs w:val="18"/>
                <w:lang w:val="fr-FR"/>
              </w:rPr>
            </w:pPr>
            <w:r w:rsidRPr="00E60587">
              <w:rPr>
                <w:sz w:val="18"/>
                <w:szCs w:val="18"/>
                <w:lang w:val="fr-FR"/>
              </w:rPr>
              <w:t xml:space="preserve">42 </w:t>
            </w:r>
            <w:r w:rsidR="009C671B">
              <w:rPr>
                <w:sz w:val="18"/>
                <w:szCs w:val="18"/>
                <w:lang w:val="fr-FR"/>
              </w:rPr>
              <w:sym w:font="Symbol" w:char="F0B1"/>
            </w:r>
            <w:r w:rsidRPr="00E60587">
              <w:rPr>
                <w:sz w:val="18"/>
                <w:szCs w:val="18"/>
                <w:lang w:val="fr-FR"/>
              </w:rPr>
              <w:t xml:space="preserve"> 2</w:t>
            </w:r>
          </w:p>
        </w:tc>
      </w:tr>
      <w:tr w:rsidR="002F3A71" w:rsidRPr="00E60587" w:rsidTr="009C671B">
        <w:tc>
          <w:tcPr>
            <w:tcW w:w="2512" w:type="dxa"/>
            <w:tcBorders>
              <w:bottom w:val="single" w:sz="12" w:space="0" w:color="auto"/>
            </w:tcBorders>
            <w:shd w:val="clear" w:color="auto" w:fill="auto"/>
          </w:tcPr>
          <w:p w:rsidR="002F3A71" w:rsidRPr="00E60587" w:rsidRDefault="002F3A71" w:rsidP="00E60587">
            <w:pPr>
              <w:suppressAutoHyphens w:val="0"/>
              <w:spacing w:before="60" w:after="60" w:line="220" w:lineRule="atLeast"/>
              <w:ind w:left="57" w:right="57"/>
              <w:rPr>
                <w:sz w:val="18"/>
                <w:szCs w:val="18"/>
                <w:lang w:val="fr-FR"/>
              </w:rPr>
            </w:pPr>
            <w:r w:rsidRPr="00E60587">
              <w:rPr>
                <w:sz w:val="18"/>
                <w:szCs w:val="18"/>
                <w:lang w:val="fr-FR"/>
              </w:rPr>
              <w:t>Plage de longueurs d’onde de 300 nm à 800 nm</w:t>
            </w:r>
          </w:p>
        </w:tc>
        <w:tc>
          <w:tcPr>
            <w:tcW w:w="2513" w:type="dxa"/>
            <w:tcBorders>
              <w:bottom w:val="single" w:sz="12" w:space="0" w:color="auto"/>
            </w:tcBorders>
            <w:shd w:val="clear" w:color="auto" w:fill="auto"/>
            <w:vAlign w:val="bottom"/>
          </w:tcPr>
          <w:p w:rsidR="002F3A71" w:rsidRPr="00E60587" w:rsidRDefault="002F3A71" w:rsidP="00E60587">
            <w:pPr>
              <w:suppressAutoHyphens w:val="0"/>
              <w:spacing w:before="60" w:after="60" w:line="220" w:lineRule="atLeast"/>
              <w:ind w:left="57" w:right="57"/>
              <w:jc w:val="right"/>
              <w:rPr>
                <w:sz w:val="18"/>
                <w:szCs w:val="18"/>
                <w:lang w:val="fr-FR"/>
              </w:rPr>
            </w:pPr>
            <w:r w:rsidRPr="00E60587">
              <w:rPr>
                <w:sz w:val="18"/>
                <w:szCs w:val="18"/>
                <w:lang w:val="fr-FR"/>
              </w:rPr>
              <w:t>550</w:t>
            </w:r>
          </w:p>
        </w:tc>
        <w:tc>
          <w:tcPr>
            <w:tcW w:w="2345" w:type="dxa"/>
            <w:tcBorders>
              <w:bottom w:val="single" w:sz="12" w:space="0" w:color="auto"/>
            </w:tcBorders>
            <w:shd w:val="clear" w:color="auto" w:fill="auto"/>
            <w:vAlign w:val="bottom"/>
          </w:tcPr>
          <w:p w:rsidR="002F3A71" w:rsidRPr="00E60587" w:rsidRDefault="002F3A71" w:rsidP="00E60587">
            <w:pPr>
              <w:suppressAutoHyphens w:val="0"/>
              <w:spacing w:before="60" w:after="60" w:line="220" w:lineRule="atLeast"/>
              <w:ind w:left="57" w:right="57"/>
              <w:jc w:val="right"/>
              <w:rPr>
                <w:sz w:val="18"/>
                <w:szCs w:val="18"/>
                <w:lang w:val="fr-FR"/>
              </w:rPr>
            </w:pPr>
            <w:r w:rsidRPr="00E60587">
              <w:rPr>
                <w:sz w:val="18"/>
                <w:szCs w:val="18"/>
                <w:lang w:val="fr-FR"/>
              </w:rPr>
              <w:t>630</w:t>
            </w:r>
          </w:p>
        </w:tc>
      </w:tr>
    </w:tbl>
    <w:p w:rsidR="00E60587" w:rsidRPr="00E60587" w:rsidRDefault="00E60587" w:rsidP="0019013E">
      <w:pPr>
        <w:pStyle w:val="SingleTxtG"/>
        <w:keepNext/>
        <w:spacing w:before="120" w:after="0"/>
        <w:ind w:firstLine="170"/>
        <w:jc w:val="left"/>
        <w:rPr>
          <w:bCs/>
          <w:sz w:val="18"/>
          <w:szCs w:val="18"/>
          <w:lang w:val="fr-FR"/>
        </w:rPr>
      </w:pPr>
      <w:r w:rsidRPr="00E60587">
        <w:rPr>
          <w:bCs/>
          <w:i/>
          <w:sz w:val="18"/>
          <w:szCs w:val="18"/>
          <w:lang w:val="fr-FR"/>
        </w:rPr>
        <w:t>Note 1</w:t>
      </w:r>
      <w:r w:rsidRPr="00E60587">
        <w:rPr>
          <w:bCs/>
          <w:sz w:val="18"/>
          <w:szCs w:val="18"/>
          <w:lang w:val="fr-FR"/>
        </w:rPr>
        <w:t>: L’eau employée pour la pulvérisation d’eau sur l’échantillon ne doit pas contenir plus d’une ppm de silice. Une proportion supérieure peut se traduire par l’apparition de traces sur l’échantillon et des résultats variables. Pour obtenir une eau de la pureté requise, il faut effectuer une distillation ou combiner les procédés de déionisation et d’osmose inverse.</w:t>
      </w:r>
    </w:p>
    <w:p w:rsidR="00E60587" w:rsidRPr="0019013E" w:rsidRDefault="00E60587" w:rsidP="0019013E">
      <w:pPr>
        <w:pStyle w:val="SingleTxtG"/>
        <w:keepNext/>
        <w:spacing w:after="240"/>
        <w:ind w:firstLine="170"/>
        <w:jc w:val="left"/>
        <w:rPr>
          <w:bCs/>
          <w:sz w:val="18"/>
          <w:szCs w:val="18"/>
          <w:lang w:val="fr-FR"/>
        </w:rPr>
      </w:pPr>
      <w:r w:rsidRPr="0019013E">
        <w:rPr>
          <w:bCs/>
          <w:i/>
          <w:sz w:val="18"/>
          <w:szCs w:val="18"/>
          <w:lang w:val="fr-FR"/>
        </w:rPr>
        <w:t>Note 2</w:t>
      </w:r>
      <w:r w:rsidRPr="0019013E">
        <w:rPr>
          <w:bCs/>
          <w:sz w:val="18"/>
          <w:szCs w:val="18"/>
          <w:lang w:val="fr-FR"/>
        </w:rPr>
        <w:t xml:space="preserve">: Pour les niveaux d’irradiance indiqués, il est tenu compte d’une marge d’erreur de </w:t>
      </w:r>
      <w:r w:rsidR="0019013E">
        <w:rPr>
          <w:sz w:val="18"/>
          <w:szCs w:val="18"/>
          <w:lang w:val="fr-FR"/>
        </w:rPr>
        <w:sym w:font="Symbol" w:char="F0B1"/>
      </w:r>
      <w:r w:rsidRPr="0019013E">
        <w:rPr>
          <w:bCs/>
          <w:sz w:val="18"/>
          <w:szCs w:val="18"/>
          <w:lang w:val="fr-FR"/>
        </w:rPr>
        <w:t>10 % due aux variations de l’âge et de la transmissivité du filtre, et aux variations de l’étalonnage.</w:t>
      </w:r>
    </w:p>
    <w:p w:rsidR="002F3A71" w:rsidRPr="006B41B3" w:rsidRDefault="002F3A71" w:rsidP="002F3A71">
      <w:pPr>
        <w:pStyle w:val="SingleTxtG"/>
        <w:keepNext/>
        <w:spacing w:before="240"/>
        <w:ind w:left="2268" w:hanging="1134"/>
        <w:rPr>
          <w:rFonts w:eastAsia="MS Mincho"/>
          <w:bCs/>
          <w:lang w:val="fr-FR" w:eastAsia="ja-JP"/>
        </w:rPr>
      </w:pPr>
      <w:r w:rsidRPr="006B41B3">
        <w:rPr>
          <w:rFonts w:eastAsia="MS Mincho"/>
          <w:bCs/>
          <w:lang w:val="fr-FR" w:eastAsia="ja-JP"/>
        </w:rPr>
        <w:t>5.2</w:t>
      </w:r>
      <w:r w:rsidRPr="006B41B3">
        <w:rPr>
          <w:rFonts w:eastAsia="MS Mincho"/>
          <w:bCs/>
          <w:lang w:val="fr-FR" w:eastAsia="ja-JP"/>
        </w:rPr>
        <w:tab/>
      </w:r>
      <w:r w:rsidRPr="006B41B3">
        <w:rPr>
          <w:lang w:val="fr-FR"/>
        </w:rPr>
        <w:t xml:space="preserve">Source de lumière </w:t>
      </w:r>
    </w:p>
    <w:p w:rsidR="002F3A71" w:rsidRPr="006B41B3" w:rsidRDefault="002F3A71" w:rsidP="002F3A71">
      <w:pPr>
        <w:pStyle w:val="SingleTxtG"/>
        <w:ind w:left="2268"/>
        <w:rPr>
          <w:rFonts w:eastAsia="MS Mincho"/>
          <w:bCs/>
          <w:lang w:val="fr-FR" w:eastAsia="ja-JP"/>
        </w:rPr>
      </w:pPr>
      <w:r w:rsidRPr="006B41B3">
        <w:rPr>
          <w:lang w:val="fr-FR"/>
        </w:rPr>
        <w:t>La source de lumière doit être une lampe à arc au xénon dont la température de couleur proximale est comprise entre 5 500 K et 6 500 K et dont la taille varie en fonction de celle du dispositif employé. La lampe à arc au xénon doit être équipée de filtres produisant une simulation raisonnable du rayonnement solaire filtré par un verre à vitre normal. Le tableau 3 indique les prescriptions pour l’irradiance spectrale relative en cas d’utilisation d’une lumière filtrée produite par une lampe à arc au xénon. Il incombe au fournisseur du dispositif d’exposition de certifier que les filtres fournis aux fins des essais décrits ici sont conformes aux prescriptions du tableau 3</w:t>
      </w:r>
      <w:r w:rsidRPr="006B41B3">
        <w:rPr>
          <w:rFonts w:eastAsia="MS Mincho"/>
          <w:bCs/>
          <w:lang w:val="fr-FR" w:eastAsia="ja-JP"/>
        </w:rPr>
        <w:t>.</w:t>
      </w:r>
    </w:p>
    <w:p w:rsidR="003F24D3" w:rsidRDefault="003F24D3">
      <w:pPr>
        <w:suppressAutoHyphens w:val="0"/>
        <w:kinsoku/>
        <w:overflowPunct/>
        <w:autoSpaceDE/>
        <w:autoSpaceDN/>
        <w:adjustRightInd/>
        <w:snapToGrid/>
        <w:spacing w:line="240" w:lineRule="auto"/>
        <w:rPr>
          <w:rFonts w:eastAsia="MS Mincho"/>
          <w:bCs/>
          <w:lang w:val="fr-FR"/>
        </w:rPr>
      </w:pPr>
      <w:r>
        <w:rPr>
          <w:rFonts w:eastAsia="MS Mincho"/>
          <w:bCs/>
          <w:lang w:val="fr-FR"/>
        </w:rPr>
        <w:br w:type="page"/>
      </w:r>
    </w:p>
    <w:p w:rsidR="002F3A71" w:rsidRPr="006B41B3" w:rsidRDefault="002F3A71" w:rsidP="002F3A71">
      <w:pPr>
        <w:pStyle w:val="Heading1"/>
        <w:spacing w:before="120" w:after="120" w:line="240" w:lineRule="atLeast"/>
        <w:rPr>
          <w:rFonts w:eastAsia="MS Mincho"/>
          <w:b/>
          <w:bCs/>
          <w:lang w:val="fr-FR" w:eastAsia="ja-JP"/>
        </w:rPr>
      </w:pPr>
      <w:r w:rsidRPr="006B41B3">
        <w:rPr>
          <w:rFonts w:eastAsia="MS Mincho"/>
          <w:bCs/>
          <w:lang w:val="fr-FR"/>
        </w:rPr>
        <w:t>Tableau 3</w:t>
      </w:r>
      <w:r w:rsidRPr="006B41B3">
        <w:rPr>
          <w:rFonts w:eastAsia="MS Mincho"/>
          <w:bCs/>
          <w:lang w:val="fr-FR"/>
        </w:rPr>
        <w:br/>
      </w:r>
      <w:r w:rsidRPr="006B41B3">
        <w:rPr>
          <w:b/>
          <w:lang w:val="fr-FR"/>
        </w:rPr>
        <w:t>Prescriptions pour l’irradiance spectrale relative en cas d’utilisation d’une lampe</w:t>
      </w:r>
      <w:r w:rsidRPr="006B41B3">
        <w:rPr>
          <w:b/>
          <w:lang w:val="fr-FR"/>
        </w:rPr>
        <w:br/>
        <w:t>à arc au xénon dont la lumière est filtrée par un verre à vitre</w:t>
      </w:r>
      <w:r w:rsidRPr="000D55DF">
        <w:rPr>
          <w:rFonts w:eastAsia="MS Mincho"/>
          <w:bCs/>
          <w:i/>
          <w:vertAlign w:val="superscript"/>
          <w:lang w:val="fr-FR" w:eastAsia="ja-JP"/>
        </w:rPr>
        <w:t>a</w:t>
      </w:r>
      <w:r w:rsidRPr="000D55DF">
        <w:rPr>
          <w:rFonts w:eastAsia="MS Mincho"/>
          <w:bCs/>
          <w:vertAlign w:val="superscript"/>
          <w:lang w:val="fr-FR" w:eastAsia="ja-JP"/>
        </w:rPr>
        <w:t xml:space="preserve">, </w:t>
      </w:r>
      <w:r w:rsidRPr="000D55DF">
        <w:rPr>
          <w:rFonts w:eastAsia="MS Mincho"/>
          <w:bCs/>
          <w:i/>
          <w:vertAlign w:val="superscript"/>
          <w:lang w:val="fr-FR" w:eastAsia="ja-JP"/>
        </w:rPr>
        <w:t>b, c, d, e</w:t>
      </w:r>
    </w:p>
    <w:tbl>
      <w:tblPr>
        <w:tblW w:w="0" w:type="auto"/>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268"/>
        <w:gridCol w:w="1134"/>
        <w:gridCol w:w="2835"/>
        <w:gridCol w:w="1134"/>
      </w:tblGrid>
      <w:tr w:rsidR="002F3A71" w:rsidRPr="00960CC6" w:rsidTr="00AB1CBE">
        <w:trPr>
          <w:tblHeader/>
        </w:trPr>
        <w:tc>
          <w:tcPr>
            <w:tcW w:w="2268" w:type="dxa"/>
            <w:tcBorders>
              <w:bottom w:val="single" w:sz="12" w:space="0" w:color="auto"/>
            </w:tcBorders>
            <w:shd w:val="clear" w:color="auto" w:fill="auto"/>
            <w:vAlign w:val="bottom"/>
          </w:tcPr>
          <w:p w:rsidR="002F3A71" w:rsidRPr="00960CC6" w:rsidRDefault="002F3A71" w:rsidP="00960CC6">
            <w:pPr>
              <w:keepNext/>
              <w:keepLines/>
              <w:suppressAutoHyphens w:val="0"/>
              <w:spacing w:before="60" w:after="60" w:line="200" w:lineRule="atLeast"/>
              <w:ind w:left="57" w:right="57"/>
              <w:rPr>
                <w:rFonts w:eastAsia="MS Mincho"/>
                <w:i/>
                <w:sz w:val="16"/>
                <w:szCs w:val="16"/>
                <w:lang w:val="fr-FR" w:eastAsia="ja-JP"/>
              </w:rPr>
            </w:pPr>
            <w:r w:rsidRPr="00960CC6">
              <w:rPr>
                <w:i/>
                <w:sz w:val="16"/>
                <w:szCs w:val="16"/>
                <w:lang w:val="fr-FR"/>
              </w:rPr>
              <w:t xml:space="preserve">Bande spectrale Longueur d’onde λ en nm </w:t>
            </w:r>
          </w:p>
        </w:tc>
        <w:tc>
          <w:tcPr>
            <w:tcW w:w="1134" w:type="dxa"/>
            <w:tcBorders>
              <w:bottom w:val="single" w:sz="12" w:space="0" w:color="auto"/>
            </w:tcBorders>
            <w:shd w:val="clear" w:color="auto" w:fill="auto"/>
            <w:vAlign w:val="bottom"/>
          </w:tcPr>
          <w:p w:rsidR="002F3A71" w:rsidRPr="00960CC6" w:rsidRDefault="002F3A71" w:rsidP="00960CC6">
            <w:pPr>
              <w:keepNext/>
              <w:keepLines/>
              <w:suppressAutoHyphens w:val="0"/>
              <w:spacing w:before="60" w:after="60" w:line="200" w:lineRule="atLeast"/>
              <w:ind w:left="57" w:right="57"/>
              <w:jc w:val="right"/>
              <w:rPr>
                <w:rFonts w:eastAsia="MS Mincho"/>
                <w:i/>
                <w:sz w:val="16"/>
                <w:szCs w:val="16"/>
                <w:lang w:val="fr-FR" w:eastAsia="ja-JP"/>
              </w:rPr>
            </w:pPr>
            <w:r w:rsidRPr="00960CC6">
              <w:rPr>
                <w:i/>
                <w:sz w:val="16"/>
                <w:szCs w:val="16"/>
                <w:lang w:val="fr-FR"/>
              </w:rPr>
              <w:t>Pourcentage minimal</w:t>
            </w:r>
            <w:r w:rsidRPr="002F1BED">
              <w:rPr>
                <w:rFonts w:eastAsia="MS Mincho"/>
                <w:sz w:val="16"/>
                <w:szCs w:val="16"/>
                <w:vertAlign w:val="superscript"/>
                <w:lang w:val="fr-FR" w:eastAsia="ja-JP"/>
              </w:rPr>
              <w:t>c</w:t>
            </w:r>
          </w:p>
        </w:tc>
        <w:tc>
          <w:tcPr>
            <w:tcW w:w="2835" w:type="dxa"/>
            <w:tcBorders>
              <w:bottom w:val="single" w:sz="12" w:space="0" w:color="auto"/>
            </w:tcBorders>
            <w:shd w:val="clear" w:color="auto" w:fill="auto"/>
            <w:vAlign w:val="bottom"/>
          </w:tcPr>
          <w:p w:rsidR="002F3A71" w:rsidRPr="00960CC6" w:rsidRDefault="002F3A71" w:rsidP="00960CC6">
            <w:pPr>
              <w:keepNext/>
              <w:keepLines/>
              <w:suppressAutoHyphens w:val="0"/>
              <w:spacing w:before="60" w:after="60" w:line="200" w:lineRule="atLeast"/>
              <w:ind w:left="57" w:right="57"/>
              <w:jc w:val="right"/>
              <w:rPr>
                <w:rFonts w:eastAsia="MS Mincho"/>
                <w:i/>
                <w:sz w:val="16"/>
                <w:szCs w:val="16"/>
                <w:lang w:val="fr-FR" w:eastAsia="ja-JP"/>
              </w:rPr>
            </w:pPr>
            <w:r w:rsidRPr="00960CC6">
              <w:rPr>
                <w:i/>
                <w:sz w:val="16"/>
                <w:szCs w:val="16"/>
                <w:lang w:val="fr-FR"/>
              </w:rPr>
              <w:t>Document CIE n</w:t>
            </w:r>
            <w:r w:rsidRPr="00960CC6">
              <w:rPr>
                <w:i/>
                <w:sz w:val="16"/>
                <w:szCs w:val="16"/>
                <w:vertAlign w:val="superscript"/>
                <w:lang w:val="fr-FR"/>
              </w:rPr>
              <w:t>o</w:t>
            </w:r>
            <w:r w:rsidRPr="00960CC6">
              <w:rPr>
                <w:i/>
                <w:sz w:val="16"/>
                <w:szCs w:val="16"/>
                <w:lang w:val="fr-FR"/>
              </w:rPr>
              <w:t> 85, tableau 4</w:t>
            </w:r>
            <w:r w:rsidRPr="00960CC6">
              <w:rPr>
                <w:i/>
                <w:sz w:val="16"/>
                <w:szCs w:val="16"/>
                <w:lang w:val="fr-FR"/>
              </w:rPr>
              <w:br/>
              <w:t>et verre à vitre, en pourcentage</w:t>
            </w:r>
            <w:r w:rsidRPr="002F1BED">
              <w:rPr>
                <w:rFonts w:eastAsia="MS Mincho"/>
                <w:sz w:val="16"/>
                <w:szCs w:val="16"/>
                <w:vertAlign w:val="superscript"/>
                <w:lang w:val="fr-FR" w:eastAsia="ja-JP"/>
              </w:rPr>
              <w:t>d, e</w:t>
            </w:r>
          </w:p>
        </w:tc>
        <w:tc>
          <w:tcPr>
            <w:tcW w:w="1134" w:type="dxa"/>
            <w:tcBorders>
              <w:bottom w:val="single" w:sz="12" w:space="0" w:color="auto"/>
            </w:tcBorders>
            <w:shd w:val="clear" w:color="auto" w:fill="auto"/>
            <w:vAlign w:val="bottom"/>
          </w:tcPr>
          <w:p w:rsidR="002F3A71" w:rsidRPr="00960CC6" w:rsidRDefault="002F3A71" w:rsidP="00960CC6">
            <w:pPr>
              <w:keepNext/>
              <w:keepLines/>
              <w:suppressAutoHyphens w:val="0"/>
              <w:spacing w:before="60" w:after="60" w:line="200" w:lineRule="atLeast"/>
              <w:ind w:left="57" w:right="57"/>
              <w:jc w:val="right"/>
              <w:rPr>
                <w:i/>
                <w:sz w:val="16"/>
                <w:szCs w:val="16"/>
                <w:lang w:val="fr-FR"/>
              </w:rPr>
            </w:pPr>
            <w:r w:rsidRPr="00960CC6">
              <w:rPr>
                <w:i/>
                <w:sz w:val="16"/>
                <w:szCs w:val="16"/>
                <w:lang w:val="fr-FR"/>
              </w:rPr>
              <w:t>Pourcentage maximal</w:t>
            </w:r>
            <w:r w:rsidRPr="002F1BED">
              <w:rPr>
                <w:rFonts w:eastAsia="MS Mincho"/>
                <w:sz w:val="16"/>
                <w:szCs w:val="16"/>
                <w:vertAlign w:val="superscript"/>
                <w:lang w:val="fr-FR" w:eastAsia="ja-JP"/>
              </w:rPr>
              <w:t>c</w:t>
            </w:r>
          </w:p>
        </w:tc>
      </w:tr>
      <w:tr w:rsidR="002F3A71" w:rsidRPr="00960CC6" w:rsidTr="00AB1CBE">
        <w:tc>
          <w:tcPr>
            <w:tcW w:w="2268" w:type="dxa"/>
            <w:tcBorders>
              <w:top w:val="single" w:sz="12" w:space="0" w:color="auto"/>
            </w:tcBorders>
            <w:shd w:val="clear" w:color="auto" w:fill="auto"/>
          </w:tcPr>
          <w:p w:rsidR="002F3A71" w:rsidRPr="00960CC6" w:rsidRDefault="002F3A71" w:rsidP="00960CC6">
            <w:pPr>
              <w:keepNext/>
              <w:keepLines/>
              <w:suppressAutoHyphens w:val="0"/>
              <w:spacing w:before="60" w:after="60" w:line="220" w:lineRule="atLeast"/>
              <w:ind w:left="57" w:right="57"/>
              <w:rPr>
                <w:rFonts w:eastAsia="MS Mincho"/>
                <w:bCs/>
                <w:sz w:val="18"/>
                <w:szCs w:val="18"/>
                <w:lang w:val="fr-FR" w:eastAsia="ja-JP"/>
              </w:rPr>
            </w:pPr>
            <w:r w:rsidRPr="00960CC6">
              <w:rPr>
                <w:rFonts w:eastAsia="MS Mincho"/>
                <w:sz w:val="18"/>
                <w:szCs w:val="18"/>
                <w:lang w:val="fr-FR" w:eastAsia="ja-JP"/>
              </w:rPr>
              <w:t>l &lt; 300</w:t>
            </w:r>
          </w:p>
        </w:tc>
        <w:tc>
          <w:tcPr>
            <w:tcW w:w="1134" w:type="dxa"/>
            <w:tcBorders>
              <w:top w:val="single" w:sz="12" w:space="0" w:color="auto"/>
            </w:tcBorders>
            <w:shd w:val="clear" w:color="auto" w:fill="auto"/>
            <w:vAlign w:val="bottom"/>
          </w:tcPr>
          <w:p w:rsidR="002F3A71" w:rsidRPr="00960CC6" w:rsidRDefault="002F3A71" w:rsidP="00960CC6">
            <w:pPr>
              <w:keepNext/>
              <w:keepLines/>
              <w:suppressAutoHyphens w:val="0"/>
              <w:spacing w:before="60" w:after="60" w:line="220" w:lineRule="atLeast"/>
              <w:ind w:left="57" w:right="57"/>
              <w:jc w:val="right"/>
              <w:rPr>
                <w:rFonts w:eastAsia="MS Mincho"/>
                <w:bCs/>
                <w:sz w:val="18"/>
                <w:szCs w:val="18"/>
                <w:lang w:val="fr-FR" w:eastAsia="ja-JP"/>
              </w:rPr>
            </w:pPr>
          </w:p>
        </w:tc>
        <w:tc>
          <w:tcPr>
            <w:tcW w:w="2835" w:type="dxa"/>
            <w:tcBorders>
              <w:top w:val="single" w:sz="12" w:space="0" w:color="auto"/>
            </w:tcBorders>
            <w:shd w:val="clear" w:color="auto" w:fill="auto"/>
            <w:vAlign w:val="bottom"/>
          </w:tcPr>
          <w:p w:rsidR="002F3A71" w:rsidRPr="00960CC6" w:rsidRDefault="002F3A71" w:rsidP="00960CC6">
            <w:pPr>
              <w:keepNext/>
              <w:keepLines/>
              <w:suppressAutoHyphens w:val="0"/>
              <w:spacing w:before="60" w:after="60" w:line="220" w:lineRule="atLeast"/>
              <w:ind w:left="57" w:right="57"/>
              <w:jc w:val="right"/>
              <w:rPr>
                <w:rFonts w:eastAsia="MS Mincho"/>
                <w:bCs/>
                <w:sz w:val="18"/>
                <w:szCs w:val="18"/>
                <w:lang w:val="fr-FR" w:eastAsia="ja-JP"/>
              </w:rPr>
            </w:pPr>
          </w:p>
        </w:tc>
        <w:tc>
          <w:tcPr>
            <w:tcW w:w="1134" w:type="dxa"/>
            <w:tcBorders>
              <w:top w:val="single" w:sz="12" w:space="0" w:color="auto"/>
            </w:tcBorders>
            <w:shd w:val="clear" w:color="auto" w:fill="auto"/>
            <w:vAlign w:val="bottom"/>
          </w:tcPr>
          <w:p w:rsidR="002F3A71" w:rsidRPr="00960CC6" w:rsidRDefault="002F3A71" w:rsidP="00960CC6">
            <w:pPr>
              <w:keepNext/>
              <w:keepLines/>
              <w:suppressAutoHyphens w:val="0"/>
              <w:spacing w:before="60" w:after="60" w:line="220" w:lineRule="atLeast"/>
              <w:ind w:left="57" w:right="57"/>
              <w:jc w:val="right"/>
              <w:rPr>
                <w:rFonts w:eastAsia="MS Mincho"/>
                <w:sz w:val="18"/>
                <w:szCs w:val="18"/>
                <w:lang w:val="fr-FR" w:eastAsia="ja-JP"/>
              </w:rPr>
            </w:pPr>
            <w:r w:rsidRPr="00960CC6">
              <w:rPr>
                <w:rFonts w:eastAsia="MS Mincho"/>
                <w:sz w:val="18"/>
                <w:szCs w:val="18"/>
                <w:lang w:val="fr-FR" w:eastAsia="ja-JP"/>
              </w:rPr>
              <w:t>0,29</w:t>
            </w:r>
          </w:p>
        </w:tc>
      </w:tr>
      <w:tr w:rsidR="002F3A71" w:rsidRPr="00960CC6" w:rsidTr="00AB1CBE">
        <w:tc>
          <w:tcPr>
            <w:tcW w:w="2268" w:type="dxa"/>
            <w:shd w:val="clear" w:color="auto" w:fill="auto"/>
          </w:tcPr>
          <w:p w:rsidR="002F3A71" w:rsidRPr="00960CC6" w:rsidRDefault="002F3A71" w:rsidP="00960CC6">
            <w:pPr>
              <w:keepNext/>
              <w:keepLines/>
              <w:suppressAutoHyphens w:val="0"/>
              <w:spacing w:before="60" w:after="60" w:line="220" w:lineRule="atLeast"/>
              <w:ind w:left="57" w:right="57"/>
              <w:rPr>
                <w:rFonts w:eastAsia="MS Mincho"/>
                <w:bCs/>
                <w:sz w:val="18"/>
                <w:szCs w:val="18"/>
                <w:lang w:val="fr-FR" w:eastAsia="ja-JP"/>
              </w:rPr>
            </w:pPr>
            <w:r w:rsidRPr="00960CC6">
              <w:rPr>
                <w:rFonts w:eastAsia="MS Mincho"/>
                <w:sz w:val="18"/>
                <w:szCs w:val="18"/>
                <w:lang w:val="fr-FR" w:eastAsia="ja-JP"/>
              </w:rPr>
              <w:t>300 ≤ λ ≤ 320</w:t>
            </w:r>
          </w:p>
        </w:tc>
        <w:tc>
          <w:tcPr>
            <w:tcW w:w="1134" w:type="dxa"/>
            <w:shd w:val="clear" w:color="auto" w:fill="auto"/>
            <w:vAlign w:val="bottom"/>
          </w:tcPr>
          <w:p w:rsidR="002F3A71" w:rsidRPr="00960CC6" w:rsidRDefault="002F3A71" w:rsidP="00960CC6">
            <w:pPr>
              <w:keepNext/>
              <w:keepLines/>
              <w:suppressAutoHyphens w:val="0"/>
              <w:spacing w:before="60" w:after="60" w:line="220" w:lineRule="atLeast"/>
              <w:ind w:left="57" w:right="57"/>
              <w:jc w:val="right"/>
              <w:rPr>
                <w:rFonts w:eastAsia="MS Mincho"/>
                <w:bCs/>
                <w:sz w:val="18"/>
                <w:szCs w:val="18"/>
                <w:lang w:val="fr-FR" w:eastAsia="ja-JP"/>
              </w:rPr>
            </w:pPr>
            <w:r w:rsidRPr="00960CC6">
              <w:rPr>
                <w:rFonts w:eastAsia="MS Mincho"/>
                <w:sz w:val="18"/>
                <w:szCs w:val="18"/>
                <w:lang w:val="fr-FR" w:eastAsia="ja-JP"/>
              </w:rPr>
              <w:t>0,1</w:t>
            </w:r>
          </w:p>
        </w:tc>
        <w:tc>
          <w:tcPr>
            <w:tcW w:w="2835" w:type="dxa"/>
            <w:shd w:val="clear" w:color="auto" w:fill="auto"/>
            <w:vAlign w:val="bottom"/>
          </w:tcPr>
          <w:p w:rsidR="002F3A71" w:rsidRPr="00960CC6" w:rsidRDefault="002F3A71" w:rsidP="00960CC6">
            <w:pPr>
              <w:keepNext/>
              <w:keepLines/>
              <w:suppressAutoHyphens w:val="0"/>
              <w:spacing w:before="60" w:after="60" w:line="220" w:lineRule="atLeast"/>
              <w:ind w:left="57" w:right="57"/>
              <w:jc w:val="right"/>
              <w:rPr>
                <w:rFonts w:eastAsia="MS Mincho"/>
                <w:bCs/>
                <w:sz w:val="18"/>
                <w:szCs w:val="18"/>
                <w:lang w:val="fr-FR" w:eastAsia="ja-JP"/>
              </w:rPr>
            </w:pPr>
            <w:r w:rsidRPr="00960CC6">
              <w:rPr>
                <w:rFonts w:eastAsia="MS Mincho"/>
                <w:sz w:val="18"/>
                <w:szCs w:val="18"/>
                <w:lang w:val="fr-FR" w:eastAsia="ja-JP"/>
              </w:rPr>
              <w:t>≤1</w:t>
            </w:r>
          </w:p>
        </w:tc>
        <w:tc>
          <w:tcPr>
            <w:tcW w:w="1134" w:type="dxa"/>
            <w:shd w:val="clear" w:color="auto" w:fill="auto"/>
            <w:vAlign w:val="bottom"/>
          </w:tcPr>
          <w:p w:rsidR="002F3A71" w:rsidRPr="00960CC6" w:rsidRDefault="002F3A71" w:rsidP="00960CC6">
            <w:pPr>
              <w:keepNext/>
              <w:keepLines/>
              <w:suppressAutoHyphens w:val="0"/>
              <w:spacing w:before="60" w:after="60" w:line="220" w:lineRule="atLeast"/>
              <w:ind w:left="57" w:right="57"/>
              <w:jc w:val="right"/>
              <w:rPr>
                <w:rFonts w:eastAsia="MS Mincho"/>
                <w:sz w:val="18"/>
                <w:szCs w:val="18"/>
                <w:lang w:val="fr-FR" w:eastAsia="ja-JP"/>
              </w:rPr>
            </w:pPr>
            <w:r w:rsidRPr="00960CC6">
              <w:rPr>
                <w:rFonts w:eastAsia="MS Mincho"/>
                <w:sz w:val="18"/>
                <w:szCs w:val="18"/>
                <w:lang w:val="fr-FR" w:eastAsia="ja-JP"/>
              </w:rPr>
              <w:t>2,8</w:t>
            </w:r>
          </w:p>
        </w:tc>
      </w:tr>
      <w:tr w:rsidR="002F3A71" w:rsidRPr="00960CC6" w:rsidTr="00AB1CBE">
        <w:tc>
          <w:tcPr>
            <w:tcW w:w="2268" w:type="dxa"/>
            <w:shd w:val="clear" w:color="auto" w:fill="auto"/>
          </w:tcPr>
          <w:p w:rsidR="002F3A71" w:rsidRPr="00960CC6" w:rsidRDefault="002F3A71" w:rsidP="00960CC6">
            <w:pPr>
              <w:keepNext/>
              <w:keepLines/>
              <w:suppressAutoHyphens w:val="0"/>
              <w:spacing w:before="60" w:after="60" w:line="220" w:lineRule="atLeast"/>
              <w:ind w:left="57" w:right="57"/>
              <w:rPr>
                <w:rFonts w:eastAsia="MS Mincho"/>
                <w:bCs/>
                <w:sz w:val="18"/>
                <w:szCs w:val="18"/>
                <w:lang w:val="fr-FR" w:eastAsia="ja-JP"/>
              </w:rPr>
            </w:pPr>
            <w:r w:rsidRPr="00960CC6">
              <w:rPr>
                <w:rFonts w:eastAsia="MS Mincho"/>
                <w:sz w:val="18"/>
                <w:szCs w:val="18"/>
                <w:lang w:val="fr-FR" w:eastAsia="ja-JP"/>
              </w:rPr>
              <w:t>320 &lt; λ ≤ 360</w:t>
            </w:r>
          </w:p>
        </w:tc>
        <w:tc>
          <w:tcPr>
            <w:tcW w:w="1134" w:type="dxa"/>
            <w:shd w:val="clear" w:color="auto" w:fill="auto"/>
            <w:vAlign w:val="bottom"/>
          </w:tcPr>
          <w:p w:rsidR="002F3A71" w:rsidRPr="00960CC6" w:rsidRDefault="002F3A71" w:rsidP="00960CC6">
            <w:pPr>
              <w:keepNext/>
              <w:keepLines/>
              <w:suppressAutoHyphens w:val="0"/>
              <w:spacing w:before="60" w:after="60" w:line="220" w:lineRule="atLeast"/>
              <w:ind w:left="57" w:right="57"/>
              <w:jc w:val="right"/>
              <w:rPr>
                <w:rFonts w:eastAsia="MS Mincho"/>
                <w:bCs/>
                <w:sz w:val="18"/>
                <w:szCs w:val="18"/>
                <w:lang w:val="fr-FR" w:eastAsia="ja-JP"/>
              </w:rPr>
            </w:pPr>
            <w:r w:rsidRPr="00960CC6">
              <w:rPr>
                <w:rFonts w:eastAsia="MS Mincho"/>
                <w:sz w:val="18"/>
                <w:szCs w:val="18"/>
                <w:lang w:val="fr-FR" w:eastAsia="ja-JP"/>
              </w:rPr>
              <w:t>23,8</w:t>
            </w:r>
          </w:p>
        </w:tc>
        <w:tc>
          <w:tcPr>
            <w:tcW w:w="2835" w:type="dxa"/>
            <w:shd w:val="clear" w:color="auto" w:fill="auto"/>
            <w:vAlign w:val="bottom"/>
          </w:tcPr>
          <w:p w:rsidR="002F3A71" w:rsidRPr="00960CC6" w:rsidRDefault="002F3A71" w:rsidP="00960CC6">
            <w:pPr>
              <w:keepNext/>
              <w:keepLines/>
              <w:suppressAutoHyphens w:val="0"/>
              <w:spacing w:before="60" w:after="60" w:line="220" w:lineRule="atLeast"/>
              <w:ind w:left="57" w:right="57"/>
              <w:jc w:val="right"/>
              <w:rPr>
                <w:rFonts w:eastAsia="MS Mincho"/>
                <w:bCs/>
                <w:sz w:val="18"/>
                <w:szCs w:val="18"/>
                <w:lang w:val="fr-FR" w:eastAsia="ja-JP"/>
              </w:rPr>
            </w:pPr>
            <w:r w:rsidRPr="00960CC6">
              <w:rPr>
                <w:rFonts w:eastAsia="MS Mincho"/>
                <w:sz w:val="18"/>
                <w:szCs w:val="18"/>
                <w:lang w:val="fr-FR" w:eastAsia="ja-JP"/>
              </w:rPr>
              <w:t>33,1</w:t>
            </w:r>
          </w:p>
        </w:tc>
        <w:tc>
          <w:tcPr>
            <w:tcW w:w="1134" w:type="dxa"/>
            <w:shd w:val="clear" w:color="auto" w:fill="auto"/>
            <w:vAlign w:val="bottom"/>
          </w:tcPr>
          <w:p w:rsidR="002F3A71" w:rsidRPr="00960CC6" w:rsidRDefault="002F3A71" w:rsidP="00960CC6">
            <w:pPr>
              <w:keepNext/>
              <w:keepLines/>
              <w:suppressAutoHyphens w:val="0"/>
              <w:spacing w:before="60" w:after="60" w:line="220" w:lineRule="atLeast"/>
              <w:ind w:left="57" w:right="57"/>
              <w:jc w:val="right"/>
              <w:rPr>
                <w:rFonts w:eastAsia="MS Mincho"/>
                <w:sz w:val="18"/>
                <w:szCs w:val="18"/>
                <w:lang w:val="fr-FR" w:eastAsia="ja-JP"/>
              </w:rPr>
            </w:pPr>
            <w:r w:rsidRPr="00960CC6">
              <w:rPr>
                <w:rFonts w:eastAsia="MS Mincho"/>
                <w:sz w:val="18"/>
                <w:szCs w:val="18"/>
                <w:lang w:val="fr-FR" w:eastAsia="ja-JP"/>
              </w:rPr>
              <w:t>35,5</w:t>
            </w:r>
          </w:p>
        </w:tc>
      </w:tr>
      <w:tr w:rsidR="002F3A71" w:rsidRPr="00960CC6" w:rsidTr="00AB1CBE">
        <w:tc>
          <w:tcPr>
            <w:tcW w:w="2268" w:type="dxa"/>
            <w:tcBorders>
              <w:bottom w:val="single" w:sz="2" w:space="0" w:color="auto"/>
            </w:tcBorders>
            <w:shd w:val="clear" w:color="auto" w:fill="auto"/>
          </w:tcPr>
          <w:p w:rsidR="002F3A71" w:rsidRPr="00960CC6" w:rsidRDefault="002F3A71" w:rsidP="00960CC6">
            <w:pPr>
              <w:keepNext/>
              <w:keepLines/>
              <w:suppressAutoHyphens w:val="0"/>
              <w:spacing w:before="60" w:after="60" w:line="220" w:lineRule="atLeast"/>
              <w:ind w:left="57" w:right="57"/>
              <w:rPr>
                <w:rFonts w:eastAsia="MS Mincho"/>
                <w:bCs/>
                <w:sz w:val="18"/>
                <w:szCs w:val="18"/>
                <w:lang w:val="fr-FR" w:eastAsia="ja-JP"/>
              </w:rPr>
            </w:pPr>
            <w:r w:rsidRPr="00960CC6">
              <w:rPr>
                <w:rFonts w:eastAsia="MS Mincho"/>
                <w:sz w:val="18"/>
                <w:szCs w:val="18"/>
                <w:lang w:val="fr-FR" w:eastAsia="ja-JP"/>
              </w:rPr>
              <w:t>360 &lt; λ ≤400</w:t>
            </w:r>
          </w:p>
        </w:tc>
        <w:tc>
          <w:tcPr>
            <w:tcW w:w="1134" w:type="dxa"/>
            <w:tcBorders>
              <w:bottom w:val="single" w:sz="2" w:space="0" w:color="auto"/>
            </w:tcBorders>
            <w:shd w:val="clear" w:color="auto" w:fill="auto"/>
            <w:vAlign w:val="bottom"/>
          </w:tcPr>
          <w:p w:rsidR="002F3A71" w:rsidRPr="00960CC6" w:rsidRDefault="002F3A71" w:rsidP="00960CC6">
            <w:pPr>
              <w:keepNext/>
              <w:keepLines/>
              <w:suppressAutoHyphens w:val="0"/>
              <w:spacing w:before="60" w:after="60" w:line="220" w:lineRule="atLeast"/>
              <w:ind w:left="57" w:right="57"/>
              <w:jc w:val="right"/>
              <w:rPr>
                <w:rFonts w:eastAsia="MS Mincho"/>
                <w:bCs/>
                <w:sz w:val="18"/>
                <w:szCs w:val="18"/>
                <w:lang w:val="fr-FR" w:eastAsia="ja-JP"/>
              </w:rPr>
            </w:pPr>
            <w:r w:rsidRPr="00960CC6">
              <w:rPr>
                <w:rFonts w:eastAsia="MS Mincho"/>
                <w:sz w:val="18"/>
                <w:szCs w:val="18"/>
                <w:lang w:val="fr-FR" w:eastAsia="ja-JP"/>
              </w:rPr>
              <w:t>62,4</w:t>
            </w:r>
          </w:p>
        </w:tc>
        <w:tc>
          <w:tcPr>
            <w:tcW w:w="2835" w:type="dxa"/>
            <w:tcBorders>
              <w:bottom w:val="single" w:sz="2" w:space="0" w:color="auto"/>
            </w:tcBorders>
            <w:shd w:val="clear" w:color="auto" w:fill="auto"/>
            <w:vAlign w:val="bottom"/>
          </w:tcPr>
          <w:p w:rsidR="002F3A71" w:rsidRPr="00960CC6" w:rsidRDefault="002F3A71" w:rsidP="00960CC6">
            <w:pPr>
              <w:keepNext/>
              <w:keepLines/>
              <w:suppressAutoHyphens w:val="0"/>
              <w:spacing w:before="60" w:after="60" w:line="220" w:lineRule="atLeast"/>
              <w:ind w:left="57" w:right="57"/>
              <w:jc w:val="right"/>
              <w:rPr>
                <w:rFonts w:eastAsia="MS Mincho"/>
                <w:bCs/>
                <w:sz w:val="18"/>
                <w:szCs w:val="18"/>
                <w:lang w:val="fr-FR" w:eastAsia="ja-JP"/>
              </w:rPr>
            </w:pPr>
            <w:r w:rsidRPr="00960CC6">
              <w:rPr>
                <w:rFonts w:eastAsia="MS Mincho"/>
                <w:sz w:val="18"/>
                <w:szCs w:val="18"/>
                <w:lang w:val="fr-FR" w:eastAsia="ja-JP"/>
              </w:rPr>
              <w:t>66,0</w:t>
            </w:r>
          </w:p>
        </w:tc>
        <w:tc>
          <w:tcPr>
            <w:tcW w:w="1134" w:type="dxa"/>
            <w:tcBorders>
              <w:bottom w:val="single" w:sz="2" w:space="0" w:color="auto"/>
            </w:tcBorders>
            <w:shd w:val="clear" w:color="auto" w:fill="auto"/>
            <w:vAlign w:val="bottom"/>
          </w:tcPr>
          <w:p w:rsidR="002F3A71" w:rsidRPr="00960CC6" w:rsidRDefault="002F3A71" w:rsidP="00960CC6">
            <w:pPr>
              <w:keepNext/>
              <w:keepLines/>
              <w:suppressAutoHyphens w:val="0"/>
              <w:spacing w:before="60" w:after="60" w:line="220" w:lineRule="atLeast"/>
              <w:ind w:left="57" w:right="57"/>
              <w:jc w:val="right"/>
              <w:rPr>
                <w:rFonts w:eastAsia="MS Mincho"/>
                <w:sz w:val="18"/>
                <w:szCs w:val="18"/>
                <w:lang w:val="fr-FR" w:eastAsia="ja-JP"/>
              </w:rPr>
            </w:pPr>
            <w:r w:rsidRPr="00960CC6">
              <w:rPr>
                <w:rFonts w:eastAsia="MS Mincho"/>
                <w:sz w:val="18"/>
                <w:szCs w:val="18"/>
                <w:lang w:val="fr-FR" w:eastAsia="ja-JP"/>
              </w:rPr>
              <w:t>76,2</w:t>
            </w:r>
          </w:p>
        </w:tc>
      </w:tr>
    </w:tbl>
    <w:p w:rsidR="000D55DF" w:rsidRPr="00960CC6" w:rsidRDefault="000D55DF" w:rsidP="002F1BED">
      <w:pPr>
        <w:pStyle w:val="SingleTxtG"/>
        <w:keepNext/>
        <w:spacing w:before="120" w:after="0"/>
        <w:ind w:firstLine="170"/>
        <w:jc w:val="left"/>
        <w:rPr>
          <w:bCs/>
          <w:sz w:val="18"/>
          <w:szCs w:val="18"/>
          <w:lang w:val="fr-FR"/>
        </w:rPr>
      </w:pPr>
      <w:r w:rsidRPr="002F1BED">
        <w:rPr>
          <w:bCs/>
          <w:i/>
          <w:sz w:val="18"/>
          <w:szCs w:val="18"/>
          <w:vertAlign w:val="superscript"/>
          <w:lang w:val="fr-FR"/>
        </w:rPr>
        <w:t>a</w:t>
      </w:r>
      <w:r w:rsidRPr="00960CC6">
        <w:rPr>
          <w:bCs/>
          <w:sz w:val="18"/>
          <w:szCs w:val="18"/>
          <w:lang w:val="fr-FR"/>
        </w:rPr>
        <w:t xml:space="preserve">  Le tableau ci-dessus indique l’irradiance dans la bande spectrale donnée, exprimée en pourcentage d</w:t>
      </w:r>
      <w:r w:rsidR="002F1BED">
        <w:rPr>
          <w:bCs/>
          <w:sz w:val="18"/>
          <w:szCs w:val="18"/>
          <w:lang w:val="fr-FR"/>
        </w:rPr>
        <w:t>e l’irradiance totale entre 290 nm et 400 </w:t>
      </w:r>
      <w:r w:rsidRPr="00960CC6">
        <w:rPr>
          <w:bCs/>
          <w:sz w:val="18"/>
          <w:szCs w:val="18"/>
          <w:lang w:val="fr-FR"/>
        </w:rPr>
        <w:t xml:space="preserve">nm. Pour déterminer si un filtre ou un jeu de filtres donné satisfait aux prescriptions indiquées dans le tableau, il convient de mesurer l’irradiance spectrale entre 250 nm et 400 nm. L’irradiance totale dans chaque bande de longueur d’onde est ensuite cumulée et divisée par l’irradiance totale entre 290 nm et 400 nm. </w:t>
      </w:r>
    </w:p>
    <w:p w:rsidR="000D55DF" w:rsidRPr="00960CC6" w:rsidRDefault="000D55DF" w:rsidP="002F1BED">
      <w:pPr>
        <w:pStyle w:val="SingleTxtG"/>
        <w:keepNext/>
        <w:spacing w:after="0"/>
        <w:ind w:firstLine="170"/>
        <w:jc w:val="left"/>
        <w:rPr>
          <w:bCs/>
          <w:sz w:val="18"/>
          <w:szCs w:val="18"/>
          <w:lang w:val="fr-FR"/>
        </w:rPr>
      </w:pPr>
      <w:r w:rsidRPr="002F1BED">
        <w:rPr>
          <w:bCs/>
          <w:i/>
          <w:sz w:val="18"/>
          <w:szCs w:val="18"/>
          <w:vertAlign w:val="superscript"/>
          <w:lang w:val="fr-FR"/>
        </w:rPr>
        <w:t>b</w:t>
      </w:r>
      <w:r w:rsidRPr="00960CC6">
        <w:rPr>
          <w:bCs/>
          <w:sz w:val="18"/>
          <w:szCs w:val="18"/>
          <w:lang w:val="fr-FR"/>
        </w:rPr>
        <w:t xml:space="preserve">  Les valeurs minimales et maximales du tablea</w:t>
      </w:r>
      <w:r w:rsidR="00D5692B">
        <w:rPr>
          <w:bCs/>
          <w:sz w:val="18"/>
          <w:szCs w:val="18"/>
          <w:lang w:val="fr-FR"/>
        </w:rPr>
        <w:t>u 3 sont fondées sur plus de 30 </w:t>
      </w:r>
      <w:r w:rsidRPr="00960CC6">
        <w:rPr>
          <w:bCs/>
          <w:sz w:val="18"/>
          <w:szCs w:val="18"/>
          <w:lang w:val="fr-FR"/>
        </w:rPr>
        <w:t>mesures de l’irradiance spectrale pour des lampes à arc au xénon refroidies par eau ou par air, équipées de filtres en verre à vitre, provenant de divers lots et ayant divers âges. Elles sont valables pour des filtres et</w:t>
      </w:r>
      <w:r w:rsidR="00D5692B">
        <w:rPr>
          <w:bCs/>
          <w:sz w:val="18"/>
          <w:szCs w:val="18"/>
          <w:lang w:val="fr-FR"/>
        </w:rPr>
        <w:t> </w:t>
      </w:r>
      <w:r w:rsidRPr="00960CC6">
        <w:rPr>
          <w:bCs/>
          <w:sz w:val="18"/>
          <w:szCs w:val="18"/>
          <w:lang w:val="fr-FR"/>
        </w:rPr>
        <w:t>des lampes répondant aux recommandations du fabricant en ce qui concerne le vieillissement. De</w:t>
      </w:r>
      <w:r w:rsidR="00D5692B">
        <w:rPr>
          <w:bCs/>
          <w:sz w:val="18"/>
          <w:szCs w:val="18"/>
          <w:lang w:val="fr-FR"/>
        </w:rPr>
        <w:t> </w:t>
      </w:r>
      <w:r w:rsidRPr="00960CC6">
        <w:rPr>
          <w:bCs/>
          <w:sz w:val="18"/>
          <w:szCs w:val="18"/>
          <w:lang w:val="fr-FR"/>
        </w:rPr>
        <w:t xml:space="preserve">petites modifications des limites sont à envisager lorsqu’on disposera de données supplémentaires sur l’irradiance spectrale. Les valeurs minimales et maximales représentent au moins les trois limites sigma par rapport à la valeur moyenne pour toutes les mesures. </w:t>
      </w:r>
    </w:p>
    <w:p w:rsidR="000D55DF" w:rsidRPr="00960CC6" w:rsidRDefault="000D55DF" w:rsidP="002F1BED">
      <w:pPr>
        <w:pStyle w:val="SingleTxtG"/>
        <w:keepNext/>
        <w:spacing w:after="0"/>
        <w:ind w:firstLine="170"/>
        <w:jc w:val="left"/>
        <w:rPr>
          <w:bCs/>
          <w:sz w:val="18"/>
          <w:szCs w:val="18"/>
          <w:lang w:val="fr-FR"/>
        </w:rPr>
      </w:pPr>
      <w:r w:rsidRPr="002F1BED">
        <w:rPr>
          <w:bCs/>
          <w:i/>
          <w:sz w:val="18"/>
          <w:szCs w:val="18"/>
          <w:vertAlign w:val="superscript"/>
          <w:lang w:val="fr-FR"/>
        </w:rPr>
        <w:t>c</w:t>
      </w:r>
      <w:r w:rsidRPr="00960CC6">
        <w:rPr>
          <w:bCs/>
          <w:sz w:val="18"/>
          <w:szCs w:val="18"/>
          <w:lang w:val="fr-FR"/>
        </w:rPr>
        <w:t xml:space="preserve">  Le résultat de l’addition des valeurs minimales et maximales exprimées en pourcentage dans les colonnes respectiv</w:t>
      </w:r>
      <w:r w:rsidR="00D5692B">
        <w:rPr>
          <w:bCs/>
          <w:sz w:val="18"/>
          <w:szCs w:val="18"/>
          <w:lang w:val="fr-FR"/>
        </w:rPr>
        <w:t>es n’est pas nécessairement 100 </w:t>
      </w:r>
      <w:r w:rsidRPr="00960CC6">
        <w:rPr>
          <w:bCs/>
          <w:sz w:val="18"/>
          <w:szCs w:val="18"/>
          <w:lang w:val="fr-FR"/>
        </w:rPr>
        <w:t xml:space="preserve">% dû au fait qu’il s’agit des valeurs minimales et maximales pour les données utilisées. Pour une irradiance spectrale donnée, l’addition des pourcentages calculés pour les bandes dans le tableau 3 donne 100 %. Pour une lampe à arc au xénon équipée de filtres en verre à vitre, le pourcentage calculé dans chaque bande doit se situer dans les limites minimale et maximale du tableau 2. Les résultats peuvent varier d’un essai à un autre lorsqu’on utilise des dispositifs à arc au xénon pour lesquels les données de l’irradiance spectrale varient autant que celles qui correspondent aux tolérances. Il convient de s’adresser au fabricant du dispositif pour obtenir les données d’irradiance spectrale correspondant à la lampe et aux filtres utilisés. </w:t>
      </w:r>
    </w:p>
    <w:p w:rsidR="000D55DF" w:rsidRPr="00960CC6" w:rsidRDefault="000D55DF" w:rsidP="002F1BED">
      <w:pPr>
        <w:pStyle w:val="SingleTxtG"/>
        <w:keepNext/>
        <w:spacing w:after="0"/>
        <w:ind w:firstLine="170"/>
        <w:jc w:val="left"/>
        <w:rPr>
          <w:bCs/>
          <w:sz w:val="18"/>
          <w:szCs w:val="18"/>
          <w:lang w:val="fr-FR"/>
        </w:rPr>
      </w:pPr>
      <w:r w:rsidRPr="002F1BED">
        <w:rPr>
          <w:bCs/>
          <w:i/>
          <w:sz w:val="18"/>
          <w:szCs w:val="18"/>
          <w:vertAlign w:val="superscript"/>
          <w:lang w:val="fr-FR"/>
        </w:rPr>
        <w:t>d</w:t>
      </w:r>
      <w:r w:rsidRPr="00960CC6">
        <w:rPr>
          <w:bCs/>
          <w:sz w:val="18"/>
          <w:szCs w:val="18"/>
          <w:lang w:val="fr-FR"/>
        </w:rPr>
        <w:t xml:space="preserve">  Les valeurs correspondant au tableau 4 du document CIE </w:t>
      </w:r>
      <w:r w:rsidR="00D5692B" w:rsidRPr="00D5692B">
        <w:rPr>
          <w:rFonts w:eastAsia="MS Mincho"/>
          <w:bCs/>
          <w:sz w:val="18"/>
          <w:szCs w:val="18"/>
          <w:lang w:val="fr-FR"/>
        </w:rPr>
        <w:t>n</w:t>
      </w:r>
      <w:r w:rsidR="00D5692B" w:rsidRPr="00D5692B">
        <w:rPr>
          <w:rFonts w:eastAsia="MS Mincho"/>
          <w:bCs/>
          <w:sz w:val="18"/>
          <w:szCs w:val="18"/>
          <w:vertAlign w:val="superscript"/>
          <w:lang w:val="fr-FR"/>
        </w:rPr>
        <w:t>o</w:t>
      </w:r>
      <w:r w:rsidRPr="00960CC6">
        <w:rPr>
          <w:bCs/>
          <w:sz w:val="18"/>
          <w:szCs w:val="18"/>
          <w:lang w:val="fr-FR"/>
        </w:rPr>
        <w:t> 85 [1] avec un verre à vitre ont été obtenues en multipliant les données du tableau 4 par la transmittance spectrale d’un ver</w:t>
      </w:r>
      <w:r w:rsidR="00D5692B">
        <w:rPr>
          <w:bCs/>
          <w:sz w:val="18"/>
          <w:szCs w:val="18"/>
          <w:lang w:val="fr-FR"/>
        </w:rPr>
        <w:t>re à vitre d’une épaisseur de 3 </w:t>
      </w:r>
      <w:r w:rsidRPr="00960CC6">
        <w:rPr>
          <w:bCs/>
          <w:sz w:val="18"/>
          <w:szCs w:val="18"/>
          <w:lang w:val="fr-FR"/>
        </w:rPr>
        <w:t xml:space="preserve">mm (voir la norme ISO 11341 [2]). Ces valeurs sont les valeurs cibles pour les lampes à arc au xénon équipées de filtres en verre à vitre. </w:t>
      </w:r>
    </w:p>
    <w:p w:rsidR="000D55DF" w:rsidRPr="00960CC6" w:rsidRDefault="000D55DF" w:rsidP="002F1BED">
      <w:pPr>
        <w:pStyle w:val="SingleTxtG"/>
        <w:keepNext/>
        <w:spacing w:after="240"/>
        <w:ind w:firstLine="170"/>
        <w:jc w:val="left"/>
        <w:rPr>
          <w:bCs/>
          <w:sz w:val="18"/>
          <w:szCs w:val="18"/>
          <w:lang w:val="fr-FR"/>
        </w:rPr>
      </w:pPr>
      <w:r w:rsidRPr="002F1BED">
        <w:rPr>
          <w:bCs/>
          <w:i/>
          <w:sz w:val="18"/>
          <w:szCs w:val="18"/>
          <w:vertAlign w:val="superscript"/>
          <w:lang w:val="fr-FR"/>
        </w:rPr>
        <w:t>e</w:t>
      </w:r>
      <w:r w:rsidRPr="00960CC6">
        <w:rPr>
          <w:bCs/>
          <w:sz w:val="18"/>
          <w:szCs w:val="18"/>
          <w:lang w:val="fr-FR"/>
        </w:rPr>
        <w:t xml:space="preserve">  Dans le cas du tableau 4 du document CIE </w:t>
      </w:r>
      <w:r w:rsidR="009B3CAA" w:rsidRPr="009B3CAA">
        <w:rPr>
          <w:rFonts w:eastAsia="MS Mincho"/>
          <w:bCs/>
          <w:sz w:val="18"/>
          <w:szCs w:val="18"/>
          <w:lang w:val="fr-FR"/>
        </w:rPr>
        <w:t>n</w:t>
      </w:r>
      <w:r w:rsidR="009B3CAA" w:rsidRPr="009B3CAA">
        <w:rPr>
          <w:rFonts w:eastAsia="MS Mincho"/>
          <w:bCs/>
          <w:sz w:val="18"/>
          <w:szCs w:val="18"/>
          <w:vertAlign w:val="superscript"/>
          <w:lang w:val="fr-FR"/>
        </w:rPr>
        <w:t>o</w:t>
      </w:r>
      <w:r w:rsidRPr="00960CC6">
        <w:rPr>
          <w:bCs/>
          <w:sz w:val="18"/>
          <w:szCs w:val="18"/>
          <w:lang w:val="fr-FR"/>
        </w:rPr>
        <w:t> 85 avec un verre à vitre, le rayonne</w:t>
      </w:r>
      <w:r w:rsidR="00D5692B">
        <w:rPr>
          <w:bCs/>
          <w:sz w:val="18"/>
          <w:szCs w:val="18"/>
          <w:lang w:val="fr-FR"/>
        </w:rPr>
        <w:t>ment ultraviolet (UV) entre 300 </w:t>
      </w:r>
      <w:r w:rsidRPr="00960CC6">
        <w:rPr>
          <w:bCs/>
          <w:sz w:val="18"/>
          <w:szCs w:val="18"/>
          <w:lang w:val="fr-FR"/>
        </w:rPr>
        <w:t>nm et 400 nm est généralement de 9 % environ</w:t>
      </w:r>
      <w:r w:rsidR="002F1BED">
        <w:rPr>
          <w:bCs/>
          <w:sz w:val="18"/>
          <w:szCs w:val="18"/>
          <w:lang w:val="fr-FR"/>
        </w:rPr>
        <w:t xml:space="preserve"> et le rayonnement visible (400 </w:t>
      </w:r>
      <w:r w:rsidR="00D5692B">
        <w:rPr>
          <w:bCs/>
          <w:sz w:val="18"/>
          <w:szCs w:val="18"/>
          <w:lang w:val="fr-FR"/>
        </w:rPr>
        <w:t>nm à 800 </w:t>
      </w:r>
      <w:r w:rsidRPr="00960CC6">
        <w:rPr>
          <w:bCs/>
          <w:sz w:val="18"/>
          <w:szCs w:val="18"/>
          <w:lang w:val="fr-FR"/>
        </w:rPr>
        <w:t>nm), de 91 % environ, lorsque les valeurs sont exprimées en pourcentage d</w:t>
      </w:r>
      <w:r w:rsidR="00D5692B">
        <w:rPr>
          <w:bCs/>
          <w:sz w:val="18"/>
          <w:szCs w:val="18"/>
          <w:lang w:val="fr-FR"/>
        </w:rPr>
        <w:t>e l’irradiance totale entre 300 </w:t>
      </w:r>
      <w:r w:rsidRPr="00960CC6">
        <w:rPr>
          <w:bCs/>
          <w:sz w:val="18"/>
          <w:szCs w:val="18"/>
          <w:lang w:val="fr-FR"/>
        </w:rPr>
        <w:t xml:space="preserve">nm et 800 nm. Les pourcentages de rayonnement ultraviolet et visible sur les échantillons exposés à la lumière de la lampe à arc au xénon peuvent varier selon le nombre et les caractéristiques de réflectance des échantillons. </w:t>
      </w:r>
    </w:p>
    <w:p w:rsidR="002F3A71" w:rsidRPr="006B41B3" w:rsidRDefault="002F3A71" w:rsidP="00417FEC">
      <w:pPr>
        <w:pStyle w:val="SingleTxtG"/>
        <w:spacing w:before="240"/>
        <w:ind w:left="2268" w:hanging="1134"/>
        <w:jc w:val="left"/>
        <w:rPr>
          <w:lang w:val="fr-FR"/>
        </w:rPr>
      </w:pPr>
      <w:r w:rsidRPr="006B41B3">
        <w:rPr>
          <w:bCs/>
          <w:lang w:val="fr-FR"/>
        </w:rPr>
        <w:t>5.3</w:t>
      </w:r>
      <w:r w:rsidRPr="006B41B3">
        <w:rPr>
          <w:bCs/>
          <w:lang w:val="fr-FR"/>
        </w:rPr>
        <w:tab/>
      </w:r>
      <w:r w:rsidRPr="006B41B3">
        <w:rPr>
          <w:lang w:val="fr-FR"/>
        </w:rPr>
        <w:t>Équivalents d’exposition à la lumière pour les références de laine bleue utilisées aux fins des essais de résistance</w:t>
      </w:r>
      <w:r w:rsidR="00417FEC">
        <w:rPr>
          <w:lang w:val="fr-FR"/>
        </w:rPr>
        <w:t xml:space="preserve"> à la lumière réalisés au moyen</w:t>
      </w:r>
      <w:r w:rsidR="00417FEC">
        <w:rPr>
          <w:lang w:val="fr-FR"/>
        </w:rPr>
        <w:br/>
      </w:r>
      <w:r w:rsidRPr="006B41B3">
        <w:rPr>
          <w:lang w:val="fr-FR"/>
        </w:rPr>
        <w:t>d’une lampe à arc au xénon</w:t>
      </w:r>
    </w:p>
    <w:p w:rsidR="002F3A71" w:rsidRPr="006B41B3" w:rsidRDefault="002F3A71" w:rsidP="002F3A71">
      <w:pPr>
        <w:pStyle w:val="Heading1"/>
        <w:rPr>
          <w:lang w:val="fr-FR"/>
        </w:rPr>
      </w:pPr>
      <w:r w:rsidRPr="006B41B3">
        <w:rPr>
          <w:lang w:val="fr-FR"/>
        </w:rPr>
        <w:t>Tableau 4</w:t>
      </w:r>
    </w:p>
    <w:p w:rsidR="002F3A71" w:rsidRPr="006B41B3" w:rsidRDefault="002F3A71" w:rsidP="002F3A71">
      <w:pPr>
        <w:pStyle w:val="Heading1"/>
        <w:spacing w:after="120"/>
        <w:rPr>
          <w:b/>
          <w:lang w:val="fr-FR"/>
        </w:rPr>
      </w:pPr>
      <w:r w:rsidRPr="006B41B3">
        <w:rPr>
          <w:b/>
          <w:lang w:val="fr-FR"/>
        </w:rPr>
        <w:t>Référence de laine bleue</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152"/>
        <w:gridCol w:w="2140"/>
        <w:gridCol w:w="1976"/>
        <w:gridCol w:w="2102"/>
      </w:tblGrid>
      <w:tr w:rsidR="002F3A71" w:rsidRPr="000536E6" w:rsidTr="00AB1CBE">
        <w:trPr>
          <w:tblHeader/>
        </w:trPr>
        <w:tc>
          <w:tcPr>
            <w:tcW w:w="3293" w:type="dxa"/>
            <w:gridSpan w:val="2"/>
            <w:tcBorders>
              <w:bottom w:val="single" w:sz="12" w:space="0" w:color="auto"/>
            </w:tcBorders>
            <w:shd w:val="clear" w:color="auto" w:fill="auto"/>
            <w:vAlign w:val="bottom"/>
          </w:tcPr>
          <w:p w:rsidR="002F3A71" w:rsidRPr="000536E6" w:rsidRDefault="002F3A71" w:rsidP="000536E6">
            <w:pPr>
              <w:keepNext/>
              <w:suppressAutoHyphens w:val="0"/>
              <w:spacing w:before="60" w:after="60" w:line="200" w:lineRule="atLeast"/>
              <w:ind w:left="57" w:right="57"/>
              <w:rPr>
                <w:bCs/>
                <w:i/>
                <w:sz w:val="16"/>
                <w:szCs w:val="16"/>
                <w:lang w:val="fr-FR"/>
              </w:rPr>
            </w:pPr>
            <w:r w:rsidRPr="000536E6">
              <w:rPr>
                <w:i/>
                <w:sz w:val="16"/>
                <w:szCs w:val="16"/>
                <w:lang w:val="fr-FR"/>
              </w:rPr>
              <w:t xml:space="preserve">Référence de laine bleue </w:t>
            </w:r>
          </w:p>
        </w:tc>
        <w:tc>
          <w:tcPr>
            <w:tcW w:w="1976" w:type="dxa"/>
            <w:tcBorders>
              <w:bottom w:val="single" w:sz="12" w:space="0" w:color="auto"/>
            </w:tcBorders>
            <w:shd w:val="clear" w:color="auto" w:fill="auto"/>
            <w:vAlign w:val="bottom"/>
          </w:tcPr>
          <w:p w:rsidR="002F3A71" w:rsidRPr="000536E6" w:rsidRDefault="002F3A71" w:rsidP="000536E6">
            <w:pPr>
              <w:keepNext/>
              <w:suppressAutoHyphens w:val="0"/>
              <w:spacing w:before="60" w:after="60" w:line="200" w:lineRule="atLeast"/>
              <w:ind w:left="57" w:right="57"/>
              <w:jc w:val="right"/>
              <w:rPr>
                <w:bCs/>
                <w:i/>
                <w:sz w:val="16"/>
                <w:szCs w:val="16"/>
                <w:lang w:val="fr-FR"/>
              </w:rPr>
            </w:pPr>
            <w:r w:rsidRPr="000536E6">
              <w:rPr>
                <w:bCs/>
                <w:i/>
                <w:sz w:val="16"/>
                <w:szCs w:val="16"/>
                <w:lang w:val="fr-FR"/>
              </w:rPr>
              <w:t>420 nm</w:t>
            </w:r>
          </w:p>
        </w:tc>
        <w:tc>
          <w:tcPr>
            <w:tcW w:w="2102" w:type="dxa"/>
            <w:tcBorders>
              <w:bottom w:val="single" w:sz="12" w:space="0" w:color="auto"/>
            </w:tcBorders>
            <w:shd w:val="clear" w:color="auto" w:fill="auto"/>
            <w:vAlign w:val="bottom"/>
          </w:tcPr>
          <w:p w:rsidR="002F3A71" w:rsidRPr="000536E6" w:rsidRDefault="002F3A71" w:rsidP="000536E6">
            <w:pPr>
              <w:keepNext/>
              <w:suppressAutoHyphens w:val="0"/>
              <w:spacing w:before="60" w:after="60" w:line="200" w:lineRule="atLeast"/>
              <w:ind w:left="57" w:right="57"/>
              <w:jc w:val="right"/>
              <w:rPr>
                <w:bCs/>
                <w:i/>
                <w:sz w:val="16"/>
                <w:szCs w:val="16"/>
                <w:lang w:val="fr-FR"/>
              </w:rPr>
            </w:pPr>
            <w:r w:rsidRPr="000536E6">
              <w:rPr>
                <w:bCs/>
                <w:i/>
                <w:sz w:val="16"/>
                <w:szCs w:val="16"/>
                <w:lang w:val="fr-FR"/>
              </w:rPr>
              <w:t>300 nm-400 nm</w:t>
            </w:r>
          </w:p>
        </w:tc>
      </w:tr>
      <w:tr w:rsidR="002F3A71" w:rsidRPr="000536E6" w:rsidTr="00AB1CBE">
        <w:tc>
          <w:tcPr>
            <w:tcW w:w="3293" w:type="dxa"/>
            <w:gridSpan w:val="2"/>
            <w:tcBorders>
              <w:top w:val="single" w:sz="12" w:space="0" w:color="auto"/>
            </w:tcBorders>
            <w:shd w:val="clear" w:color="auto" w:fill="auto"/>
          </w:tcPr>
          <w:p w:rsidR="002F3A71" w:rsidRPr="000536E6" w:rsidRDefault="002F3A71" w:rsidP="000536E6">
            <w:pPr>
              <w:keepNext/>
              <w:suppressAutoHyphens w:val="0"/>
              <w:spacing w:before="60" w:after="60" w:line="220" w:lineRule="atLeast"/>
              <w:ind w:left="57" w:right="57"/>
              <w:rPr>
                <w:bCs/>
                <w:sz w:val="18"/>
                <w:szCs w:val="18"/>
                <w:lang w:val="fr-FR"/>
              </w:rPr>
            </w:pPr>
            <w:r w:rsidRPr="000536E6">
              <w:rPr>
                <w:bCs/>
                <w:sz w:val="18"/>
                <w:szCs w:val="18"/>
                <w:lang w:val="fr-FR"/>
              </w:rPr>
              <w:t>N</w:t>
            </w:r>
            <w:r w:rsidRPr="000536E6">
              <w:rPr>
                <w:bCs/>
                <w:sz w:val="18"/>
                <w:szCs w:val="18"/>
                <w:vertAlign w:val="superscript"/>
                <w:lang w:val="fr-FR"/>
              </w:rPr>
              <w:t>o</w:t>
            </w:r>
          </w:p>
        </w:tc>
        <w:tc>
          <w:tcPr>
            <w:tcW w:w="1976" w:type="dxa"/>
            <w:tcBorders>
              <w:top w:val="single" w:sz="12" w:space="0" w:color="auto"/>
            </w:tcBorders>
            <w:shd w:val="clear" w:color="auto" w:fill="auto"/>
          </w:tcPr>
          <w:p w:rsidR="002F3A71" w:rsidRPr="000536E6" w:rsidRDefault="002F3A71" w:rsidP="000536E6">
            <w:pPr>
              <w:keepNext/>
              <w:suppressAutoHyphens w:val="0"/>
              <w:spacing w:before="60" w:after="60" w:line="220" w:lineRule="atLeast"/>
              <w:ind w:left="57" w:right="57"/>
              <w:jc w:val="right"/>
              <w:rPr>
                <w:bCs/>
                <w:sz w:val="18"/>
                <w:szCs w:val="18"/>
                <w:lang w:val="fr-FR"/>
              </w:rPr>
            </w:pPr>
            <w:r w:rsidRPr="000536E6">
              <w:rPr>
                <w:bCs/>
                <w:sz w:val="18"/>
                <w:szCs w:val="18"/>
                <w:lang w:val="fr-FR"/>
              </w:rPr>
              <w:t>kj/m²</w:t>
            </w:r>
          </w:p>
        </w:tc>
        <w:tc>
          <w:tcPr>
            <w:tcW w:w="2102" w:type="dxa"/>
            <w:tcBorders>
              <w:top w:val="single" w:sz="12" w:space="0" w:color="auto"/>
            </w:tcBorders>
            <w:shd w:val="clear" w:color="auto" w:fill="auto"/>
          </w:tcPr>
          <w:p w:rsidR="002F3A71" w:rsidRPr="000536E6" w:rsidRDefault="002F3A71" w:rsidP="000536E6">
            <w:pPr>
              <w:keepNext/>
              <w:suppressAutoHyphens w:val="0"/>
              <w:spacing w:before="60" w:after="60" w:line="220" w:lineRule="atLeast"/>
              <w:ind w:left="57" w:right="57"/>
              <w:jc w:val="right"/>
              <w:rPr>
                <w:bCs/>
                <w:sz w:val="18"/>
                <w:szCs w:val="18"/>
                <w:lang w:val="fr-FR"/>
              </w:rPr>
            </w:pPr>
            <w:r w:rsidRPr="000536E6">
              <w:rPr>
                <w:bCs/>
                <w:sz w:val="18"/>
                <w:szCs w:val="18"/>
                <w:lang w:val="fr-FR"/>
              </w:rPr>
              <w:t>kj/m²</w:t>
            </w:r>
          </w:p>
        </w:tc>
      </w:tr>
      <w:tr w:rsidR="002F3A71" w:rsidRPr="000536E6" w:rsidTr="00AB1CBE">
        <w:tc>
          <w:tcPr>
            <w:tcW w:w="1153" w:type="dxa"/>
            <w:tcBorders>
              <w:bottom w:val="single" w:sz="2" w:space="0" w:color="auto"/>
            </w:tcBorders>
            <w:shd w:val="clear" w:color="auto" w:fill="auto"/>
          </w:tcPr>
          <w:p w:rsidR="002F3A71" w:rsidRPr="000536E6" w:rsidRDefault="002F3A71" w:rsidP="000536E6">
            <w:pPr>
              <w:keepNext/>
              <w:suppressAutoHyphens w:val="0"/>
              <w:spacing w:before="60" w:after="60" w:line="220" w:lineRule="atLeast"/>
              <w:ind w:left="57" w:right="57"/>
              <w:rPr>
                <w:bCs/>
                <w:sz w:val="18"/>
                <w:szCs w:val="18"/>
                <w:lang w:val="fr-FR"/>
              </w:rPr>
            </w:pPr>
            <w:r w:rsidRPr="000536E6">
              <w:rPr>
                <w:bCs/>
                <w:sz w:val="18"/>
                <w:szCs w:val="18"/>
                <w:lang w:val="fr-FR"/>
              </w:rPr>
              <w:t>5</w:t>
            </w:r>
          </w:p>
        </w:tc>
        <w:tc>
          <w:tcPr>
            <w:tcW w:w="2140" w:type="dxa"/>
            <w:tcBorders>
              <w:bottom w:val="single" w:sz="2" w:space="0" w:color="auto"/>
            </w:tcBorders>
            <w:shd w:val="clear" w:color="auto" w:fill="auto"/>
          </w:tcPr>
          <w:p w:rsidR="002F3A71" w:rsidRPr="000536E6" w:rsidRDefault="002F3A71" w:rsidP="000536E6">
            <w:pPr>
              <w:keepNext/>
              <w:suppressAutoHyphens w:val="0"/>
              <w:spacing w:before="60" w:after="60" w:line="220" w:lineRule="atLeast"/>
              <w:ind w:left="57" w:right="57"/>
              <w:rPr>
                <w:bCs/>
                <w:sz w:val="18"/>
                <w:szCs w:val="18"/>
                <w:lang w:val="fr-FR"/>
              </w:rPr>
            </w:pPr>
            <w:r w:rsidRPr="000536E6">
              <w:rPr>
                <w:bCs/>
                <w:sz w:val="18"/>
                <w:szCs w:val="18"/>
                <w:lang w:val="fr-FR"/>
              </w:rPr>
              <w:t>L6</w:t>
            </w:r>
          </w:p>
        </w:tc>
        <w:tc>
          <w:tcPr>
            <w:tcW w:w="1976" w:type="dxa"/>
            <w:tcBorders>
              <w:bottom w:val="single" w:sz="2" w:space="0" w:color="auto"/>
            </w:tcBorders>
            <w:shd w:val="clear" w:color="auto" w:fill="auto"/>
          </w:tcPr>
          <w:p w:rsidR="002F3A71" w:rsidRPr="000536E6" w:rsidRDefault="002F3A71" w:rsidP="000536E6">
            <w:pPr>
              <w:keepNext/>
              <w:suppressAutoHyphens w:val="0"/>
              <w:spacing w:before="60" w:after="60" w:line="220" w:lineRule="atLeast"/>
              <w:ind w:left="57" w:right="57"/>
              <w:jc w:val="right"/>
              <w:rPr>
                <w:bCs/>
                <w:sz w:val="18"/>
                <w:szCs w:val="18"/>
                <w:lang w:val="fr-FR"/>
              </w:rPr>
            </w:pPr>
            <w:r w:rsidRPr="000536E6">
              <w:rPr>
                <w:bCs/>
                <w:sz w:val="18"/>
                <w:szCs w:val="18"/>
                <w:lang w:val="fr-FR"/>
              </w:rPr>
              <w:t>340</w:t>
            </w:r>
          </w:p>
        </w:tc>
        <w:tc>
          <w:tcPr>
            <w:tcW w:w="2102" w:type="dxa"/>
            <w:tcBorders>
              <w:bottom w:val="single" w:sz="2" w:space="0" w:color="auto"/>
            </w:tcBorders>
            <w:shd w:val="clear" w:color="auto" w:fill="auto"/>
          </w:tcPr>
          <w:p w:rsidR="002F3A71" w:rsidRPr="000536E6" w:rsidRDefault="002F3A71" w:rsidP="000536E6">
            <w:pPr>
              <w:keepNext/>
              <w:suppressAutoHyphens w:val="0"/>
              <w:spacing w:before="60" w:after="60" w:line="220" w:lineRule="atLeast"/>
              <w:ind w:left="57" w:right="57"/>
              <w:jc w:val="right"/>
              <w:rPr>
                <w:bCs/>
                <w:sz w:val="18"/>
                <w:szCs w:val="18"/>
                <w:lang w:val="fr-FR"/>
              </w:rPr>
            </w:pPr>
            <w:r w:rsidRPr="000536E6">
              <w:rPr>
                <w:bCs/>
                <w:sz w:val="18"/>
                <w:szCs w:val="18"/>
                <w:lang w:val="fr-FR"/>
              </w:rPr>
              <w:t>13</w:t>
            </w:r>
            <w:r w:rsidR="00075541">
              <w:rPr>
                <w:bCs/>
                <w:sz w:val="18"/>
                <w:szCs w:val="18"/>
                <w:lang w:val="fr-FR"/>
              </w:rPr>
              <w:t> </w:t>
            </w:r>
            <w:r w:rsidRPr="000536E6">
              <w:rPr>
                <w:bCs/>
                <w:sz w:val="18"/>
                <w:szCs w:val="18"/>
                <w:lang w:val="fr-FR"/>
              </w:rPr>
              <w:t>824</w:t>
            </w:r>
          </w:p>
        </w:tc>
      </w:tr>
      <w:tr w:rsidR="002F3A71" w:rsidRPr="000536E6" w:rsidTr="00AB1CBE">
        <w:tc>
          <w:tcPr>
            <w:tcW w:w="1153" w:type="dxa"/>
            <w:tcBorders>
              <w:bottom w:val="single" w:sz="12" w:space="0" w:color="auto"/>
            </w:tcBorders>
            <w:shd w:val="clear" w:color="auto" w:fill="auto"/>
          </w:tcPr>
          <w:p w:rsidR="002F3A71" w:rsidRPr="000536E6" w:rsidRDefault="002F3A71" w:rsidP="000536E6">
            <w:pPr>
              <w:keepNext/>
              <w:suppressAutoHyphens w:val="0"/>
              <w:spacing w:before="60" w:after="60" w:line="220" w:lineRule="atLeast"/>
              <w:ind w:left="57" w:right="57"/>
              <w:rPr>
                <w:bCs/>
                <w:sz w:val="18"/>
                <w:szCs w:val="18"/>
                <w:lang w:val="fr-FR"/>
              </w:rPr>
            </w:pPr>
            <w:r w:rsidRPr="000536E6">
              <w:rPr>
                <w:bCs/>
                <w:sz w:val="18"/>
                <w:szCs w:val="18"/>
                <w:lang w:val="fr-FR"/>
              </w:rPr>
              <w:t>7</w:t>
            </w:r>
          </w:p>
        </w:tc>
        <w:tc>
          <w:tcPr>
            <w:tcW w:w="2140" w:type="dxa"/>
            <w:tcBorders>
              <w:bottom w:val="single" w:sz="12" w:space="0" w:color="auto"/>
            </w:tcBorders>
            <w:shd w:val="clear" w:color="auto" w:fill="auto"/>
          </w:tcPr>
          <w:p w:rsidR="002F3A71" w:rsidRPr="000536E6" w:rsidRDefault="002F3A71" w:rsidP="000536E6">
            <w:pPr>
              <w:keepNext/>
              <w:suppressAutoHyphens w:val="0"/>
              <w:spacing w:before="60" w:after="60" w:line="220" w:lineRule="atLeast"/>
              <w:ind w:left="57" w:right="57"/>
              <w:rPr>
                <w:bCs/>
                <w:sz w:val="18"/>
                <w:szCs w:val="18"/>
                <w:lang w:val="fr-FR"/>
              </w:rPr>
            </w:pPr>
            <w:r w:rsidRPr="000536E6">
              <w:rPr>
                <w:bCs/>
                <w:sz w:val="18"/>
                <w:szCs w:val="18"/>
                <w:lang w:val="fr-FR"/>
              </w:rPr>
              <w:t>L8</w:t>
            </w:r>
          </w:p>
        </w:tc>
        <w:tc>
          <w:tcPr>
            <w:tcW w:w="1976" w:type="dxa"/>
            <w:tcBorders>
              <w:bottom w:val="single" w:sz="12" w:space="0" w:color="auto"/>
            </w:tcBorders>
            <w:shd w:val="clear" w:color="auto" w:fill="auto"/>
          </w:tcPr>
          <w:p w:rsidR="002F3A71" w:rsidRPr="000536E6" w:rsidRDefault="002F3A71" w:rsidP="000536E6">
            <w:pPr>
              <w:keepNext/>
              <w:suppressAutoHyphens w:val="0"/>
              <w:spacing w:before="60" w:after="60" w:line="220" w:lineRule="atLeast"/>
              <w:ind w:left="57" w:right="57"/>
              <w:jc w:val="right"/>
              <w:rPr>
                <w:bCs/>
                <w:sz w:val="18"/>
                <w:szCs w:val="18"/>
                <w:lang w:val="fr-FR"/>
              </w:rPr>
            </w:pPr>
            <w:r w:rsidRPr="000536E6">
              <w:rPr>
                <w:bCs/>
                <w:sz w:val="18"/>
                <w:szCs w:val="18"/>
                <w:lang w:val="fr-FR"/>
              </w:rPr>
              <w:t>1</w:t>
            </w:r>
            <w:r w:rsidR="00075541">
              <w:rPr>
                <w:bCs/>
                <w:sz w:val="18"/>
                <w:szCs w:val="18"/>
                <w:lang w:val="fr-FR"/>
              </w:rPr>
              <w:t xml:space="preserve"> </w:t>
            </w:r>
            <w:r w:rsidRPr="000536E6">
              <w:rPr>
                <w:bCs/>
                <w:sz w:val="18"/>
                <w:szCs w:val="18"/>
                <w:lang w:val="fr-FR"/>
              </w:rPr>
              <w:t>360</w:t>
            </w:r>
          </w:p>
        </w:tc>
        <w:tc>
          <w:tcPr>
            <w:tcW w:w="2102" w:type="dxa"/>
            <w:tcBorders>
              <w:bottom w:val="single" w:sz="12" w:space="0" w:color="auto"/>
            </w:tcBorders>
            <w:shd w:val="clear" w:color="auto" w:fill="auto"/>
          </w:tcPr>
          <w:p w:rsidR="002F3A71" w:rsidRPr="000536E6" w:rsidRDefault="002F3A71" w:rsidP="000536E6">
            <w:pPr>
              <w:keepNext/>
              <w:suppressAutoHyphens w:val="0"/>
              <w:spacing w:before="60" w:after="60" w:line="220" w:lineRule="atLeast"/>
              <w:ind w:left="57" w:right="57"/>
              <w:jc w:val="right"/>
              <w:rPr>
                <w:bCs/>
                <w:sz w:val="18"/>
                <w:szCs w:val="18"/>
                <w:lang w:val="fr-FR"/>
              </w:rPr>
            </w:pPr>
            <w:r w:rsidRPr="000536E6">
              <w:rPr>
                <w:bCs/>
                <w:sz w:val="18"/>
                <w:szCs w:val="18"/>
                <w:lang w:val="fr-FR"/>
              </w:rPr>
              <w:t>55</w:t>
            </w:r>
            <w:r w:rsidR="00075541">
              <w:rPr>
                <w:bCs/>
                <w:sz w:val="18"/>
                <w:szCs w:val="18"/>
                <w:lang w:val="fr-FR"/>
              </w:rPr>
              <w:t> </w:t>
            </w:r>
            <w:r w:rsidRPr="000536E6">
              <w:rPr>
                <w:bCs/>
                <w:sz w:val="18"/>
                <w:szCs w:val="18"/>
                <w:lang w:val="fr-FR"/>
              </w:rPr>
              <w:t>296</w:t>
            </w:r>
          </w:p>
        </w:tc>
      </w:tr>
      <w:tr w:rsidR="002F3A71" w:rsidRPr="000536E6" w:rsidTr="00AB1CBE">
        <w:tc>
          <w:tcPr>
            <w:tcW w:w="7371" w:type="dxa"/>
            <w:gridSpan w:val="4"/>
            <w:tcBorders>
              <w:top w:val="single" w:sz="12" w:space="0" w:color="auto"/>
              <w:bottom w:val="single" w:sz="4" w:space="0" w:color="auto"/>
            </w:tcBorders>
            <w:shd w:val="clear" w:color="auto" w:fill="auto"/>
          </w:tcPr>
          <w:p w:rsidR="002F3A71" w:rsidRPr="000536E6" w:rsidRDefault="002F3A71" w:rsidP="000536E6">
            <w:pPr>
              <w:keepNext/>
              <w:suppressAutoHyphens w:val="0"/>
              <w:spacing w:before="60" w:after="60" w:line="220" w:lineRule="atLeast"/>
              <w:ind w:left="57" w:right="57"/>
              <w:rPr>
                <w:bCs/>
                <w:sz w:val="18"/>
                <w:szCs w:val="18"/>
                <w:lang w:val="fr-FR"/>
              </w:rPr>
            </w:pPr>
            <w:r w:rsidRPr="000536E6">
              <w:rPr>
                <w:sz w:val="18"/>
                <w:szCs w:val="18"/>
                <w:lang w:val="fr-FR"/>
              </w:rPr>
              <w:t xml:space="preserve">Pour la dégradation de couleur correspondant au degré 4 sur l’échelle de gris </w:t>
            </w:r>
          </w:p>
        </w:tc>
      </w:tr>
    </w:tbl>
    <w:p w:rsidR="002F3A71" w:rsidRPr="006B41B3" w:rsidRDefault="002F3A71" w:rsidP="002F3A71">
      <w:pPr>
        <w:pStyle w:val="SingleTxtG"/>
        <w:keepNext/>
        <w:spacing w:before="240"/>
        <w:ind w:left="2268" w:hanging="1134"/>
        <w:rPr>
          <w:bCs/>
          <w:lang w:val="fr-FR"/>
        </w:rPr>
      </w:pPr>
      <w:r w:rsidRPr="006B41B3">
        <w:rPr>
          <w:bCs/>
          <w:lang w:val="fr-FR"/>
        </w:rPr>
        <w:t>6.</w:t>
      </w:r>
      <w:r w:rsidRPr="006B41B3">
        <w:rPr>
          <w:bCs/>
          <w:lang w:val="fr-FR"/>
        </w:rPr>
        <w:tab/>
      </w:r>
      <w:r w:rsidRPr="006B41B3">
        <w:rPr>
          <w:lang w:val="fr-FR"/>
        </w:rPr>
        <w:t xml:space="preserve">Procédure (références de laine bleue) </w:t>
      </w:r>
    </w:p>
    <w:p w:rsidR="002F3A71" w:rsidRPr="006B41B3" w:rsidRDefault="002F3A71" w:rsidP="002F3A71">
      <w:pPr>
        <w:pStyle w:val="SingleTxtG"/>
        <w:ind w:left="2268" w:hanging="1134"/>
        <w:rPr>
          <w:bCs/>
          <w:lang w:val="fr-FR"/>
        </w:rPr>
      </w:pPr>
      <w:r w:rsidRPr="006B41B3">
        <w:rPr>
          <w:bCs/>
          <w:lang w:val="fr-FR"/>
        </w:rPr>
        <w:t>6.1</w:t>
      </w:r>
      <w:r w:rsidRPr="006B41B3">
        <w:rPr>
          <w:bCs/>
          <w:lang w:val="fr-FR"/>
        </w:rPr>
        <w:tab/>
      </w:r>
      <w:r w:rsidRPr="006B41B3">
        <w:rPr>
          <w:lang w:val="fr-FR"/>
        </w:rPr>
        <w:t>Placer les éprouvettes contenant les échantillons d’essai dans l’appareil et les exposer en permanence aux intempéries selon la méthode pertinente.</w:t>
      </w:r>
    </w:p>
    <w:p w:rsidR="002F3A71" w:rsidRPr="006B41B3" w:rsidRDefault="002F3A71" w:rsidP="002F3A71">
      <w:pPr>
        <w:pStyle w:val="SingleTxtG"/>
        <w:ind w:left="2268" w:hanging="1134"/>
        <w:rPr>
          <w:bCs/>
          <w:lang w:val="fr-FR"/>
        </w:rPr>
      </w:pPr>
      <w:r w:rsidRPr="006B41B3">
        <w:rPr>
          <w:bCs/>
          <w:lang w:val="fr-FR"/>
        </w:rPr>
        <w:t>6.2</w:t>
      </w:r>
      <w:r w:rsidRPr="006B41B3">
        <w:rPr>
          <w:bCs/>
          <w:lang w:val="fr-FR"/>
        </w:rPr>
        <w:tab/>
      </w:r>
      <w:r w:rsidRPr="006B41B3">
        <w:rPr>
          <w:lang w:val="fr-FR"/>
        </w:rPr>
        <w:t xml:space="preserve">Exposer également les références de laine bleue, placées sur des plaques de carton et couvertes sur un tiers de leur surface. </w:t>
      </w:r>
    </w:p>
    <w:p w:rsidR="002F3A71" w:rsidRPr="006B41B3" w:rsidRDefault="002F3A71" w:rsidP="002F3A71">
      <w:pPr>
        <w:pStyle w:val="SingleTxtG"/>
        <w:ind w:left="2268" w:hanging="1134"/>
        <w:rPr>
          <w:bCs/>
          <w:lang w:val="fr-FR"/>
        </w:rPr>
      </w:pPr>
      <w:r w:rsidRPr="006B41B3">
        <w:rPr>
          <w:bCs/>
          <w:lang w:val="fr-FR"/>
        </w:rPr>
        <w:t>6.3</w:t>
      </w:r>
      <w:r w:rsidRPr="006B41B3">
        <w:rPr>
          <w:bCs/>
          <w:lang w:val="fr-FR"/>
        </w:rPr>
        <w:tab/>
      </w:r>
      <w:r w:rsidRPr="006B41B3">
        <w:rPr>
          <w:lang w:val="fr-FR"/>
        </w:rPr>
        <w:t xml:space="preserve">Une seule face des échantillons d’essai doit être exposée aux intempéries et à la lumière. </w:t>
      </w:r>
    </w:p>
    <w:p w:rsidR="002F3A71" w:rsidRPr="006B41B3" w:rsidRDefault="002F3A71" w:rsidP="002F3A71">
      <w:pPr>
        <w:pStyle w:val="SingleTxtG"/>
        <w:ind w:left="2268" w:hanging="1134"/>
        <w:rPr>
          <w:bCs/>
          <w:lang w:val="fr-FR"/>
        </w:rPr>
      </w:pPr>
      <w:r w:rsidRPr="006B41B3">
        <w:rPr>
          <w:bCs/>
          <w:lang w:val="fr-FR"/>
        </w:rPr>
        <w:t>6.4</w:t>
      </w:r>
      <w:r w:rsidRPr="006B41B3">
        <w:rPr>
          <w:bCs/>
          <w:lang w:val="fr-FR"/>
        </w:rPr>
        <w:tab/>
      </w:r>
      <w:r w:rsidRPr="006B41B3">
        <w:rPr>
          <w:lang w:val="fr-FR"/>
        </w:rPr>
        <w:t xml:space="preserve">L’air dans l’enceinte d’essai ne doit pas être humidifié lorsque les échantillons sont en train de sécher. </w:t>
      </w:r>
    </w:p>
    <w:p w:rsidR="002F3A71" w:rsidRPr="006B41B3" w:rsidRDefault="002F3A71" w:rsidP="002F3A71">
      <w:pPr>
        <w:pStyle w:val="SingleTxtG"/>
        <w:ind w:left="2268"/>
        <w:rPr>
          <w:bCs/>
          <w:lang w:val="fr-FR"/>
        </w:rPr>
      </w:pPr>
      <w:r w:rsidRPr="006B41B3">
        <w:rPr>
          <w:bCs/>
          <w:lang w:val="fr-FR"/>
        </w:rPr>
        <w:tab/>
      </w:r>
      <w:r w:rsidRPr="006B41B3">
        <w:rPr>
          <w:bCs/>
          <w:i/>
          <w:lang w:val="fr-FR"/>
        </w:rPr>
        <w:t>Note</w:t>
      </w:r>
      <w:r w:rsidRPr="006B41B3">
        <w:rPr>
          <w:bCs/>
          <w:lang w:val="fr-FR"/>
        </w:rPr>
        <w:t xml:space="preserve">: </w:t>
      </w:r>
      <w:r w:rsidRPr="006B41B3">
        <w:rPr>
          <w:lang w:val="fr-FR"/>
        </w:rPr>
        <w:t>Les conditions effectives de l’essai de résistance aux intempéries dépendent du dispositif d’essai employé.</w:t>
      </w:r>
    </w:p>
    <w:p w:rsidR="002F3A71" w:rsidRPr="006B41B3" w:rsidRDefault="002F3A71" w:rsidP="002F3A71">
      <w:pPr>
        <w:pStyle w:val="SingleTxtG"/>
        <w:ind w:left="2268" w:hanging="1134"/>
        <w:rPr>
          <w:bCs/>
          <w:lang w:val="fr-FR"/>
        </w:rPr>
      </w:pPr>
      <w:r w:rsidRPr="006B41B3">
        <w:rPr>
          <w:bCs/>
          <w:lang w:val="fr-FR"/>
        </w:rPr>
        <w:t>6.5</w:t>
      </w:r>
      <w:r w:rsidRPr="006B41B3">
        <w:rPr>
          <w:bCs/>
          <w:lang w:val="fr-FR"/>
        </w:rPr>
        <w:tab/>
      </w:r>
      <w:r w:rsidRPr="006B41B3">
        <w:rPr>
          <w:lang w:val="fr-FR"/>
        </w:rPr>
        <w:t>Avant de disposer les échantillons exposés aux fins de l’évaluation, les sécher à l’air à une température ne dépassant pas 60 °C.</w:t>
      </w:r>
    </w:p>
    <w:p w:rsidR="000E5AC3" w:rsidRDefault="002F3A71" w:rsidP="000E5AC3">
      <w:pPr>
        <w:pStyle w:val="SingleTxtG"/>
        <w:ind w:left="2268" w:hanging="1134"/>
        <w:rPr>
          <w:lang w:val="fr-FR"/>
        </w:rPr>
      </w:pPr>
      <w:r w:rsidRPr="006B41B3">
        <w:rPr>
          <w:bCs/>
          <w:lang w:val="fr-FR"/>
        </w:rPr>
        <w:t>6.6</w:t>
      </w:r>
      <w:r w:rsidRPr="006B41B3">
        <w:rPr>
          <w:bCs/>
          <w:lang w:val="fr-FR"/>
        </w:rPr>
        <w:tab/>
      </w:r>
      <w:r w:rsidRPr="006B41B3">
        <w:rPr>
          <w:lang w:val="fr-FR"/>
        </w:rPr>
        <w:t xml:space="preserve">Couper les références de laine bleue exposées de sorte qu’elles mesurent 15 mm x 30 mm au minimum et disposer chacune d’elles sur chaque face d’une partie du matériau original, coupé aux dimensions et à la forme des échantillons. </w:t>
      </w:r>
    </w:p>
    <w:p w:rsidR="006E403E" w:rsidRPr="000E5AC3" w:rsidRDefault="002F3A71" w:rsidP="000E5AC3">
      <w:pPr>
        <w:pStyle w:val="SingleTxtG"/>
        <w:ind w:left="2268" w:hanging="1134"/>
        <w:rPr>
          <w:bCs/>
          <w:lang w:val="fr-FR"/>
        </w:rPr>
      </w:pPr>
      <w:r w:rsidRPr="006B41B3">
        <w:rPr>
          <w:bCs/>
          <w:lang w:val="fr-FR"/>
        </w:rPr>
        <w:t>6.7</w:t>
      </w:r>
      <w:r w:rsidRPr="006B41B3">
        <w:rPr>
          <w:bCs/>
          <w:lang w:val="fr-FR"/>
        </w:rPr>
        <w:tab/>
      </w:r>
      <w:r w:rsidRPr="006B41B3">
        <w:rPr>
          <w:lang w:val="fr-FR"/>
        </w:rPr>
        <w:t>Des échantillons non exposés du matériau original, identiques aux échantillons soumis à l’essai, sont nécessaires comme références aux fins de comparaison lors de l’essai de résistance aux intempéries.</w:t>
      </w:r>
    </w:p>
    <w:p w:rsidR="00AE68A6" w:rsidRDefault="00AE68A6" w:rsidP="00466E68">
      <w:pPr>
        <w:pStyle w:val="SingleTxtG"/>
        <w:ind w:left="2268"/>
        <w:sectPr w:rsidR="00AE68A6" w:rsidSect="004B1660">
          <w:headerReference w:type="even" r:id="rId57"/>
          <w:headerReference w:type="default" r:id="rId58"/>
          <w:footnotePr>
            <w:numRestart w:val="eachSect"/>
          </w:footnotePr>
          <w:endnotePr>
            <w:numFmt w:val="decimal"/>
          </w:endnotePr>
          <w:pgSz w:w="11907" w:h="16840" w:code="9"/>
          <w:pgMar w:top="1701" w:right="1134" w:bottom="2268" w:left="1134" w:header="794" w:footer="1701" w:gutter="0"/>
          <w:cols w:space="720"/>
          <w:docGrid w:linePitch="272"/>
        </w:sectPr>
      </w:pPr>
    </w:p>
    <w:p w:rsidR="00AE68A6" w:rsidRPr="008B062D" w:rsidRDefault="00AE68A6" w:rsidP="00150628">
      <w:pPr>
        <w:pStyle w:val="HChG"/>
        <w:rPr>
          <w:lang w:val="fr-FR"/>
        </w:rPr>
      </w:pPr>
      <w:r w:rsidRPr="008B062D">
        <w:rPr>
          <w:lang w:val="fr-FR"/>
        </w:rPr>
        <w:t>Annexe 9 − Appendice 1</w:t>
      </w:r>
    </w:p>
    <w:p w:rsidR="00AE68A6" w:rsidRPr="008B062D" w:rsidRDefault="00AE68A6" w:rsidP="00150628">
      <w:pPr>
        <w:pStyle w:val="HChG"/>
        <w:rPr>
          <w:lang w:val="fr-FR"/>
        </w:rPr>
      </w:pPr>
      <w:r w:rsidRPr="008B062D">
        <w:rPr>
          <w:lang w:val="fr-FR"/>
        </w:rPr>
        <w:tab/>
      </w:r>
      <w:r w:rsidRPr="008B062D">
        <w:rPr>
          <w:lang w:val="fr-FR"/>
        </w:rPr>
        <w:tab/>
        <w:t xml:space="preserve">Définition de l’échelle de gris </w:t>
      </w:r>
    </w:p>
    <w:p w:rsidR="00AE68A6" w:rsidRPr="00150628" w:rsidRDefault="00AE68A6" w:rsidP="00150628">
      <w:pPr>
        <w:pStyle w:val="SingleTxtG"/>
      </w:pPr>
      <w:r w:rsidRPr="006B41B3">
        <w:rPr>
          <w:lang w:val="fr-FR"/>
        </w:rPr>
        <w:t>On trouvera dans le présent appendice une description de l’échelle de gris, qui permet d’évaluer les changements de couleur des échantillons d’essai lors des essais de stabilité des couleurs, et une présentation de son mode d’emploi. Une définition colorimétrique précise de l’échelle est fournie de façon à permettre des comparaisons avec les nouvelles normes et les normes susceptibles d’avoir été modifiées.</w:t>
      </w:r>
    </w:p>
    <w:p w:rsidR="00AE68A6" w:rsidRPr="006B41B3" w:rsidRDefault="00AE68A6" w:rsidP="00AE68A6">
      <w:pPr>
        <w:pStyle w:val="SingleTxtG"/>
        <w:ind w:left="2268" w:hanging="1134"/>
        <w:rPr>
          <w:bCs/>
          <w:spacing w:val="-2"/>
          <w:lang w:val="fr-FR"/>
        </w:rPr>
      </w:pPr>
      <w:r w:rsidRPr="006B41B3">
        <w:rPr>
          <w:bCs/>
          <w:spacing w:val="-2"/>
          <w:lang w:val="fr-FR"/>
        </w:rPr>
        <w:t>1.</w:t>
      </w:r>
      <w:r w:rsidRPr="006B41B3">
        <w:rPr>
          <w:bCs/>
          <w:spacing w:val="-2"/>
          <w:lang w:val="fr-FR"/>
        </w:rPr>
        <w:tab/>
      </w:r>
      <w:r w:rsidRPr="006B41B3">
        <w:rPr>
          <w:spacing w:val="-2"/>
          <w:lang w:val="fr-FR"/>
        </w:rPr>
        <w:t xml:space="preserve">L’échelle de base à </w:t>
      </w:r>
      <w:r w:rsidR="00142A43">
        <w:rPr>
          <w:spacing w:val="-2"/>
          <w:lang w:val="fr-FR"/>
        </w:rPr>
        <w:t>5</w:t>
      </w:r>
      <w:r w:rsidRPr="006B41B3">
        <w:rPr>
          <w:spacing w:val="-2"/>
          <w:lang w:val="fr-FR"/>
        </w:rPr>
        <w:t xml:space="preserve"> degrés est constituée de cinq paires de pastilles de gris non brillant (échantillons de tissu gris) qui représentent les différences de couleur perçues correspondant aux degrés de stabilité 5, 4, 3, 2 et 1. Des pastilles semblables représentant les différences de couleur perçues correspondant aux demi-degrés de stabilité 4-5, 3-4, 2-3 et 1-2 peuvent y être ajoutées, auquel cas l’échelle compte neuf degrés. Le premier membre de chaque paire est le gris neutre. Le second membre correspondant à l’indice de stabilité 5 lui est identique. Le second membre des paires restantes est de plus en plus clair, si bien que chaque paire représente une différence de couleur perçue (un contraste) plus grande, qui est définie par une valeur colorimétrique. La définition colorimétrique complète est présentée ci-après</w:t>
      </w:r>
      <w:r w:rsidRPr="006B41B3">
        <w:rPr>
          <w:bCs/>
          <w:spacing w:val="-2"/>
          <w:lang w:val="fr-FR"/>
        </w:rPr>
        <w:t>:</w:t>
      </w:r>
    </w:p>
    <w:p w:rsidR="00AE68A6" w:rsidRPr="006B41B3" w:rsidRDefault="00AE68A6" w:rsidP="00AE68A6">
      <w:pPr>
        <w:pStyle w:val="SingleTxtG"/>
        <w:ind w:left="2268" w:hanging="1134"/>
        <w:rPr>
          <w:lang w:val="fr-FR"/>
        </w:rPr>
      </w:pPr>
      <w:r w:rsidRPr="006B41B3">
        <w:rPr>
          <w:bCs/>
          <w:lang w:val="fr-FR"/>
        </w:rPr>
        <w:t>1.1</w:t>
      </w:r>
      <w:r w:rsidRPr="006B41B3">
        <w:rPr>
          <w:bCs/>
          <w:lang w:val="fr-FR"/>
        </w:rPr>
        <w:tab/>
      </w:r>
      <w:r w:rsidRPr="006B41B3">
        <w:rPr>
          <w:lang w:val="fr-FR"/>
        </w:rPr>
        <w:t>Les pastilles doivent être de couleur gris neutre. Elles doivent être soumises à une mesure au spectrophotomètre comprenant la composante spéculaire incluse. Les données colorimétriques doivent être calculées à l’aide du modèle colorimétrique standard de la CIE pour l’illuminant D65;</w:t>
      </w:r>
    </w:p>
    <w:p w:rsidR="00AE68A6" w:rsidRPr="006B41B3" w:rsidRDefault="00AE68A6" w:rsidP="00AE68A6">
      <w:pPr>
        <w:pStyle w:val="SingleTxtG"/>
        <w:ind w:left="2268" w:hanging="1134"/>
        <w:rPr>
          <w:bCs/>
          <w:lang w:val="fr-FR"/>
        </w:rPr>
      </w:pPr>
      <w:r w:rsidRPr="006B41B3">
        <w:rPr>
          <w:bCs/>
          <w:lang w:val="fr-FR"/>
        </w:rPr>
        <w:t>1.2</w:t>
      </w:r>
      <w:r w:rsidRPr="006B41B3">
        <w:rPr>
          <w:bCs/>
          <w:lang w:val="fr-FR"/>
        </w:rPr>
        <w:tab/>
      </w:r>
      <w:r w:rsidRPr="006B41B3">
        <w:rPr>
          <w:lang w:val="fr-FR"/>
        </w:rPr>
        <w:t>La composante trichromatique Y du premier membre de ch</w:t>
      </w:r>
      <w:r w:rsidR="008A077C">
        <w:rPr>
          <w:lang w:val="fr-FR"/>
        </w:rPr>
        <w:t>aque paire doit être égale à 12 </w:t>
      </w:r>
      <w:r w:rsidR="008A077C">
        <w:rPr>
          <w:lang w:val="fr-FR"/>
        </w:rPr>
        <w:sym w:font="Symbol" w:char="F0B1"/>
      </w:r>
      <w:r w:rsidR="008A077C">
        <w:rPr>
          <w:lang w:val="fr-FR"/>
        </w:rPr>
        <w:t> </w:t>
      </w:r>
      <w:r w:rsidRPr="006B41B3">
        <w:rPr>
          <w:lang w:val="fr-FR"/>
        </w:rPr>
        <w:t>1;</w:t>
      </w:r>
    </w:p>
    <w:p w:rsidR="00AE68A6" w:rsidRPr="006B41B3" w:rsidRDefault="00AE68A6" w:rsidP="00AE68A6">
      <w:pPr>
        <w:pStyle w:val="SingleTxtG"/>
        <w:ind w:left="2268" w:hanging="1134"/>
        <w:rPr>
          <w:bCs/>
          <w:lang w:val="fr-FR"/>
        </w:rPr>
      </w:pPr>
      <w:r w:rsidRPr="006B41B3">
        <w:rPr>
          <w:bCs/>
          <w:lang w:val="fr-FR"/>
        </w:rPr>
        <w:t>1.3</w:t>
      </w:r>
      <w:r w:rsidRPr="006B41B3">
        <w:rPr>
          <w:bCs/>
          <w:lang w:val="fr-FR"/>
        </w:rPr>
        <w:tab/>
      </w:r>
      <w:r w:rsidRPr="006B41B3">
        <w:rPr>
          <w:lang w:val="fr-FR"/>
        </w:rPr>
        <w:t>Entre le second membre de chaque paire et le premier membre adjacent, la différence de couleur doit être définie comme suit</w:t>
      </w:r>
      <w:r w:rsidRPr="006B41B3">
        <w:rPr>
          <w:bCs/>
          <w:lang w:val="fr-FR"/>
        </w:rPr>
        <w:t>.</w:t>
      </w:r>
    </w:p>
    <w:p w:rsidR="00AE68A6" w:rsidRPr="006B41B3" w:rsidRDefault="00AE68A6" w:rsidP="00AE68A6">
      <w:pPr>
        <w:pStyle w:val="Heading1"/>
        <w:rPr>
          <w:lang w:val="fr-FR"/>
        </w:rPr>
      </w:pPr>
      <w:r w:rsidRPr="006B41B3">
        <w:rPr>
          <w:lang w:val="fr-FR"/>
        </w:rPr>
        <w:t>Tableau 1</w:t>
      </w:r>
    </w:p>
    <w:p w:rsidR="00AE68A6" w:rsidRPr="006B41B3" w:rsidRDefault="00AE68A6" w:rsidP="00AE68A6">
      <w:pPr>
        <w:pStyle w:val="Heading1"/>
        <w:spacing w:after="120"/>
        <w:rPr>
          <w:b/>
          <w:lang w:val="fr-FR"/>
        </w:rPr>
      </w:pPr>
      <w:r w:rsidRPr="006B41B3">
        <w:rPr>
          <w:b/>
          <w:lang w:val="fr-FR"/>
        </w:rPr>
        <w:t xml:space="preserve">Différence CIELab correspondant à l’indice de stabilité </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31"/>
        <w:gridCol w:w="2370"/>
        <w:gridCol w:w="2370"/>
      </w:tblGrid>
      <w:tr w:rsidR="00AE68A6" w:rsidRPr="00150628" w:rsidTr="00814A25">
        <w:trPr>
          <w:cantSplit/>
          <w:tblHeader/>
        </w:trPr>
        <w:tc>
          <w:tcPr>
            <w:tcW w:w="2631" w:type="dxa"/>
            <w:tcBorders>
              <w:bottom w:val="single" w:sz="12" w:space="0" w:color="auto"/>
            </w:tcBorders>
            <w:shd w:val="clear" w:color="auto" w:fill="auto"/>
            <w:noWrap/>
            <w:tcMar>
              <w:top w:w="13" w:type="dxa"/>
              <w:left w:w="13" w:type="dxa"/>
              <w:bottom w:w="0" w:type="dxa"/>
              <w:right w:w="13" w:type="dxa"/>
            </w:tcMar>
            <w:vAlign w:val="bottom"/>
          </w:tcPr>
          <w:p w:rsidR="00AE68A6" w:rsidRPr="00150628" w:rsidRDefault="00AE68A6" w:rsidP="00150628">
            <w:pPr>
              <w:suppressAutoHyphens w:val="0"/>
              <w:spacing w:before="60" w:after="60" w:line="200" w:lineRule="atLeast"/>
              <w:ind w:left="57" w:right="57"/>
              <w:rPr>
                <w:i/>
                <w:sz w:val="16"/>
                <w:szCs w:val="16"/>
                <w:lang w:val="fr-FR"/>
              </w:rPr>
            </w:pPr>
            <w:r w:rsidRPr="00150628">
              <w:rPr>
                <w:i/>
                <w:sz w:val="16"/>
                <w:szCs w:val="16"/>
                <w:lang w:val="fr-FR"/>
              </w:rPr>
              <w:t xml:space="preserve">Indice de stabilité </w:t>
            </w:r>
          </w:p>
        </w:tc>
        <w:tc>
          <w:tcPr>
            <w:tcW w:w="2370" w:type="dxa"/>
            <w:tcBorders>
              <w:bottom w:val="single" w:sz="12" w:space="0" w:color="auto"/>
            </w:tcBorders>
            <w:shd w:val="clear" w:color="auto" w:fill="auto"/>
            <w:noWrap/>
            <w:tcMar>
              <w:top w:w="13" w:type="dxa"/>
              <w:left w:w="13" w:type="dxa"/>
              <w:bottom w:w="0" w:type="dxa"/>
              <w:right w:w="13" w:type="dxa"/>
            </w:tcMar>
            <w:vAlign w:val="bottom"/>
          </w:tcPr>
          <w:p w:rsidR="00AE68A6" w:rsidRPr="00150628" w:rsidRDefault="00AE68A6" w:rsidP="00150628">
            <w:pPr>
              <w:suppressAutoHyphens w:val="0"/>
              <w:spacing w:before="60" w:after="60" w:line="200" w:lineRule="atLeast"/>
              <w:ind w:left="57" w:right="57"/>
              <w:jc w:val="right"/>
              <w:rPr>
                <w:bCs/>
                <w:i/>
                <w:sz w:val="16"/>
                <w:szCs w:val="16"/>
                <w:lang w:val="fr-FR"/>
              </w:rPr>
            </w:pPr>
            <w:r w:rsidRPr="00150628">
              <w:rPr>
                <w:i/>
                <w:sz w:val="16"/>
                <w:szCs w:val="16"/>
                <w:lang w:val="fr-FR"/>
              </w:rPr>
              <w:t xml:space="preserve">Différence CIELab </w:t>
            </w:r>
          </w:p>
        </w:tc>
        <w:tc>
          <w:tcPr>
            <w:tcW w:w="2370" w:type="dxa"/>
            <w:tcBorders>
              <w:bottom w:val="single" w:sz="12" w:space="0" w:color="auto"/>
            </w:tcBorders>
            <w:shd w:val="clear" w:color="auto" w:fill="auto"/>
            <w:noWrap/>
            <w:tcMar>
              <w:top w:w="13" w:type="dxa"/>
              <w:left w:w="13" w:type="dxa"/>
              <w:bottom w:w="0" w:type="dxa"/>
              <w:right w:w="13" w:type="dxa"/>
            </w:tcMar>
            <w:vAlign w:val="bottom"/>
          </w:tcPr>
          <w:p w:rsidR="00AE68A6" w:rsidRPr="00150628" w:rsidRDefault="00AE68A6" w:rsidP="00150628">
            <w:pPr>
              <w:suppressAutoHyphens w:val="0"/>
              <w:spacing w:before="60" w:after="60" w:line="200" w:lineRule="atLeast"/>
              <w:ind w:left="57" w:right="57"/>
              <w:jc w:val="right"/>
              <w:rPr>
                <w:i/>
                <w:sz w:val="16"/>
                <w:szCs w:val="16"/>
                <w:lang w:val="fr-FR"/>
              </w:rPr>
            </w:pPr>
            <w:r w:rsidRPr="00150628">
              <w:rPr>
                <w:i/>
                <w:sz w:val="16"/>
                <w:szCs w:val="16"/>
                <w:lang w:val="fr-FR"/>
              </w:rPr>
              <w:t>Tolérance</w:t>
            </w:r>
          </w:p>
        </w:tc>
      </w:tr>
      <w:tr w:rsidR="00AE68A6" w:rsidRPr="00150628" w:rsidTr="00814A25">
        <w:trPr>
          <w:cantSplit/>
        </w:trPr>
        <w:tc>
          <w:tcPr>
            <w:tcW w:w="2631" w:type="dxa"/>
            <w:tcBorders>
              <w:top w:val="single" w:sz="12" w:space="0" w:color="auto"/>
            </w:tcBorders>
            <w:shd w:val="clear" w:color="auto" w:fill="auto"/>
            <w:noWrap/>
            <w:tcMar>
              <w:top w:w="13" w:type="dxa"/>
              <w:left w:w="13" w:type="dxa"/>
              <w:bottom w:w="0" w:type="dxa"/>
              <w:right w:w="13" w:type="dxa"/>
            </w:tcMar>
          </w:tcPr>
          <w:p w:rsidR="00AE68A6" w:rsidRPr="00150628" w:rsidRDefault="00AE68A6" w:rsidP="00150628">
            <w:pPr>
              <w:suppressAutoHyphens w:val="0"/>
              <w:spacing w:before="60" w:after="60" w:line="220" w:lineRule="atLeast"/>
              <w:ind w:left="57" w:right="57"/>
              <w:rPr>
                <w:sz w:val="18"/>
                <w:szCs w:val="18"/>
                <w:lang w:val="fr-FR"/>
              </w:rPr>
            </w:pPr>
            <w:r w:rsidRPr="00150628">
              <w:rPr>
                <w:sz w:val="18"/>
                <w:szCs w:val="18"/>
                <w:lang w:val="fr-FR"/>
              </w:rPr>
              <w:t>5</w:t>
            </w:r>
          </w:p>
        </w:tc>
        <w:tc>
          <w:tcPr>
            <w:tcW w:w="2370" w:type="dxa"/>
            <w:tcBorders>
              <w:top w:val="single" w:sz="12" w:space="0" w:color="auto"/>
            </w:tcBorders>
            <w:shd w:val="clear" w:color="auto" w:fill="auto"/>
            <w:noWrap/>
            <w:tcMar>
              <w:top w:w="13" w:type="dxa"/>
              <w:left w:w="13" w:type="dxa"/>
              <w:bottom w:w="0" w:type="dxa"/>
              <w:right w:w="13" w:type="dxa"/>
            </w:tcMar>
            <w:vAlign w:val="bottom"/>
          </w:tcPr>
          <w:p w:rsidR="00AE68A6" w:rsidRPr="00150628" w:rsidRDefault="00AE68A6" w:rsidP="00150628">
            <w:pPr>
              <w:suppressAutoHyphens w:val="0"/>
              <w:spacing w:before="60" w:after="60" w:line="220" w:lineRule="atLeast"/>
              <w:ind w:left="57" w:right="57"/>
              <w:jc w:val="right"/>
              <w:rPr>
                <w:sz w:val="18"/>
                <w:szCs w:val="18"/>
                <w:lang w:val="fr-FR"/>
              </w:rPr>
            </w:pPr>
            <w:r w:rsidRPr="00150628">
              <w:rPr>
                <w:sz w:val="18"/>
                <w:szCs w:val="18"/>
                <w:lang w:val="fr-FR"/>
              </w:rPr>
              <w:t>0</w:t>
            </w:r>
          </w:p>
        </w:tc>
        <w:tc>
          <w:tcPr>
            <w:tcW w:w="2370" w:type="dxa"/>
            <w:tcBorders>
              <w:top w:val="single" w:sz="12" w:space="0" w:color="auto"/>
            </w:tcBorders>
            <w:shd w:val="clear" w:color="auto" w:fill="auto"/>
            <w:noWrap/>
            <w:tcMar>
              <w:top w:w="13" w:type="dxa"/>
              <w:left w:w="13" w:type="dxa"/>
              <w:bottom w:w="0" w:type="dxa"/>
              <w:right w:w="13" w:type="dxa"/>
            </w:tcMar>
            <w:vAlign w:val="bottom"/>
          </w:tcPr>
          <w:p w:rsidR="00AE68A6" w:rsidRPr="00150628" w:rsidRDefault="00AE68A6" w:rsidP="00150628">
            <w:pPr>
              <w:suppressAutoHyphens w:val="0"/>
              <w:spacing w:before="60" w:after="60" w:line="220" w:lineRule="atLeast"/>
              <w:ind w:left="57" w:right="57"/>
              <w:jc w:val="right"/>
              <w:rPr>
                <w:sz w:val="18"/>
                <w:szCs w:val="18"/>
                <w:lang w:val="fr-FR"/>
              </w:rPr>
            </w:pPr>
            <w:r w:rsidRPr="00150628">
              <w:rPr>
                <w:sz w:val="18"/>
                <w:szCs w:val="18"/>
                <w:lang w:val="fr-FR"/>
              </w:rPr>
              <w:t>0,2</w:t>
            </w:r>
          </w:p>
        </w:tc>
      </w:tr>
      <w:tr w:rsidR="00AE68A6" w:rsidRPr="00150628" w:rsidTr="00814A25">
        <w:trPr>
          <w:cantSplit/>
        </w:trPr>
        <w:tc>
          <w:tcPr>
            <w:tcW w:w="2631" w:type="dxa"/>
            <w:shd w:val="clear" w:color="auto" w:fill="auto"/>
            <w:noWrap/>
            <w:tcMar>
              <w:top w:w="13" w:type="dxa"/>
              <w:left w:w="13" w:type="dxa"/>
              <w:bottom w:w="0" w:type="dxa"/>
              <w:right w:w="13" w:type="dxa"/>
            </w:tcMar>
          </w:tcPr>
          <w:p w:rsidR="00AE68A6" w:rsidRPr="00150628" w:rsidRDefault="00AE68A6" w:rsidP="00150628">
            <w:pPr>
              <w:suppressAutoHyphens w:val="0"/>
              <w:spacing w:before="60" w:after="60" w:line="220" w:lineRule="atLeast"/>
              <w:ind w:left="57" w:right="57"/>
              <w:rPr>
                <w:sz w:val="18"/>
                <w:szCs w:val="18"/>
                <w:lang w:val="fr-FR"/>
              </w:rPr>
            </w:pPr>
            <w:r w:rsidRPr="00150628">
              <w:rPr>
                <w:sz w:val="18"/>
                <w:szCs w:val="18"/>
                <w:lang w:val="fr-FR"/>
              </w:rPr>
              <w:t>(4-5)</w:t>
            </w:r>
          </w:p>
        </w:tc>
        <w:tc>
          <w:tcPr>
            <w:tcW w:w="2370" w:type="dxa"/>
            <w:shd w:val="clear" w:color="auto" w:fill="auto"/>
            <w:noWrap/>
            <w:tcMar>
              <w:top w:w="13" w:type="dxa"/>
              <w:left w:w="13" w:type="dxa"/>
              <w:bottom w:w="0" w:type="dxa"/>
              <w:right w:w="13" w:type="dxa"/>
            </w:tcMar>
            <w:vAlign w:val="bottom"/>
          </w:tcPr>
          <w:p w:rsidR="00AE68A6" w:rsidRPr="00150628" w:rsidRDefault="00AE68A6" w:rsidP="00150628">
            <w:pPr>
              <w:suppressAutoHyphens w:val="0"/>
              <w:spacing w:before="60" w:after="60" w:line="220" w:lineRule="atLeast"/>
              <w:ind w:left="57" w:right="57"/>
              <w:jc w:val="right"/>
              <w:rPr>
                <w:sz w:val="18"/>
                <w:szCs w:val="18"/>
                <w:lang w:val="fr-FR"/>
              </w:rPr>
            </w:pPr>
            <w:r w:rsidRPr="00150628">
              <w:rPr>
                <w:sz w:val="18"/>
                <w:szCs w:val="18"/>
                <w:lang w:val="fr-FR"/>
              </w:rPr>
              <w:t>0,8</w:t>
            </w:r>
          </w:p>
        </w:tc>
        <w:tc>
          <w:tcPr>
            <w:tcW w:w="2370" w:type="dxa"/>
            <w:shd w:val="clear" w:color="auto" w:fill="auto"/>
            <w:noWrap/>
            <w:tcMar>
              <w:top w:w="13" w:type="dxa"/>
              <w:left w:w="13" w:type="dxa"/>
              <w:bottom w:w="0" w:type="dxa"/>
              <w:right w:w="13" w:type="dxa"/>
            </w:tcMar>
            <w:vAlign w:val="bottom"/>
          </w:tcPr>
          <w:p w:rsidR="00AE68A6" w:rsidRPr="00150628" w:rsidRDefault="00566C54" w:rsidP="00150628">
            <w:pPr>
              <w:suppressAutoHyphens w:val="0"/>
              <w:spacing w:before="60" w:after="60" w:line="220" w:lineRule="atLeast"/>
              <w:ind w:left="57" w:right="57"/>
              <w:jc w:val="right"/>
              <w:rPr>
                <w:sz w:val="18"/>
                <w:szCs w:val="18"/>
                <w:lang w:val="fr-FR"/>
              </w:rPr>
            </w:pPr>
            <w:r>
              <w:rPr>
                <w:sz w:val="18"/>
                <w:szCs w:val="18"/>
                <w:lang w:val="fr-FR"/>
              </w:rPr>
              <w:sym w:font="Symbol" w:char="F0B1"/>
            </w:r>
            <w:r w:rsidR="00AE68A6" w:rsidRPr="00150628">
              <w:rPr>
                <w:sz w:val="18"/>
                <w:szCs w:val="18"/>
                <w:lang w:val="fr-FR"/>
              </w:rPr>
              <w:t>0,2</w:t>
            </w:r>
          </w:p>
        </w:tc>
      </w:tr>
      <w:tr w:rsidR="00AE68A6" w:rsidRPr="00150628" w:rsidTr="00814A25">
        <w:trPr>
          <w:cantSplit/>
        </w:trPr>
        <w:tc>
          <w:tcPr>
            <w:tcW w:w="2631" w:type="dxa"/>
            <w:shd w:val="clear" w:color="auto" w:fill="auto"/>
            <w:noWrap/>
            <w:tcMar>
              <w:top w:w="13" w:type="dxa"/>
              <w:left w:w="13" w:type="dxa"/>
              <w:bottom w:w="0" w:type="dxa"/>
              <w:right w:w="13" w:type="dxa"/>
            </w:tcMar>
          </w:tcPr>
          <w:p w:rsidR="00AE68A6" w:rsidRPr="00150628" w:rsidRDefault="00AE68A6" w:rsidP="00150628">
            <w:pPr>
              <w:suppressAutoHyphens w:val="0"/>
              <w:spacing w:before="60" w:after="60" w:line="220" w:lineRule="atLeast"/>
              <w:ind w:left="57" w:right="57"/>
              <w:rPr>
                <w:sz w:val="18"/>
                <w:szCs w:val="18"/>
                <w:lang w:val="fr-FR"/>
              </w:rPr>
            </w:pPr>
            <w:r w:rsidRPr="00150628">
              <w:rPr>
                <w:sz w:val="18"/>
                <w:szCs w:val="18"/>
                <w:lang w:val="fr-FR"/>
              </w:rPr>
              <w:t>4</w:t>
            </w:r>
          </w:p>
        </w:tc>
        <w:tc>
          <w:tcPr>
            <w:tcW w:w="2370" w:type="dxa"/>
            <w:shd w:val="clear" w:color="auto" w:fill="auto"/>
            <w:noWrap/>
            <w:tcMar>
              <w:top w:w="13" w:type="dxa"/>
              <w:left w:w="13" w:type="dxa"/>
              <w:bottom w:w="0" w:type="dxa"/>
              <w:right w:w="13" w:type="dxa"/>
            </w:tcMar>
            <w:vAlign w:val="bottom"/>
          </w:tcPr>
          <w:p w:rsidR="00AE68A6" w:rsidRPr="00150628" w:rsidRDefault="00AE68A6" w:rsidP="00150628">
            <w:pPr>
              <w:suppressAutoHyphens w:val="0"/>
              <w:spacing w:before="60" w:after="60" w:line="220" w:lineRule="atLeast"/>
              <w:ind w:left="57" w:right="57"/>
              <w:jc w:val="right"/>
              <w:rPr>
                <w:sz w:val="18"/>
                <w:szCs w:val="18"/>
                <w:lang w:val="fr-FR"/>
              </w:rPr>
            </w:pPr>
            <w:r w:rsidRPr="00150628">
              <w:rPr>
                <w:sz w:val="18"/>
                <w:szCs w:val="18"/>
                <w:lang w:val="fr-FR"/>
              </w:rPr>
              <w:t>1,7</w:t>
            </w:r>
          </w:p>
        </w:tc>
        <w:tc>
          <w:tcPr>
            <w:tcW w:w="2370" w:type="dxa"/>
            <w:shd w:val="clear" w:color="auto" w:fill="auto"/>
            <w:noWrap/>
            <w:tcMar>
              <w:top w:w="13" w:type="dxa"/>
              <w:left w:w="13" w:type="dxa"/>
              <w:bottom w:w="0" w:type="dxa"/>
              <w:right w:w="13" w:type="dxa"/>
            </w:tcMar>
            <w:vAlign w:val="bottom"/>
          </w:tcPr>
          <w:p w:rsidR="00AE68A6" w:rsidRPr="00150628" w:rsidRDefault="00566C54" w:rsidP="00150628">
            <w:pPr>
              <w:suppressAutoHyphens w:val="0"/>
              <w:spacing w:before="60" w:after="60" w:line="220" w:lineRule="atLeast"/>
              <w:ind w:left="57" w:right="57"/>
              <w:jc w:val="right"/>
              <w:rPr>
                <w:sz w:val="18"/>
                <w:szCs w:val="18"/>
                <w:lang w:val="fr-FR"/>
              </w:rPr>
            </w:pPr>
            <w:r>
              <w:rPr>
                <w:sz w:val="18"/>
                <w:szCs w:val="18"/>
                <w:lang w:val="fr-FR"/>
              </w:rPr>
              <w:sym w:font="Symbol" w:char="F0B1"/>
            </w:r>
            <w:r w:rsidR="00AE68A6" w:rsidRPr="00150628">
              <w:rPr>
                <w:sz w:val="18"/>
                <w:szCs w:val="18"/>
                <w:lang w:val="fr-FR"/>
              </w:rPr>
              <w:t>0,3</w:t>
            </w:r>
          </w:p>
        </w:tc>
      </w:tr>
      <w:tr w:rsidR="00AE68A6" w:rsidRPr="00150628" w:rsidTr="00814A25">
        <w:trPr>
          <w:cantSplit/>
        </w:trPr>
        <w:tc>
          <w:tcPr>
            <w:tcW w:w="2631" w:type="dxa"/>
            <w:shd w:val="clear" w:color="auto" w:fill="auto"/>
            <w:noWrap/>
            <w:tcMar>
              <w:top w:w="13" w:type="dxa"/>
              <w:left w:w="13" w:type="dxa"/>
              <w:bottom w:w="0" w:type="dxa"/>
              <w:right w:w="13" w:type="dxa"/>
            </w:tcMar>
          </w:tcPr>
          <w:p w:rsidR="00AE68A6" w:rsidRPr="00150628" w:rsidRDefault="00AE68A6" w:rsidP="00150628">
            <w:pPr>
              <w:suppressAutoHyphens w:val="0"/>
              <w:spacing w:before="60" w:after="60" w:line="220" w:lineRule="atLeast"/>
              <w:ind w:left="57" w:right="57"/>
              <w:rPr>
                <w:sz w:val="18"/>
                <w:szCs w:val="18"/>
                <w:lang w:val="fr-FR"/>
              </w:rPr>
            </w:pPr>
            <w:r w:rsidRPr="00150628">
              <w:rPr>
                <w:sz w:val="18"/>
                <w:szCs w:val="18"/>
                <w:lang w:val="fr-FR"/>
              </w:rPr>
              <w:t>(3-4)</w:t>
            </w:r>
          </w:p>
        </w:tc>
        <w:tc>
          <w:tcPr>
            <w:tcW w:w="2370" w:type="dxa"/>
            <w:shd w:val="clear" w:color="auto" w:fill="auto"/>
            <w:noWrap/>
            <w:tcMar>
              <w:top w:w="13" w:type="dxa"/>
              <w:left w:w="13" w:type="dxa"/>
              <w:bottom w:w="0" w:type="dxa"/>
              <w:right w:w="13" w:type="dxa"/>
            </w:tcMar>
            <w:vAlign w:val="bottom"/>
          </w:tcPr>
          <w:p w:rsidR="00AE68A6" w:rsidRPr="00150628" w:rsidRDefault="00AE68A6" w:rsidP="00150628">
            <w:pPr>
              <w:suppressAutoHyphens w:val="0"/>
              <w:spacing w:before="60" w:after="60" w:line="220" w:lineRule="atLeast"/>
              <w:ind w:left="57" w:right="57"/>
              <w:jc w:val="right"/>
              <w:rPr>
                <w:sz w:val="18"/>
                <w:szCs w:val="18"/>
                <w:lang w:val="fr-FR"/>
              </w:rPr>
            </w:pPr>
            <w:r w:rsidRPr="00150628">
              <w:rPr>
                <w:sz w:val="18"/>
                <w:szCs w:val="18"/>
                <w:lang w:val="fr-FR"/>
              </w:rPr>
              <w:t>2,5</w:t>
            </w:r>
          </w:p>
        </w:tc>
        <w:tc>
          <w:tcPr>
            <w:tcW w:w="2370" w:type="dxa"/>
            <w:shd w:val="clear" w:color="auto" w:fill="auto"/>
            <w:noWrap/>
            <w:tcMar>
              <w:top w:w="13" w:type="dxa"/>
              <w:left w:w="13" w:type="dxa"/>
              <w:bottom w:w="0" w:type="dxa"/>
              <w:right w:w="13" w:type="dxa"/>
            </w:tcMar>
            <w:vAlign w:val="bottom"/>
          </w:tcPr>
          <w:p w:rsidR="00AE68A6" w:rsidRPr="00150628" w:rsidRDefault="00566C54" w:rsidP="00150628">
            <w:pPr>
              <w:suppressAutoHyphens w:val="0"/>
              <w:spacing w:before="60" w:after="60" w:line="220" w:lineRule="atLeast"/>
              <w:ind w:left="57" w:right="57"/>
              <w:jc w:val="right"/>
              <w:rPr>
                <w:sz w:val="18"/>
                <w:szCs w:val="18"/>
                <w:lang w:val="fr-FR"/>
              </w:rPr>
            </w:pPr>
            <w:r>
              <w:rPr>
                <w:sz w:val="18"/>
                <w:szCs w:val="18"/>
                <w:lang w:val="fr-FR"/>
              </w:rPr>
              <w:sym w:font="Symbol" w:char="F0B1"/>
            </w:r>
            <w:r w:rsidR="00AE68A6" w:rsidRPr="00150628">
              <w:rPr>
                <w:sz w:val="18"/>
                <w:szCs w:val="18"/>
                <w:lang w:val="fr-FR"/>
              </w:rPr>
              <w:t>0,35</w:t>
            </w:r>
          </w:p>
        </w:tc>
      </w:tr>
      <w:tr w:rsidR="00AE68A6" w:rsidRPr="00150628" w:rsidTr="00814A25">
        <w:trPr>
          <w:cantSplit/>
        </w:trPr>
        <w:tc>
          <w:tcPr>
            <w:tcW w:w="2631" w:type="dxa"/>
            <w:shd w:val="clear" w:color="auto" w:fill="auto"/>
            <w:noWrap/>
            <w:tcMar>
              <w:top w:w="13" w:type="dxa"/>
              <w:left w:w="13" w:type="dxa"/>
              <w:bottom w:w="0" w:type="dxa"/>
              <w:right w:w="13" w:type="dxa"/>
            </w:tcMar>
          </w:tcPr>
          <w:p w:rsidR="00AE68A6" w:rsidRPr="00150628" w:rsidRDefault="00AE68A6" w:rsidP="00150628">
            <w:pPr>
              <w:suppressAutoHyphens w:val="0"/>
              <w:spacing w:before="60" w:after="60" w:line="220" w:lineRule="atLeast"/>
              <w:ind w:left="57" w:right="57"/>
              <w:rPr>
                <w:sz w:val="18"/>
                <w:szCs w:val="18"/>
                <w:lang w:val="fr-FR"/>
              </w:rPr>
            </w:pPr>
            <w:r w:rsidRPr="00150628">
              <w:rPr>
                <w:sz w:val="18"/>
                <w:szCs w:val="18"/>
                <w:lang w:val="fr-FR"/>
              </w:rPr>
              <w:t>3</w:t>
            </w:r>
          </w:p>
        </w:tc>
        <w:tc>
          <w:tcPr>
            <w:tcW w:w="2370" w:type="dxa"/>
            <w:shd w:val="clear" w:color="auto" w:fill="auto"/>
            <w:noWrap/>
            <w:tcMar>
              <w:top w:w="13" w:type="dxa"/>
              <w:left w:w="13" w:type="dxa"/>
              <w:bottom w:w="0" w:type="dxa"/>
              <w:right w:w="13" w:type="dxa"/>
            </w:tcMar>
            <w:vAlign w:val="bottom"/>
          </w:tcPr>
          <w:p w:rsidR="00AE68A6" w:rsidRPr="00150628" w:rsidRDefault="00AE68A6" w:rsidP="00150628">
            <w:pPr>
              <w:suppressAutoHyphens w:val="0"/>
              <w:spacing w:before="60" w:after="60" w:line="220" w:lineRule="atLeast"/>
              <w:ind w:left="57" w:right="57"/>
              <w:jc w:val="right"/>
              <w:rPr>
                <w:sz w:val="18"/>
                <w:szCs w:val="18"/>
                <w:lang w:val="fr-FR"/>
              </w:rPr>
            </w:pPr>
            <w:r w:rsidRPr="00150628">
              <w:rPr>
                <w:sz w:val="18"/>
                <w:szCs w:val="18"/>
                <w:lang w:val="fr-FR"/>
              </w:rPr>
              <w:t>3,4</w:t>
            </w:r>
          </w:p>
        </w:tc>
        <w:tc>
          <w:tcPr>
            <w:tcW w:w="2370" w:type="dxa"/>
            <w:shd w:val="clear" w:color="auto" w:fill="auto"/>
            <w:noWrap/>
            <w:tcMar>
              <w:top w:w="13" w:type="dxa"/>
              <w:left w:w="13" w:type="dxa"/>
              <w:bottom w:w="0" w:type="dxa"/>
              <w:right w:w="13" w:type="dxa"/>
            </w:tcMar>
            <w:vAlign w:val="bottom"/>
          </w:tcPr>
          <w:p w:rsidR="00AE68A6" w:rsidRPr="00150628" w:rsidRDefault="00566C54" w:rsidP="00150628">
            <w:pPr>
              <w:suppressAutoHyphens w:val="0"/>
              <w:spacing w:before="60" w:after="60" w:line="220" w:lineRule="atLeast"/>
              <w:ind w:left="57" w:right="57"/>
              <w:jc w:val="right"/>
              <w:rPr>
                <w:sz w:val="18"/>
                <w:szCs w:val="18"/>
                <w:lang w:val="fr-FR"/>
              </w:rPr>
            </w:pPr>
            <w:r>
              <w:rPr>
                <w:sz w:val="18"/>
                <w:szCs w:val="18"/>
                <w:lang w:val="fr-FR"/>
              </w:rPr>
              <w:sym w:font="Symbol" w:char="F0B1"/>
            </w:r>
            <w:r w:rsidR="00AE68A6" w:rsidRPr="00150628">
              <w:rPr>
                <w:sz w:val="18"/>
                <w:szCs w:val="18"/>
                <w:lang w:val="fr-FR"/>
              </w:rPr>
              <w:t>0,4</w:t>
            </w:r>
          </w:p>
        </w:tc>
      </w:tr>
      <w:tr w:rsidR="00AE68A6" w:rsidRPr="00150628" w:rsidTr="00814A25">
        <w:trPr>
          <w:cantSplit/>
        </w:trPr>
        <w:tc>
          <w:tcPr>
            <w:tcW w:w="2631" w:type="dxa"/>
            <w:shd w:val="clear" w:color="auto" w:fill="auto"/>
            <w:noWrap/>
            <w:tcMar>
              <w:top w:w="13" w:type="dxa"/>
              <w:left w:w="13" w:type="dxa"/>
              <w:bottom w:w="0" w:type="dxa"/>
              <w:right w:w="13" w:type="dxa"/>
            </w:tcMar>
          </w:tcPr>
          <w:p w:rsidR="00AE68A6" w:rsidRPr="00150628" w:rsidRDefault="00AE68A6" w:rsidP="00150628">
            <w:pPr>
              <w:suppressAutoHyphens w:val="0"/>
              <w:spacing w:before="60" w:after="60" w:line="220" w:lineRule="atLeast"/>
              <w:ind w:left="57" w:right="57"/>
              <w:rPr>
                <w:sz w:val="18"/>
                <w:szCs w:val="18"/>
                <w:lang w:val="fr-FR"/>
              </w:rPr>
            </w:pPr>
            <w:r w:rsidRPr="00150628">
              <w:rPr>
                <w:sz w:val="18"/>
                <w:szCs w:val="18"/>
                <w:lang w:val="fr-FR"/>
              </w:rPr>
              <w:t>(2-3)</w:t>
            </w:r>
          </w:p>
        </w:tc>
        <w:tc>
          <w:tcPr>
            <w:tcW w:w="2370" w:type="dxa"/>
            <w:shd w:val="clear" w:color="auto" w:fill="auto"/>
            <w:noWrap/>
            <w:tcMar>
              <w:top w:w="13" w:type="dxa"/>
              <w:left w:w="13" w:type="dxa"/>
              <w:bottom w:w="0" w:type="dxa"/>
              <w:right w:w="13" w:type="dxa"/>
            </w:tcMar>
            <w:vAlign w:val="bottom"/>
          </w:tcPr>
          <w:p w:rsidR="00AE68A6" w:rsidRPr="00150628" w:rsidRDefault="00AE68A6" w:rsidP="00150628">
            <w:pPr>
              <w:suppressAutoHyphens w:val="0"/>
              <w:spacing w:before="60" w:after="60" w:line="220" w:lineRule="atLeast"/>
              <w:ind w:left="57" w:right="57"/>
              <w:jc w:val="right"/>
              <w:rPr>
                <w:sz w:val="18"/>
                <w:szCs w:val="18"/>
                <w:lang w:val="fr-FR"/>
              </w:rPr>
            </w:pPr>
            <w:r w:rsidRPr="00150628">
              <w:rPr>
                <w:sz w:val="18"/>
                <w:szCs w:val="18"/>
                <w:lang w:val="fr-FR"/>
              </w:rPr>
              <w:t>4,8</w:t>
            </w:r>
          </w:p>
        </w:tc>
        <w:tc>
          <w:tcPr>
            <w:tcW w:w="2370" w:type="dxa"/>
            <w:shd w:val="clear" w:color="auto" w:fill="auto"/>
            <w:noWrap/>
            <w:tcMar>
              <w:top w:w="13" w:type="dxa"/>
              <w:left w:w="13" w:type="dxa"/>
              <w:bottom w:w="0" w:type="dxa"/>
              <w:right w:w="13" w:type="dxa"/>
            </w:tcMar>
            <w:vAlign w:val="bottom"/>
          </w:tcPr>
          <w:p w:rsidR="00AE68A6" w:rsidRPr="00150628" w:rsidRDefault="00566C54" w:rsidP="00150628">
            <w:pPr>
              <w:suppressAutoHyphens w:val="0"/>
              <w:spacing w:before="60" w:after="60" w:line="220" w:lineRule="atLeast"/>
              <w:ind w:left="57" w:right="57"/>
              <w:jc w:val="right"/>
              <w:rPr>
                <w:sz w:val="18"/>
                <w:szCs w:val="18"/>
                <w:lang w:val="fr-FR"/>
              </w:rPr>
            </w:pPr>
            <w:r>
              <w:rPr>
                <w:sz w:val="18"/>
                <w:szCs w:val="18"/>
                <w:lang w:val="fr-FR"/>
              </w:rPr>
              <w:sym w:font="Symbol" w:char="F0B1"/>
            </w:r>
            <w:r w:rsidR="00AE68A6" w:rsidRPr="00150628">
              <w:rPr>
                <w:sz w:val="18"/>
                <w:szCs w:val="18"/>
                <w:lang w:val="fr-FR"/>
              </w:rPr>
              <w:t>0,5</w:t>
            </w:r>
          </w:p>
        </w:tc>
      </w:tr>
      <w:tr w:rsidR="00AE68A6" w:rsidRPr="00150628" w:rsidTr="00814A25">
        <w:trPr>
          <w:cantSplit/>
        </w:trPr>
        <w:tc>
          <w:tcPr>
            <w:tcW w:w="2631" w:type="dxa"/>
            <w:shd w:val="clear" w:color="auto" w:fill="auto"/>
            <w:noWrap/>
            <w:tcMar>
              <w:top w:w="13" w:type="dxa"/>
              <w:left w:w="13" w:type="dxa"/>
              <w:bottom w:w="0" w:type="dxa"/>
              <w:right w:w="13" w:type="dxa"/>
            </w:tcMar>
          </w:tcPr>
          <w:p w:rsidR="00AE68A6" w:rsidRPr="00150628" w:rsidRDefault="00AE68A6" w:rsidP="00150628">
            <w:pPr>
              <w:suppressAutoHyphens w:val="0"/>
              <w:spacing w:before="60" w:after="60" w:line="220" w:lineRule="atLeast"/>
              <w:ind w:left="57" w:right="57"/>
              <w:rPr>
                <w:sz w:val="18"/>
                <w:szCs w:val="18"/>
                <w:lang w:val="fr-FR"/>
              </w:rPr>
            </w:pPr>
            <w:r w:rsidRPr="00150628">
              <w:rPr>
                <w:sz w:val="18"/>
                <w:szCs w:val="18"/>
                <w:lang w:val="fr-FR"/>
              </w:rPr>
              <w:t>2</w:t>
            </w:r>
          </w:p>
        </w:tc>
        <w:tc>
          <w:tcPr>
            <w:tcW w:w="2370" w:type="dxa"/>
            <w:shd w:val="clear" w:color="auto" w:fill="auto"/>
            <w:noWrap/>
            <w:tcMar>
              <w:top w:w="13" w:type="dxa"/>
              <w:left w:w="13" w:type="dxa"/>
              <w:bottom w:w="0" w:type="dxa"/>
              <w:right w:w="13" w:type="dxa"/>
            </w:tcMar>
            <w:vAlign w:val="bottom"/>
          </w:tcPr>
          <w:p w:rsidR="00AE68A6" w:rsidRPr="00150628" w:rsidRDefault="00AE68A6" w:rsidP="00150628">
            <w:pPr>
              <w:suppressAutoHyphens w:val="0"/>
              <w:spacing w:before="60" w:after="60" w:line="220" w:lineRule="atLeast"/>
              <w:ind w:left="57" w:right="57"/>
              <w:jc w:val="right"/>
              <w:rPr>
                <w:sz w:val="18"/>
                <w:szCs w:val="18"/>
                <w:lang w:val="fr-FR"/>
              </w:rPr>
            </w:pPr>
            <w:r w:rsidRPr="00150628">
              <w:rPr>
                <w:sz w:val="18"/>
                <w:szCs w:val="18"/>
                <w:lang w:val="fr-FR"/>
              </w:rPr>
              <w:t>6,8</w:t>
            </w:r>
          </w:p>
        </w:tc>
        <w:tc>
          <w:tcPr>
            <w:tcW w:w="2370" w:type="dxa"/>
            <w:shd w:val="clear" w:color="auto" w:fill="auto"/>
            <w:noWrap/>
            <w:tcMar>
              <w:top w:w="13" w:type="dxa"/>
              <w:left w:w="13" w:type="dxa"/>
              <w:bottom w:w="0" w:type="dxa"/>
              <w:right w:w="13" w:type="dxa"/>
            </w:tcMar>
            <w:vAlign w:val="bottom"/>
          </w:tcPr>
          <w:p w:rsidR="00AE68A6" w:rsidRPr="00150628" w:rsidRDefault="00566C54" w:rsidP="00150628">
            <w:pPr>
              <w:suppressAutoHyphens w:val="0"/>
              <w:spacing w:before="60" w:after="60" w:line="220" w:lineRule="atLeast"/>
              <w:ind w:left="57" w:right="57"/>
              <w:jc w:val="right"/>
              <w:rPr>
                <w:sz w:val="18"/>
                <w:szCs w:val="18"/>
                <w:lang w:val="fr-FR"/>
              </w:rPr>
            </w:pPr>
            <w:r>
              <w:rPr>
                <w:sz w:val="18"/>
                <w:szCs w:val="18"/>
                <w:lang w:val="fr-FR"/>
              </w:rPr>
              <w:sym w:font="Symbol" w:char="F0B1"/>
            </w:r>
            <w:r w:rsidR="00AE68A6" w:rsidRPr="00150628">
              <w:rPr>
                <w:sz w:val="18"/>
                <w:szCs w:val="18"/>
                <w:lang w:val="fr-FR"/>
              </w:rPr>
              <w:t>0,6</w:t>
            </w:r>
          </w:p>
        </w:tc>
      </w:tr>
      <w:tr w:rsidR="00AE68A6" w:rsidRPr="00150628" w:rsidTr="00814A25">
        <w:trPr>
          <w:cantSplit/>
        </w:trPr>
        <w:tc>
          <w:tcPr>
            <w:tcW w:w="2631" w:type="dxa"/>
            <w:tcBorders>
              <w:bottom w:val="single" w:sz="4" w:space="0" w:color="auto"/>
            </w:tcBorders>
            <w:shd w:val="clear" w:color="auto" w:fill="auto"/>
            <w:noWrap/>
            <w:tcMar>
              <w:top w:w="13" w:type="dxa"/>
              <w:left w:w="13" w:type="dxa"/>
              <w:bottom w:w="0" w:type="dxa"/>
              <w:right w:w="13" w:type="dxa"/>
            </w:tcMar>
          </w:tcPr>
          <w:p w:rsidR="00AE68A6" w:rsidRPr="00150628" w:rsidRDefault="00AE68A6" w:rsidP="00150628">
            <w:pPr>
              <w:suppressAutoHyphens w:val="0"/>
              <w:spacing w:before="60" w:after="60" w:line="220" w:lineRule="atLeast"/>
              <w:ind w:left="57" w:right="57"/>
              <w:rPr>
                <w:sz w:val="18"/>
                <w:szCs w:val="18"/>
                <w:lang w:val="fr-FR"/>
              </w:rPr>
            </w:pPr>
            <w:r w:rsidRPr="00150628">
              <w:rPr>
                <w:sz w:val="18"/>
                <w:szCs w:val="18"/>
                <w:lang w:val="fr-FR"/>
              </w:rPr>
              <w:t>(1-2)</w:t>
            </w:r>
          </w:p>
        </w:tc>
        <w:tc>
          <w:tcPr>
            <w:tcW w:w="2370" w:type="dxa"/>
            <w:tcBorders>
              <w:bottom w:val="single" w:sz="4" w:space="0" w:color="auto"/>
            </w:tcBorders>
            <w:shd w:val="clear" w:color="auto" w:fill="auto"/>
            <w:noWrap/>
            <w:tcMar>
              <w:top w:w="13" w:type="dxa"/>
              <w:left w:w="13" w:type="dxa"/>
              <w:bottom w:w="0" w:type="dxa"/>
              <w:right w:w="13" w:type="dxa"/>
            </w:tcMar>
            <w:vAlign w:val="bottom"/>
          </w:tcPr>
          <w:p w:rsidR="00AE68A6" w:rsidRPr="00150628" w:rsidRDefault="00AE68A6" w:rsidP="00150628">
            <w:pPr>
              <w:suppressAutoHyphens w:val="0"/>
              <w:spacing w:before="60" w:after="60" w:line="220" w:lineRule="atLeast"/>
              <w:ind w:left="57" w:right="57"/>
              <w:jc w:val="right"/>
              <w:rPr>
                <w:sz w:val="18"/>
                <w:szCs w:val="18"/>
                <w:lang w:val="fr-FR"/>
              </w:rPr>
            </w:pPr>
            <w:r w:rsidRPr="00150628">
              <w:rPr>
                <w:sz w:val="18"/>
                <w:szCs w:val="18"/>
                <w:lang w:val="fr-FR"/>
              </w:rPr>
              <w:t>9,6</w:t>
            </w:r>
          </w:p>
        </w:tc>
        <w:tc>
          <w:tcPr>
            <w:tcW w:w="2370" w:type="dxa"/>
            <w:tcBorders>
              <w:bottom w:val="single" w:sz="4" w:space="0" w:color="auto"/>
            </w:tcBorders>
            <w:shd w:val="clear" w:color="auto" w:fill="auto"/>
            <w:noWrap/>
            <w:tcMar>
              <w:top w:w="13" w:type="dxa"/>
              <w:left w:w="13" w:type="dxa"/>
              <w:bottom w:w="0" w:type="dxa"/>
              <w:right w:w="13" w:type="dxa"/>
            </w:tcMar>
            <w:vAlign w:val="bottom"/>
          </w:tcPr>
          <w:p w:rsidR="00AE68A6" w:rsidRPr="00150628" w:rsidRDefault="00566C54" w:rsidP="00150628">
            <w:pPr>
              <w:suppressAutoHyphens w:val="0"/>
              <w:spacing w:before="60" w:after="60" w:line="220" w:lineRule="atLeast"/>
              <w:ind w:left="57" w:right="57"/>
              <w:jc w:val="right"/>
              <w:rPr>
                <w:sz w:val="18"/>
                <w:szCs w:val="18"/>
                <w:lang w:val="fr-FR"/>
              </w:rPr>
            </w:pPr>
            <w:r>
              <w:rPr>
                <w:sz w:val="18"/>
                <w:szCs w:val="18"/>
                <w:lang w:val="fr-FR"/>
              </w:rPr>
              <w:sym w:font="Symbol" w:char="F0B1"/>
            </w:r>
            <w:r w:rsidR="00AE68A6" w:rsidRPr="00150628">
              <w:rPr>
                <w:sz w:val="18"/>
                <w:szCs w:val="18"/>
                <w:lang w:val="fr-FR"/>
              </w:rPr>
              <w:t>0,7</w:t>
            </w:r>
          </w:p>
        </w:tc>
      </w:tr>
      <w:tr w:rsidR="00AE68A6" w:rsidRPr="00150628" w:rsidTr="00814A25">
        <w:trPr>
          <w:cantSplit/>
        </w:trPr>
        <w:tc>
          <w:tcPr>
            <w:tcW w:w="2631" w:type="dxa"/>
            <w:tcBorders>
              <w:bottom w:val="single" w:sz="12" w:space="0" w:color="auto"/>
            </w:tcBorders>
            <w:shd w:val="clear" w:color="auto" w:fill="auto"/>
            <w:noWrap/>
            <w:tcMar>
              <w:top w:w="13" w:type="dxa"/>
              <w:left w:w="13" w:type="dxa"/>
              <w:bottom w:w="0" w:type="dxa"/>
              <w:right w:w="13" w:type="dxa"/>
            </w:tcMar>
          </w:tcPr>
          <w:p w:rsidR="00AE68A6" w:rsidRPr="00150628" w:rsidRDefault="00AE68A6" w:rsidP="00150628">
            <w:pPr>
              <w:suppressAutoHyphens w:val="0"/>
              <w:spacing w:before="60" w:after="60" w:line="220" w:lineRule="atLeast"/>
              <w:ind w:left="57" w:right="57"/>
              <w:rPr>
                <w:sz w:val="18"/>
                <w:szCs w:val="18"/>
                <w:lang w:val="fr-FR"/>
              </w:rPr>
            </w:pPr>
            <w:r w:rsidRPr="00150628">
              <w:rPr>
                <w:sz w:val="18"/>
                <w:szCs w:val="18"/>
                <w:lang w:val="fr-FR"/>
              </w:rPr>
              <w:t>1</w:t>
            </w:r>
          </w:p>
        </w:tc>
        <w:tc>
          <w:tcPr>
            <w:tcW w:w="2370" w:type="dxa"/>
            <w:tcBorders>
              <w:bottom w:val="single" w:sz="12" w:space="0" w:color="auto"/>
            </w:tcBorders>
            <w:shd w:val="clear" w:color="auto" w:fill="auto"/>
            <w:noWrap/>
            <w:tcMar>
              <w:top w:w="13" w:type="dxa"/>
              <w:left w:w="13" w:type="dxa"/>
              <w:bottom w:w="0" w:type="dxa"/>
              <w:right w:w="13" w:type="dxa"/>
            </w:tcMar>
            <w:vAlign w:val="bottom"/>
          </w:tcPr>
          <w:p w:rsidR="00AE68A6" w:rsidRPr="00150628" w:rsidRDefault="00AE68A6" w:rsidP="00150628">
            <w:pPr>
              <w:suppressAutoHyphens w:val="0"/>
              <w:spacing w:before="60" w:after="60" w:line="220" w:lineRule="atLeast"/>
              <w:ind w:left="57" w:right="57"/>
              <w:jc w:val="right"/>
              <w:rPr>
                <w:sz w:val="18"/>
                <w:szCs w:val="18"/>
                <w:lang w:val="fr-FR"/>
              </w:rPr>
            </w:pPr>
            <w:r w:rsidRPr="00150628">
              <w:rPr>
                <w:sz w:val="18"/>
                <w:szCs w:val="18"/>
                <w:lang w:val="fr-FR"/>
              </w:rPr>
              <w:t>13,6</w:t>
            </w:r>
          </w:p>
        </w:tc>
        <w:tc>
          <w:tcPr>
            <w:tcW w:w="2370" w:type="dxa"/>
            <w:tcBorders>
              <w:bottom w:val="single" w:sz="12" w:space="0" w:color="auto"/>
            </w:tcBorders>
            <w:shd w:val="clear" w:color="auto" w:fill="auto"/>
            <w:noWrap/>
            <w:tcMar>
              <w:top w:w="13" w:type="dxa"/>
              <w:left w:w="13" w:type="dxa"/>
              <w:bottom w:w="0" w:type="dxa"/>
              <w:right w:w="13" w:type="dxa"/>
            </w:tcMar>
            <w:vAlign w:val="bottom"/>
          </w:tcPr>
          <w:p w:rsidR="00AE68A6" w:rsidRPr="00150628" w:rsidRDefault="00566C54" w:rsidP="00150628">
            <w:pPr>
              <w:suppressAutoHyphens w:val="0"/>
              <w:spacing w:before="60" w:after="60" w:line="220" w:lineRule="atLeast"/>
              <w:ind w:left="57" w:right="57"/>
              <w:jc w:val="right"/>
              <w:rPr>
                <w:sz w:val="18"/>
                <w:szCs w:val="18"/>
                <w:lang w:val="fr-FR"/>
              </w:rPr>
            </w:pPr>
            <w:r>
              <w:rPr>
                <w:sz w:val="18"/>
                <w:szCs w:val="18"/>
                <w:lang w:val="fr-FR"/>
              </w:rPr>
              <w:sym w:font="Symbol" w:char="F0B1"/>
            </w:r>
            <w:r w:rsidR="00AE68A6" w:rsidRPr="00150628">
              <w:rPr>
                <w:sz w:val="18"/>
                <w:szCs w:val="18"/>
                <w:lang w:val="fr-FR"/>
              </w:rPr>
              <w:t>1,0</w:t>
            </w:r>
          </w:p>
        </w:tc>
      </w:tr>
    </w:tbl>
    <w:p w:rsidR="00814A25" w:rsidRPr="00814A25" w:rsidRDefault="00814A25" w:rsidP="00E5307E">
      <w:pPr>
        <w:pStyle w:val="SingleTxtG"/>
        <w:spacing w:before="240" w:after="0"/>
        <w:ind w:firstLine="170"/>
        <w:jc w:val="left"/>
        <w:rPr>
          <w:bCs/>
          <w:sz w:val="18"/>
          <w:szCs w:val="18"/>
          <w:lang w:val="fr-FR"/>
        </w:rPr>
      </w:pPr>
      <w:r w:rsidRPr="002F5E9D">
        <w:rPr>
          <w:bCs/>
          <w:i/>
          <w:sz w:val="18"/>
          <w:szCs w:val="18"/>
          <w:lang w:val="fr-FR"/>
        </w:rPr>
        <w:t>Note 1</w:t>
      </w:r>
      <w:r w:rsidRPr="00814A25">
        <w:rPr>
          <w:bCs/>
          <w:sz w:val="18"/>
          <w:szCs w:val="18"/>
          <w:lang w:val="fr-FR"/>
        </w:rPr>
        <w:t xml:space="preserve">: Les valeurs indiquées entre parenthèses s’appliquent uniquement à l’échelle à </w:t>
      </w:r>
      <w:r w:rsidR="008A077C">
        <w:rPr>
          <w:bCs/>
          <w:sz w:val="18"/>
          <w:szCs w:val="18"/>
          <w:lang w:val="fr-FR"/>
        </w:rPr>
        <w:t>9</w:t>
      </w:r>
      <w:r w:rsidRPr="00814A25">
        <w:rPr>
          <w:bCs/>
          <w:sz w:val="18"/>
          <w:szCs w:val="18"/>
          <w:lang w:val="fr-FR"/>
        </w:rPr>
        <w:t xml:space="preserve"> degrés.</w:t>
      </w:r>
    </w:p>
    <w:p w:rsidR="00814A25" w:rsidRPr="00814A25" w:rsidRDefault="00814A25" w:rsidP="00814A25">
      <w:pPr>
        <w:pStyle w:val="SingleTxtG"/>
        <w:keepNext/>
        <w:spacing w:after="0"/>
        <w:ind w:firstLine="170"/>
        <w:jc w:val="left"/>
        <w:rPr>
          <w:bCs/>
          <w:sz w:val="18"/>
          <w:szCs w:val="18"/>
          <w:lang w:val="fr-FR"/>
        </w:rPr>
      </w:pPr>
      <w:r w:rsidRPr="002F5E9D">
        <w:rPr>
          <w:bCs/>
          <w:i/>
          <w:sz w:val="18"/>
          <w:szCs w:val="18"/>
          <w:lang w:val="fr-FR"/>
        </w:rPr>
        <w:t>Note 2</w:t>
      </w:r>
      <w:r w:rsidRPr="00814A25">
        <w:rPr>
          <w:bCs/>
          <w:sz w:val="18"/>
          <w:szCs w:val="18"/>
          <w:lang w:val="fr-FR"/>
        </w:rPr>
        <w:t>: Mode d’emploi de l’échelle:</w:t>
      </w:r>
    </w:p>
    <w:p w:rsidR="00814A25" w:rsidRPr="00814A25" w:rsidRDefault="00814A25" w:rsidP="00E5307E">
      <w:pPr>
        <w:pStyle w:val="SingleTxtG"/>
        <w:spacing w:after="0"/>
        <w:ind w:firstLine="170"/>
        <w:jc w:val="left"/>
        <w:rPr>
          <w:bCs/>
          <w:sz w:val="18"/>
          <w:szCs w:val="18"/>
          <w:lang w:val="fr-FR"/>
        </w:rPr>
      </w:pPr>
      <w:r w:rsidRPr="00814A25">
        <w:rPr>
          <w:bCs/>
          <w:sz w:val="18"/>
          <w:szCs w:val="18"/>
          <w:lang w:val="fr-FR"/>
        </w:rPr>
        <w:t>Placer côte à côte dans le même plan et dans la même direction une pièce de la référence bleue d’origine et le spécimen exposé de la référence. Disposer l’échelle de gris à proximité, dans le même plan. L’environnement doit être de couleur gris neutre, approximativement entre le gris du degré 1 et celui du degré 2 sur l’échelle de gris servant à évaluer les changements de couleur (soit Munsell N5 environ). Éclairer les surfaces avec une lumière septentrionale dans l’hémisphère nord, une lumière australe dans l’hémisphère sud ou une source équivalente produisant une illumination de 600 lx ou plus. Le flux lumineux devrait atteindre les surfaces à un angle de 45° environ, et la direction de l’observation devrait être approximativement perpendiculaire au plan des surfaces. Comparer la différence visuelle entre la référence d’origine et la référence exposée aux différences représentées par l’échelle de gris.</w:t>
      </w:r>
    </w:p>
    <w:p w:rsidR="00814A25" w:rsidRPr="00814A25" w:rsidRDefault="00814A25" w:rsidP="00E5307E">
      <w:pPr>
        <w:pStyle w:val="SingleTxtG"/>
        <w:spacing w:after="0"/>
        <w:ind w:firstLine="170"/>
        <w:jc w:val="left"/>
        <w:rPr>
          <w:bCs/>
          <w:sz w:val="18"/>
          <w:szCs w:val="18"/>
          <w:lang w:val="fr-FR"/>
        </w:rPr>
      </w:pPr>
      <w:r w:rsidRPr="00814A25">
        <w:rPr>
          <w:bCs/>
          <w:sz w:val="18"/>
          <w:szCs w:val="18"/>
          <w:lang w:val="fr-FR"/>
        </w:rPr>
        <w:t xml:space="preserve">Si l’on utilise l’échelle à </w:t>
      </w:r>
      <w:r w:rsidR="00EA564E">
        <w:rPr>
          <w:bCs/>
          <w:sz w:val="18"/>
          <w:szCs w:val="18"/>
          <w:lang w:val="fr-FR"/>
        </w:rPr>
        <w:t>5 </w:t>
      </w:r>
      <w:r w:rsidRPr="00814A25">
        <w:rPr>
          <w:bCs/>
          <w:sz w:val="18"/>
          <w:szCs w:val="18"/>
          <w:lang w:val="fr-FR"/>
        </w:rPr>
        <w:t xml:space="preserve">degrés, l’indice de stabilité du spécimen est le degré pour lequel la différence de couleur perçue est de même grandeur que la différence de couleur perçue entre la pièce d’origine et la pièce soumise à l’essai; si cette dernière différence est jugée plus proche du contraste imaginaire entre deux paires adjacentes que de chaque paire, on attribue au spécimen un indice intermédiaire, par exemple 4-5 ou 2-3. L’indice 5 est attribué dans le seul cas où l’on ne perçoit aucune différence entre le spécimen soumis à l’essai et le matériau d’origine. </w:t>
      </w:r>
    </w:p>
    <w:p w:rsidR="00AE68A6" w:rsidRDefault="00814A25" w:rsidP="00E5307E">
      <w:pPr>
        <w:pStyle w:val="SingleTxtG"/>
        <w:spacing w:after="0"/>
        <w:ind w:firstLine="170"/>
        <w:jc w:val="left"/>
        <w:rPr>
          <w:bCs/>
          <w:sz w:val="18"/>
          <w:szCs w:val="18"/>
          <w:lang w:val="fr-FR"/>
        </w:rPr>
      </w:pPr>
      <w:r w:rsidRPr="00814A25">
        <w:rPr>
          <w:bCs/>
          <w:sz w:val="18"/>
          <w:szCs w:val="18"/>
          <w:lang w:val="fr-FR"/>
        </w:rPr>
        <w:t xml:space="preserve">Si l’on utilise l’échelle à </w:t>
      </w:r>
      <w:r w:rsidR="00EA564E">
        <w:rPr>
          <w:bCs/>
          <w:sz w:val="18"/>
          <w:szCs w:val="18"/>
          <w:lang w:val="fr-FR"/>
        </w:rPr>
        <w:t>9 </w:t>
      </w:r>
      <w:r w:rsidRPr="00814A25">
        <w:rPr>
          <w:bCs/>
          <w:sz w:val="18"/>
          <w:szCs w:val="18"/>
          <w:lang w:val="fr-FR"/>
        </w:rPr>
        <w:t>degrés, l’indice de stabilité du spécimen est le degré pour lequel la différence de couleur perçue est la plus proche de la différence de couleur perçue entre la pièce d’origine et la pièce soumise à l’essai. L’indice 5 est attribué dans le seul cas où l’on ne perçoit aucune différence entre le spécimen soumis à l’essai et le matériau d’origine.</w:t>
      </w:r>
    </w:p>
    <w:p w:rsidR="0079278A" w:rsidRDefault="0079278A" w:rsidP="00E5307E">
      <w:pPr>
        <w:pStyle w:val="SingleTxtG"/>
        <w:spacing w:after="0"/>
        <w:ind w:firstLine="170"/>
        <w:jc w:val="left"/>
        <w:rPr>
          <w:bCs/>
          <w:sz w:val="18"/>
          <w:szCs w:val="18"/>
          <w:lang w:val="fr-FR"/>
        </w:rPr>
        <w:sectPr w:rsidR="0079278A" w:rsidSect="004B1660">
          <w:headerReference w:type="even" r:id="rId59"/>
          <w:headerReference w:type="default" r:id="rId60"/>
          <w:footnotePr>
            <w:numRestart w:val="eachSect"/>
          </w:footnotePr>
          <w:endnotePr>
            <w:numFmt w:val="decimal"/>
          </w:endnotePr>
          <w:pgSz w:w="11907" w:h="16840" w:code="9"/>
          <w:pgMar w:top="1701" w:right="1134" w:bottom="2268" w:left="1134" w:header="794" w:footer="1701" w:gutter="0"/>
          <w:cols w:space="720"/>
          <w:docGrid w:linePitch="272"/>
        </w:sectPr>
      </w:pPr>
    </w:p>
    <w:p w:rsidR="005E5AD9" w:rsidRPr="0006365C" w:rsidRDefault="005E5AD9" w:rsidP="0006365C">
      <w:pPr>
        <w:pStyle w:val="HChG"/>
      </w:pPr>
      <w:r w:rsidRPr="008B062D">
        <w:rPr>
          <w:lang w:val="fr-FR"/>
        </w:rPr>
        <w:t>Annexe 10</w:t>
      </w:r>
    </w:p>
    <w:p w:rsidR="005E5AD9" w:rsidRPr="008B062D" w:rsidRDefault="005E5AD9" w:rsidP="0006365C">
      <w:pPr>
        <w:pStyle w:val="HChG"/>
        <w:rPr>
          <w:lang w:val="fr-FR"/>
        </w:rPr>
      </w:pPr>
      <w:r w:rsidRPr="008B062D">
        <w:rPr>
          <w:lang w:val="fr-FR"/>
        </w:rPr>
        <w:tab/>
      </w:r>
      <w:r w:rsidRPr="008B062D">
        <w:rPr>
          <w:lang w:val="fr-FR"/>
        </w:rPr>
        <w:tab/>
        <w:t>Description de la géométrie de la mesure de la couleur</w:t>
      </w:r>
      <w:r w:rsidRPr="008B062D">
        <w:rPr>
          <w:lang w:val="fr-FR"/>
        </w:rPr>
        <w:br/>
        <w:t xml:space="preserve">et du facteur de luminance des matériaux </w:t>
      </w:r>
      <w:r w:rsidRPr="008B062D">
        <w:rPr>
          <w:lang w:val="fr-FR"/>
        </w:rPr>
        <w:br/>
      </w:r>
      <w:r w:rsidRPr="008B062D">
        <w:rPr>
          <w:szCs w:val="24"/>
          <w:lang w:val="fr-FR"/>
        </w:rPr>
        <w:t xml:space="preserve">catadioptriques </w:t>
      </w:r>
      <w:r w:rsidRPr="008B062D">
        <w:rPr>
          <w:lang w:val="fr-FR"/>
        </w:rPr>
        <w:t xml:space="preserve">fluorescents </w:t>
      </w:r>
    </w:p>
    <w:p w:rsidR="005E5AD9" w:rsidRPr="006B41B3" w:rsidRDefault="005E5AD9" w:rsidP="0006365C">
      <w:pPr>
        <w:pStyle w:val="SingleTxtG"/>
        <w:ind w:firstLine="567"/>
        <w:rPr>
          <w:rFonts w:eastAsia="MS Mincho"/>
          <w:lang w:val="fr-FR" w:eastAsia="ja-JP"/>
        </w:rPr>
      </w:pPr>
      <w:r w:rsidRPr="006B41B3">
        <w:rPr>
          <w:rFonts w:eastAsia="MS Mincho"/>
          <w:lang w:val="fr-FR" w:eastAsia="ja-JP"/>
        </w:rPr>
        <w:t xml:space="preserve">Les matériaux microprismatiques se caractérisent par l’apparition de phénomènes de halos ou de scintillements (note 1), susceptibles d’influer sur les résultats de la mesure si des précautions particulières ne sont pas prises. </w:t>
      </w:r>
      <w:r w:rsidRPr="006B41B3">
        <w:rPr>
          <w:lang w:val="fr-FR"/>
        </w:rPr>
        <w:t xml:space="preserve">Une méthode de référence utilisant </w:t>
      </w:r>
      <w:r w:rsidRPr="006B41B3">
        <w:rPr>
          <w:rFonts w:eastAsia="MS Mincho"/>
          <w:lang w:val="fr-FR" w:eastAsia="ja-JP"/>
        </w:rPr>
        <w:t>une</w:t>
      </w:r>
      <w:r w:rsidRPr="006B41B3">
        <w:rPr>
          <w:lang w:val="fr-FR"/>
        </w:rPr>
        <w:t xml:space="preserve"> plus grande ouverture de la géométrie de </w:t>
      </w:r>
      <w:r w:rsidRPr="006B41B3">
        <w:rPr>
          <w:rFonts w:eastAsia="MS Mincho"/>
          <w:lang w:val="fr-FR" w:eastAsia="ja-JP"/>
        </w:rPr>
        <w:t xml:space="preserve">CIE 45°a:0° (ou 0°:45°a) est proposée au paragraphe 12 de l’annexe 5 du présent Règlement. </w:t>
      </w:r>
    </w:p>
    <w:p w:rsidR="005E5AD9" w:rsidRPr="006B41B3" w:rsidRDefault="005E5AD9" w:rsidP="0006365C">
      <w:pPr>
        <w:pStyle w:val="SingleTxtG"/>
        <w:ind w:firstLine="567"/>
        <w:rPr>
          <w:rFonts w:eastAsia="MS Mincho"/>
          <w:lang w:val="fr-FR" w:eastAsia="ja-JP"/>
        </w:rPr>
      </w:pPr>
      <w:r w:rsidRPr="006B41B3">
        <w:rPr>
          <w:rFonts w:eastAsia="MS Mincho"/>
          <w:lang w:val="fr-FR" w:eastAsia="ja-JP"/>
        </w:rPr>
        <w:t xml:space="preserve">Dans l’idéal, les mesures </w:t>
      </w:r>
      <w:r w:rsidRPr="006B41B3">
        <w:rPr>
          <w:lang w:val="fr-FR"/>
        </w:rPr>
        <w:t xml:space="preserve">doivent être faites dans la configuration </w:t>
      </w:r>
      <w:r w:rsidRPr="006B41B3">
        <w:rPr>
          <w:rFonts w:eastAsia="MS Mincho"/>
          <w:lang w:val="fr-FR" w:eastAsia="ja-JP"/>
        </w:rPr>
        <w:t xml:space="preserve">CIE 45°a:0° (ou 0°:45°a), </w:t>
      </w:r>
      <w:r w:rsidRPr="006B41B3">
        <w:rPr>
          <w:lang w:val="fr-FR"/>
        </w:rPr>
        <w:t xml:space="preserve">c’est-à-dire selon la géométrie annulaire à quarante-cinq degrés/normale (ou normale/annulaire à </w:t>
      </w:r>
      <w:r w:rsidR="009C4231">
        <w:rPr>
          <w:lang w:val="fr-FR"/>
        </w:rPr>
        <w:t>45°</w:t>
      </w:r>
      <w:r w:rsidRPr="006B41B3">
        <w:rPr>
          <w:lang w:val="fr-FR"/>
        </w:rPr>
        <w:t xml:space="preserve">), telle qu’elle est définie dans la recommandation CIE 15 </w:t>
      </w:r>
      <w:r w:rsidRPr="006B41B3">
        <w:rPr>
          <w:rFonts w:eastAsia="MS Mincho"/>
          <w:lang w:val="fr-FR" w:eastAsia="ja-JP"/>
        </w:rPr>
        <w:t>(voir le p</w:t>
      </w:r>
      <w:r w:rsidR="009C4231">
        <w:rPr>
          <w:rFonts w:eastAsia="MS Mincho"/>
          <w:lang w:val="fr-FR" w:eastAsia="ja-JP"/>
        </w:rPr>
        <w:t>aragraphe </w:t>
      </w:r>
      <w:r w:rsidRPr="006B41B3">
        <w:rPr>
          <w:rFonts w:eastAsia="MS Mincho"/>
          <w:lang w:val="fr-FR" w:eastAsia="ja-JP"/>
        </w:rPr>
        <w:t xml:space="preserve">12 de l’annexe 5). </w:t>
      </w:r>
      <w:r w:rsidRPr="006B41B3">
        <w:rPr>
          <w:lang w:val="fr-FR"/>
        </w:rPr>
        <w:t>La zone de mesure ne doit pas être inférieure à 4,0 cm</w:t>
      </w:r>
      <w:r w:rsidRPr="006B41B3">
        <w:rPr>
          <w:vertAlign w:val="superscript"/>
          <w:lang w:val="fr-FR"/>
        </w:rPr>
        <w:t>2</w:t>
      </w:r>
      <w:r w:rsidRPr="006B41B3">
        <w:rPr>
          <w:lang w:val="fr-FR"/>
        </w:rPr>
        <w:t>.</w:t>
      </w:r>
    </w:p>
    <w:p w:rsidR="005E5AD9" w:rsidRPr="006B41B3" w:rsidRDefault="005E5AD9" w:rsidP="009C4231">
      <w:pPr>
        <w:pStyle w:val="SingleTxtG"/>
        <w:keepNext/>
        <w:ind w:firstLine="567"/>
        <w:rPr>
          <w:rFonts w:eastAsia="MS Mincho"/>
          <w:lang w:val="fr-FR" w:eastAsia="ja-JP"/>
        </w:rPr>
      </w:pPr>
      <w:r w:rsidRPr="006B41B3">
        <w:rPr>
          <w:rFonts w:eastAsia="MS Mincho"/>
          <w:lang w:val="fr-FR" w:eastAsia="ja-JP"/>
        </w:rPr>
        <w:t xml:space="preserve">Pour cette géométrie, </w:t>
      </w:r>
      <w:r w:rsidRPr="006B41B3">
        <w:rPr>
          <w:lang w:val="fr-FR"/>
        </w:rPr>
        <w:t>la recommandation CIE 15 est que</w:t>
      </w:r>
      <w:r w:rsidRPr="006B41B3">
        <w:rPr>
          <w:rFonts w:eastAsia="MS Mincho"/>
          <w:lang w:val="fr-FR" w:eastAsia="ja-JP"/>
        </w:rPr>
        <w:t>:</w:t>
      </w:r>
    </w:p>
    <w:p w:rsidR="005E5AD9" w:rsidRPr="006B41B3" w:rsidRDefault="005E5AD9" w:rsidP="0006365C">
      <w:pPr>
        <w:pStyle w:val="SingleTxtG"/>
        <w:ind w:firstLine="567"/>
        <w:rPr>
          <w:rFonts w:eastAsia="MS Mincho"/>
          <w:lang w:val="fr-FR" w:eastAsia="ja-JP"/>
        </w:rPr>
      </w:pPr>
      <w:r w:rsidRPr="006B41B3">
        <w:rPr>
          <w:rFonts w:eastAsia="MS Mincho"/>
          <w:lang w:val="fr-FR" w:eastAsia="ja-JP"/>
        </w:rPr>
        <w:t>a)</w:t>
      </w:r>
      <w:r w:rsidRPr="006B41B3">
        <w:rPr>
          <w:rFonts w:eastAsia="MS Mincho"/>
          <w:lang w:val="fr-FR" w:eastAsia="ja-JP"/>
        </w:rPr>
        <w:tab/>
        <w:t xml:space="preserve">L’ouverture de balayage soit irradiée de manière uniforme </w:t>
      </w:r>
      <w:r w:rsidRPr="006B41B3">
        <w:rPr>
          <w:lang w:val="fr-FR"/>
        </w:rPr>
        <w:t xml:space="preserve">de tous les côtés entre deux cônes circulaires dont les axes sont perpendiculaires à l’ouverture et les sommets en son centre, le plus petit des deux cônes ayant un demi-angle de </w:t>
      </w:r>
      <w:r w:rsidRPr="006B41B3">
        <w:rPr>
          <w:rFonts w:eastAsia="MS Mincho"/>
          <w:lang w:val="fr-FR" w:eastAsia="ja-JP"/>
        </w:rPr>
        <w:t>40° et le plus grand de</w:t>
      </w:r>
      <w:r w:rsidR="0006365C">
        <w:rPr>
          <w:rFonts w:eastAsia="MS Mincho"/>
          <w:lang w:val="fr-FR" w:eastAsia="ja-JP"/>
        </w:rPr>
        <w:t> </w:t>
      </w:r>
      <w:r w:rsidRPr="006B41B3">
        <w:rPr>
          <w:rFonts w:eastAsia="MS Mincho"/>
          <w:lang w:val="fr-FR" w:eastAsia="ja-JP"/>
        </w:rPr>
        <w:t>50°;</w:t>
      </w:r>
    </w:p>
    <w:p w:rsidR="005E5AD9" w:rsidRPr="006B41B3" w:rsidRDefault="005E5AD9" w:rsidP="0006365C">
      <w:pPr>
        <w:pStyle w:val="SingleTxtG"/>
        <w:ind w:firstLine="567"/>
        <w:rPr>
          <w:rFonts w:eastAsia="MS Mincho"/>
          <w:lang w:val="fr-FR" w:eastAsia="ja-JP"/>
        </w:rPr>
      </w:pPr>
      <w:r w:rsidRPr="006B41B3">
        <w:rPr>
          <w:rFonts w:eastAsia="MS Mincho"/>
          <w:lang w:val="fr-FR" w:eastAsia="ja-JP"/>
        </w:rPr>
        <w:t>b)</w:t>
      </w:r>
      <w:r w:rsidRPr="006B41B3">
        <w:rPr>
          <w:rFonts w:eastAsia="MS Mincho"/>
          <w:lang w:val="fr-FR" w:eastAsia="ja-JP"/>
        </w:rPr>
        <w:tab/>
        <w:t>Le r</w:t>
      </w:r>
      <w:r w:rsidRPr="006B41B3">
        <w:rPr>
          <w:lang w:val="fr-FR"/>
        </w:rPr>
        <w:t xml:space="preserve">écepteur collecte et évalue de manière uniforme tous les rayonnements à l’intérieur d’un cône dont l’axe est perpendiculaire à l’ouverture de balayage, dont le sommet est en son centre et dont le demi-angle est de </w:t>
      </w:r>
      <w:r w:rsidRPr="006B41B3">
        <w:rPr>
          <w:rFonts w:eastAsia="MS Mincho"/>
          <w:lang w:val="fr-FR" w:eastAsia="ja-JP"/>
        </w:rPr>
        <w:t>5°.</w:t>
      </w:r>
    </w:p>
    <w:p w:rsidR="005E5AD9" w:rsidRPr="006B41B3" w:rsidRDefault="005E5AD9" w:rsidP="0006365C">
      <w:pPr>
        <w:pStyle w:val="SingleTxtG"/>
        <w:ind w:firstLine="567"/>
        <w:rPr>
          <w:rFonts w:eastAsia="MS Mincho"/>
          <w:lang w:val="fr-FR" w:eastAsia="ja-JP"/>
        </w:rPr>
      </w:pPr>
      <w:r w:rsidRPr="006B41B3">
        <w:rPr>
          <w:rFonts w:eastAsia="MS Mincho"/>
          <w:lang w:val="fr-FR" w:eastAsia="ja-JP"/>
        </w:rPr>
        <w:t>On peut se rapprocher de la géométrie annulaire en utilisant un certain nombre de sources lumineuses en anneau ou encore plusieurs faisceaux de fibres éclairés par une source unique et se terminant en anneau pour obtenir la géométrie CIE 45°c:0° (circulaire/normale) (note 2, note 3).</w:t>
      </w:r>
    </w:p>
    <w:p w:rsidR="005E5AD9" w:rsidRPr="006B41B3" w:rsidRDefault="005E5AD9" w:rsidP="0006365C">
      <w:pPr>
        <w:pStyle w:val="SingleTxtG"/>
        <w:ind w:firstLine="567"/>
        <w:rPr>
          <w:rFonts w:eastAsia="MS Mincho"/>
          <w:lang w:val="fr-FR" w:eastAsia="ja-JP"/>
        </w:rPr>
      </w:pPr>
      <w:r w:rsidRPr="006B41B3">
        <w:rPr>
          <w:rFonts w:eastAsia="MS Mincho"/>
          <w:lang w:val="fr-FR" w:eastAsia="ja-JP"/>
        </w:rPr>
        <w:t>Un autre moyen d’approximation consiste à utiliser une source lumineuse unique mais en faisant tourner l’échantillon à une vitesse de rotation lui permettant de faire un certain nombre de tours pendant le temps nécessaire pour procéder à une mesure de telle sorte que toutes les longueurs d’onde aient le même poids (note 2, note 3).</w:t>
      </w:r>
    </w:p>
    <w:p w:rsidR="005E5AD9" w:rsidRPr="006B41B3" w:rsidRDefault="005E5AD9" w:rsidP="0006365C">
      <w:pPr>
        <w:pStyle w:val="SingleTxtG"/>
        <w:ind w:firstLine="567"/>
        <w:rPr>
          <w:rFonts w:eastAsia="MS Mincho"/>
          <w:lang w:val="fr-FR" w:eastAsia="ja-JP"/>
        </w:rPr>
      </w:pPr>
      <w:r w:rsidRPr="006B41B3">
        <w:rPr>
          <w:rFonts w:eastAsia="MS Mincho"/>
          <w:lang w:val="fr-FR" w:eastAsia="ja-JP"/>
        </w:rPr>
        <w:t xml:space="preserve">En outre, les ouvertures de la source lumineuse et du récepteur doivent être de dimensions suffisantes par rapport aux distances pour faire en sorte que les recommandations qui précèdent soient raisonnablement respectées. </w:t>
      </w:r>
    </w:p>
    <w:p w:rsidR="005E5AD9" w:rsidRPr="00375833" w:rsidRDefault="005E5AD9" w:rsidP="00375833">
      <w:pPr>
        <w:pStyle w:val="SingleTxtG"/>
      </w:pPr>
      <w:r w:rsidRPr="006B41B3">
        <w:rPr>
          <w:i/>
          <w:lang w:val="fr-FR" w:eastAsia="ja-JP"/>
        </w:rPr>
        <w:t>Note 1</w:t>
      </w:r>
      <w:r w:rsidR="00375833">
        <w:rPr>
          <w:lang w:val="fr-FR" w:eastAsia="ja-JP"/>
        </w:rPr>
        <w:t>: Les «halos» ou «scintillements»</w:t>
      </w:r>
      <w:r w:rsidRPr="006B41B3">
        <w:rPr>
          <w:lang w:val="fr-FR" w:eastAsia="ja-JP"/>
        </w:rPr>
        <w:t xml:space="preserve"> sont provoqués par les trajectoires caractéristiques de rayons qui pénètrent dans la surface et en ressortent sous des angles différents. Une</w:t>
      </w:r>
      <w:r w:rsidR="00375833">
        <w:rPr>
          <w:lang w:val="fr-FR" w:eastAsia="ja-JP"/>
        </w:rPr>
        <w:t> </w:t>
      </w:r>
      <w:r w:rsidRPr="006B41B3">
        <w:rPr>
          <w:lang w:val="fr-FR" w:eastAsia="ja-JP"/>
        </w:rPr>
        <w:t xml:space="preserve">trajectoire caractéristique dominera en augmentant considérablement le facteur de luminance et en déformant les </w:t>
      </w:r>
      <w:r w:rsidRPr="006B41B3">
        <w:rPr>
          <w:lang w:val="fr-FR"/>
        </w:rPr>
        <w:t>coordonnées de chromatisme si elle est comprise dans les faisceaux étroits d’éclairage et les mesures. Toutefois, la contribution moyenne à la réflexion de la lumière du jour est généralement faible.</w:t>
      </w:r>
    </w:p>
    <w:p w:rsidR="005E5AD9" w:rsidRPr="006B41B3" w:rsidRDefault="005E5AD9" w:rsidP="00375833">
      <w:pPr>
        <w:pStyle w:val="SingleTxtG"/>
        <w:rPr>
          <w:lang w:val="fr-FR" w:eastAsia="ja-JP"/>
        </w:rPr>
      </w:pPr>
      <w:r w:rsidRPr="006B41B3">
        <w:rPr>
          <w:i/>
          <w:lang w:val="fr-FR" w:eastAsia="ja-JP"/>
        </w:rPr>
        <w:t>Note 2</w:t>
      </w:r>
      <w:r w:rsidRPr="006B41B3">
        <w:rPr>
          <w:lang w:val="fr-FR" w:eastAsia="ja-JP"/>
        </w:rPr>
        <w:t>: En pratique, on ne peut que s’approcher de ces recommandations. Le</w:t>
      </w:r>
      <w:r w:rsidR="004800FE">
        <w:rPr>
          <w:lang w:val="fr-FR" w:eastAsia="ja-JP"/>
        </w:rPr>
        <w:t xml:space="preserve"> </w:t>
      </w:r>
      <w:r w:rsidRPr="006B41B3">
        <w:rPr>
          <w:lang w:val="fr-FR" w:eastAsia="ja-JP"/>
        </w:rPr>
        <w:t xml:space="preserve">principal défi consiste à appliquer le principe annulaire et à faire en sorte que l’éclairage et la collecte se fassent de tous les côtés en formant des angles assez grands, ce qui permet de réduire l’influence des </w:t>
      </w:r>
      <w:r w:rsidR="00375833">
        <w:rPr>
          <w:lang w:val="fr-FR" w:eastAsia="ja-JP"/>
        </w:rPr>
        <w:t>«scintillements»</w:t>
      </w:r>
      <w:r w:rsidRPr="006B41B3">
        <w:rPr>
          <w:lang w:val="fr-FR" w:eastAsia="ja-JP"/>
        </w:rPr>
        <w:t xml:space="preserve"> des matériaux microprismatiques susmentionnés ainsi que d’autres variations par rapport à la géométrie précise que présentent certains de ces matériaux. </w:t>
      </w:r>
    </w:p>
    <w:p w:rsidR="005A62A2" w:rsidRPr="00375833" w:rsidRDefault="005E5AD9" w:rsidP="00375833">
      <w:pPr>
        <w:pStyle w:val="SingleTxtG"/>
      </w:pPr>
      <w:r w:rsidRPr="006B41B3">
        <w:rPr>
          <w:i/>
          <w:lang w:val="fr-FR" w:eastAsia="ja-JP"/>
        </w:rPr>
        <w:t>Note 3</w:t>
      </w:r>
      <w:r w:rsidRPr="006B41B3">
        <w:rPr>
          <w:lang w:val="fr-FR" w:eastAsia="ja-JP"/>
        </w:rPr>
        <w:t>: Malgré toutes ces précautions, la difficulté pratique d’établir une géométrie annulaire conforme aux recommandations introduit une certaine incertitude dans les mesures.</w:t>
      </w:r>
    </w:p>
    <w:p w:rsidR="00375833" w:rsidRPr="00375833" w:rsidRDefault="00375833" w:rsidP="00375833">
      <w:pPr>
        <w:pStyle w:val="SingleTxtG"/>
        <w:spacing w:before="240" w:after="0"/>
        <w:jc w:val="center"/>
        <w:rPr>
          <w:u w:val="single"/>
          <w:lang w:val="fr-FR"/>
        </w:rPr>
      </w:pPr>
      <w:r>
        <w:rPr>
          <w:u w:val="single"/>
          <w:lang w:val="fr-FR"/>
        </w:rPr>
        <w:tab/>
      </w:r>
      <w:r>
        <w:rPr>
          <w:u w:val="single"/>
          <w:lang w:val="fr-FR"/>
        </w:rPr>
        <w:tab/>
      </w:r>
      <w:r>
        <w:rPr>
          <w:u w:val="single"/>
          <w:lang w:val="fr-FR"/>
        </w:rPr>
        <w:tab/>
      </w:r>
    </w:p>
    <w:sectPr w:rsidR="00375833" w:rsidRPr="00375833" w:rsidSect="004B1660">
      <w:headerReference w:type="even" r:id="rId61"/>
      <w:headerReference w:type="default" r:id="rId62"/>
      <w:footnotePr>
        <w:numRestart w:val="eachSect"/>
      </w:footnotePr>
      <w:endnotePr>
        <w:numFmt w:val="decimal"/>
      </w:endnotePr>
      <w:pgSz w:w="11907" w:h="16840" w:code="9"/>
      <w:pgMar w:top="1701" w:right="1134" w:bottom="2268" w:left="1134" w:header="794" w:footer="170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4656" w:rsidRDefault="00D84656"/>
  </w:endnote>
  <w:endnote w:type="continuationSeparator" w:id="0">
    <w:p w:rsidR="00D84656" w:rsidRDefault="00D84656">
      <w:pPr>
        <w:pStyle w:val="Footer"/>
      </w:pPr>
    </w:p>
  </w:endnote>
  <w:endnote w:type="continuationNotice" w:id="1">
    <w:p w:rsidR="00D84656" w:rsidRPr="00C451B9" w:rsidRDefault="00D84656"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39T30Lfz">
    <w:altName w:val="Symbol"/>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656" w:rsidRPr="001155FE" w:rsidRDefault="00D84656" w:rsidP="001155FE">
    <w:pPr>
      <w:pStyle w:val="Footer"/>
      <w:tabs>
        <w:tab w:val="right" w:pos="9638"/>
      </w:tabs>
    </w:pPr>
    <w:r w:rsidRPr="001155FE">
      <w:rPr>
        <w:b/>
        <w:sz w:val="18"/>
      </w:rPr>
      <w:fldChar w:fldCharType="begin"/>
    </w:r>
    <w:r w:rsidRPr="001155FE">
      <w:rPr>
        <w:b/>
        <w:sz w:val="18"/>
      </w:rPr>
      <w:instrText xml:space="preserve"> PAGE  \* MERGEFORMAT </w:instrText>
    </w:r>
    <w:r w:rsidRPr="001155FE">
      <w:rPr>
        <w:b/>
        <w:sz w:val="18"/>
      </w:rPr>
      <w:fldChar w:fldCharType="separate"/>
    </w:r>
    <w:r w:rsidR="00B51F03">
      <w:rPr>
        <w:b/>
        <w:noProof/>
        <w:sz w:val="18"/>
      </w:rPr>
      <w:t>4</w:t>
    </w:r>
    <w:r w:rsidRPr="001155FE">
      <w:rPr>
        <w:b/>
        <w:sz w:val="18"/>
      </w:rPr>
      <w:fldChar w:fldCharType="end"/>
    </w:r>
    <w:r>
      <w:rPr>
        <w:b/>
        <w:sz w:val="18"/>
      </w:rPr>
      <w:tab/>
    </w:r>
    <w:r>
      <w:t>GE.14-18725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656" w:rsidRPr="001155FE" w:rsidRDefault="00D84656" w:rsidP="001155FE">
    <w:pPr>
      <w:pStyle w:val="Footer"/>
      <w:tabs>
        <w:tab w:val="right" w:pos="9638"/>
      </w:tabs>
      <w:rPr>
        <w:b/>
        <w:sz w:val="18"/>
      </w:rPr>
    </w:pPr>
    <w:r>
      <w:t>GE.14-18725</w:t>
    </w:r>
    <w:r>
      <w:tab/>
    </w:r>
    <w:r w:rsidRPr="001155FE">
      <w:rPr>
        <w:b/>
        <w:sz w:val="18"/>
      </w:rPr>
      <w:fldChar w:fldCharType="begin"/>
    </w:r>
    <w:r w:rsidRPr="001155FE">
      <w:rPr>
        <w:b/>
        <w:sz w:val="18"/>
      </w:rPr>
      <w:instrText xml:space="preserve"> PAGE  \* MERGEFORMAT </w:instrText>
    </w:r>
    <w:r w:rsidRPr="001155FE">
      <w:rPr>
        <w:b/>
        <w:sz w:val="18"/>
      </w:rPr>
      <w:fldChar w:fldCharType="separate"/>
    </w:r>
    <w:r w:rsidR="00B51F03">
      <w:rPr>
        <w:b/>
        <w:noProof/>
        <w:sz w:val="18"/>
      </w:rPr>
      <w:t>3</w:t>
    </w:r>
    <w:r w:rsidRPr="001155FE">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656" w:rsidRPr="0029791D" w:rsidRDefault="00D84656" w:rsidP="00E97E2C">
    <w:pPr>
      <w:ind w:left="1134" w:right="1134"/>
      <w:jc w:val="center"/>
    </w:pPr>
    <w:r>
      <w:rPr>
        <w:noProof/>
        <w:lang w:val="en-GB" w:eastAsia="en-GB"/>
      </w:rPr>
      <w:drawing>
        <wp:anchor distT="0" distB="0" distL="114300" distR="114300" simplePos="0" relativeHeight="251657216" behindDoc="0" locked="0" layoutInCell="1" allowOverlap="1" wp14:anchorId="7E066BA2" wp14:editId="575C10C6">
          <wp:simplePos x="0" y="0"/>
          <wp:positionH relativeFrom="margin">
            <wp:posOffset>4319905</wp:posOffset>
          </wp:positionH>
          <wp:positionV relativeFrom="margin">
            <wp:posOffset>8279765</wp:posOffset>
          </wp:positionV>
          <wp:extent cx="1104265" cy="233045"/>
          <wp:effectExtent l="0" t="0" r="635" b="0"/>
          <wp:wrapNone/>
          <wp:docPr id="3"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265" cy="233045"/>
                  </a:xfrm>
                  <a:prstGeom prst="rect">
                    <a:avLst/>
                  </a:prstGeom>
                  <a:noFill/>
                </pic:spPr>
              </pic:pic>
            </a:graphicData>
          </a:graphic>
          <wp14:sizeRelH relativeFrom="page">
            <wp14:pctWidth>0</wp14:pctWidth>
          </wp14:sizeRelH>
          <wp14:sizeRelV relativeFrom="page">
            <wp14:pctHeight>0</wp14:pctHeight>
          </wp14:sizeRelV>
        </wp:anchor>
      </w:drawing>
    </w:r>
    <w:r>
      <w:t>_______________</w:t>
    </w:r>
  </w:p>
  <w:p w:rsidR="00D84656" w:rsidRDefault="00D84656" w:rsidP="00E97E2C">
    <w:pPr>
      <w:jc w:val="center"/>
      <w:rPr>
        <w:b/>
        <w:bCs/>
        <w:sz w:val="22"/>
      </w:rPr>
    </w:pPr>
    <w:r>
      <w:rPr>
        <w:noProof/>
        <w:lang w:val="en-GB" w:eastAsia="en-GB"/>
      </w:rPr>
      <w:drawing>
        <wp:inline distT="0" distB="0" distL="0" distR="0" wp14:anchorId="01FC5D91" wp14:editId="499E2ACA">
          <wp:extent cx="914400" cy="76898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l="-7608" r="-7608"/>
                  <a:stretch>
                    <a:fillRect/>
                  </a:stretch>
                </pic:blipFill>
                <pic:spPr bwMode="auto">
                  <a:xfrm>
                    <a:off x="0" y="0"/>
                    <a:ext cx="914400" cy="768985"/>
                  </a:xfrm>
                  <a:prstGeom prst="rect">
                    <a:avLst/>
                  </a:prstGeom>
                  <a:noFill/>
                  <a:ln>
                    <a:noFill/>
                  </a:ln>
                </pic:spPr>
              </pic:pic>
            </a:graphicData>
          </a:graphic>
        </wp:inline>
      </w:drawing>
    </w:r>
  </w:p>
  <w:p w:rsidR="00D84656" w:rsidRPr="0029791D" w:rsidRDefault="00D84656" w:rsidP="00E97E2C">
    <w:pPr>
      <w:jc w:val="center"/>
      <w:rPr>
        <w:sz w:val="24"/>
        <w:szCs w:val="24"/>
      </w:rPr>
    </w:pPr>
    <w:r w:rsidRPr="0029791D">
      <w:rPr>
        <w:b/>
        <w:bCs/>
        <w:sz w:val="24"/>
        <w:szCs w:val="24"/>
      </w:rPr>
      <w:t>Nations Unies</w:t>
    </w:r>
  </w:p>
  <w:p w:rsidR="00D84656" w:rsidRPr="0029791D" w:rsidRDefault="00D84656" w:rsidP="00E97E2C">
    <w:pPr>
      <w:pStyle w:val="FootnoteText"/>
      <w:tabs>
        <w:tab w:val="clear" w:pos="1021"/>
        <w:tab w:val="right" w:pos="2155"/>
      </w:tabs>
      <w:spacing w:after="80" w:line="240" w:lineRule="atLeast"/>
      <w:ind w:left="680" w:right="0" w:firstLine="0"/>
      <w:rPr>
        <w:u w:val="single"/>
      </w:rPr>
    </w:pPr>
    <w:r>
      <w:rPr>
        <w:u w:val="single"/>
      </w:rPr>
      <w:tab/>
    </w:r>
  </w:p>
  <w:p w:rsidR="00D84656" w:rsidRDefault="00D84656" w:rsidP="00E97E2C">
    <w:pPr>
      <w:pStyle w:val="FootnoteText"/>
      <w:spacing w:after="240"/>
    </w:pPr>
    <w:r>
      <w:tab/>
    </w:r>
    <w:r w:rsidRPr="0029791D">
      <w:rPr>
        <w:rStyle w:val="FootnoteReference"/>
        <w:sz w:val="20"/>
        <w:vertAlign w:val="baseline"/>
      </w:rPr>
      <w:t>*</w:t>
    </w:r>
    <w:r>
      <w:rPr>
        <w:sz w:val="20"/>
      </w:rPr>
      <w:tab/>
    </w:r>
    <w:r w:rsidRPr="007817A7">
      <w:t>Ancien titre de l</w:t>
    </w:r>
    <w:r>
      <w:t>’</w:t>
    </w:r>
    <w:r w:rsidRPr="007817A7">
      <w:t>Accor</w:t>
    </w:r>
    <w:r>
      <w:t>d: Accord concernant l’a</w:t>
    </w:r>
    <w:r w:rsidRPr="007817A7">
      <w:t>doption de conditions uniformes d</w:t>
    </w:r>
    <w:r>
      <w:t>’</w:t>
    </w:r>
    <w:r w:rsidRPr="007817A7">
      <w:t>homologation et la</w:t>
    </w:r>
    <w:r>
      <w:t> </w:t>
    </w:r>
    <w:r w:rsidRPr="007817A7">
      <w:t>reconnaissance réciproque de l</w:t>
    </w:r>
    <w:r>
      <w:t>’</w:t>
    </w:r>
    <w:r w:rsidRPr="007817A7">
      <w:t>homologation des équipements et pièces de véhicules à m</w:t>
    </w:r>
    <w:r>
      <w:t xml:space="preserve">oteur, en date, à Genève, du 20 </w:t>
    </w:r>
    <w:r w:rsidRPr="007817A7">
      <w:t>mars 1958.</w:t>
    </w:r>
  </w:p>
  <w:p w:rsidR="00D84656" w:rsidRPr="001155FE" w:rsidRDefault="00D84656" w:rsidP="001155FE">
    <w:pPr>
      <w:pStyle w:val="Footer"/>
      <w:spacing w:before="120"/>
      <w:rPr>
        <w:sz w:val="20"/>
      </w:rPr>
    </w:pPr>
    <w:r>
      <w:rPr>
        <w:sz w:val="20"/>
      </w:rPr>
      <w:t>GE.14-18725  (F)    080415    130415</w:t>
    </w:r>
    <w:r>
      <w:rPr>
        <w:sz w:val="20"/>
      </w:rPr>
      <w:br/>
    </w:r>
    <w:r w:rsidRPr="001155FE">
      <w:rPr>
        <w:rFonts w:ascii="C39T30Lfz" w:hAnsi="C39T30Lfz"/>
        <w:sz w:val="56"/>
      </w:rPr>
      <w:t></w:t>
    </w:r>
    <w:r w:rsidRPr="001155FE">
      <w:rPr>
        <w:rFonts w:ascii="C39T30Lfz" w:hAnsi="C39T30Lfz"/>
        <w:sz w:val="56"/>
      </w:rPr>
      <w:t></w:t>
    </w:r>
    <w:r w:rsidRPr="001155FE">
      <w:rPr>
        <w:rFonts w:ascii="C39T30Lfz" w:hAnsi="C39T30Lfz"/>
        <w:sz w:val="56"/>
      </w:rPr>
      <w:t></w:t>
    </w:r>
    <w:r w:rsidRPr="001155FE">
      <w:rPr>
        <w:rFonts w:ascii="C39T30Lfz" w:hAnsi="C39T30Lfz"/>
        <w:sz w:val="56"/>
      </w:rPr>
      <w:t></w:t>
    </w:r>
    <w:r w:rsidRPr="001155FE">
      <w:rPr>
        <w:rFonts w:ascii="C39T30Lfz" w:hAnsi="C39T30Lfz"/>
        <w:sz w:val="56"/>
      </w:rPr>
      <w:t></w:t>
    </w:r>
    <w:r w:rsidRPr="001155FE">
      <w:rPr>
        <w:rFonts w:ascii="C39T30Lfz" w:hAnsi="C39T30Lfz"/>
        <w:sz w:val="56"/>
      </w:rPr>
      <w:t></w:t>
    </w:r>
    <w:r w:rsidRPr="001155FE">
      <w:rPr>
        <w:rFonts w:ascii="C39T30Lfz" w:hAnsi="C39T30Lfz"/>
        <w:sz w:val="56"/>
      </w:rPr>
      <w:t></w:t>
    </w:r>
    <w:r w:rsidRPr="001155FE">
      <w:rPr>
        <w:rFonts w:ascii="C39T30Lfz" w:hAnsi="C39T30Lfz"/>
        <w:sz w:val="56"/>
      </w:rPr>
      <w:t></w:t>
    </w:r>
    <w:r w:rsidRPr="001155FE">
      <w:rPr>
        <w:rFonts w:ascii="C39T30Lfz" w:hAnsi="C39T30Lfz"/>
        <w:sz w:val="56"/>
      </w:rPr>
      <w:t></w:t>
    </w:r>
    <w:r>
      <w:rPr>
        <w:noProof/>
        <w:sz w:val="20"/>
        <w:lang w:val="en-GB" w:eastAsia="en-GB"/>
      </w:rPr>
      <w:drawing>
        <wp:anchor distT="0" distB="0" distL="114300" distR="114300" simplePos="0" relativeHeight="251658240" behindDoc="0" locked="0" layoutInCell="1" allowOverlap="1" wp14:anchorId="477C7C8A" wp14:editId="0DC28E35">
          <wp:simplePos x="0" y="0"/>
          <wp:positionH relativeFrom="margin">
            <wp:posOffset>5489575</wp:posOffset>
          </wp:positionH>
          <wp:positionV relativeFrom="margin">
            <wp:posOffset>8027670</wp:posOffset>
          </wp:positionV>
          <wp:extent cx="607060" cy="607060"/>
          <wp:effectExtent l="0" t="0" r="2540" b="2540"/>
          <wp:wrapNone/>
          <wp:docPr id="4" name="Image 4" descr="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v"/>
                  <pic:cNvPicPr preferRelativeResize="0">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7060" cy="6070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4656" w:rsidRPr="00D27D5E" w:rsidRDefault="00D84656" w:rsidP="00D27D5E">
      <w:pPr>
        <w:tabs>
          <w:tab w:val="right" w:pos="2155"/>
        </w:tabs>
        <w:spacing w:after="80"/>
        <w:ind w:left="680"/>
        <w:rPr>
          <w:u w:val="single"/>
        </w:rPr>
      </w:pPr>
      <w:r>
        <w:rPr>
          <w:u w:val="single"/>
        </w:rPr>
        <w:tab/>
      </w:r>
    </w:p>
  </w:footnote>
  <w:footnote w:type="continuationSeparator" w:id="0">
    <w:p w:rsidR="00D84656" w:rsidRPr="00D171D4" w:rsidRDefault="00D84656" w:rsidP="00D171D4">
      <w:pPr>
        <w:tabs>
          <w:tab w:val="right" w:pos="2155"/>
        </w:tabs>
        <w:spacing w:after="80"/>
        <w:ind w:left="680"/>
        <w:rPr>
          <w:u w:val="single"/>
        </w:rPr>
      </w:pPr>
      <w:r w:rsidRPr="00D171D4">
        <w:rPr>
          <w:u w:val="single"/>
        </w:rPr>
        <w:tab/>
      </w:r>
    </w:p>
  </w:footnote>
  <w:footnote w:type="continuationNotice" w:id="1">
    <w:p w:rsidR="00D84656" w:rsidRPr="00C451B9" w:rsidRDefault="00D84656" w:rsidP="00C451B9">
      <w:pPr>
        <w:spacing w:line="240" w:lineRule="auto"/>
        <w:rPr>
          <w:sz w:val="2"/>
          <w:szCs w:val="2"/>
        </w:rPr>
      </w:pPr>
    </w:p>
  </w:footnote>
  <w:footnote w:id="2">
    <w:p w:rsidR="00D84656" w:rsidRPr="009D550C" w:rsidRDefault="00D84656" w:rsidP="00083627">
      <w:pPr>
        <w:pStyle w:val="FootnoteText"/>
        <w:rPr>
          <w:szCs w:val="18"/>
        </w:rPr>
      </w:pPr>
      <w:r>
        <w:tab/>
      </w:r>
      <w:r w:rsidRPr="00083627">
        <w:rPr>
          <w:rStyle w:val="FootnoteReference"/>
        </w:rPr>
        <w:footnoteRef/>
      </w:r>
      <w:r>
        <w:tab/>
        <w:t xml:space="preserve">La liste des numéros distinctifs des Parties contractantes à l’Accord de 1958 est reproduite à l’annexe 3 de la Résolution d’ensemble sur la construction des véhicules (R.E.3), </w:t>
      </w:r>
      <w:r w:rsidRPr="006B48DD">
        <w:rPr>
          <w:lang w:eastAsia="en-GB"/>
        </w:rPr>
        <w:t>document EC</w:t>
      </w:r>
      <w:r>
        <w:rPr>
          <w:lang w:eastAsia="en-GB"/>
        </w:rPr>
        <w:t>E/TRANS/ WP.29/78/Rev. 3</w:t>
      </w:r>
      <w:r w:rsidRPr="006B48DD">
        <w:rPr>
          <w:lang w:eastAsia="en-GB"/>
        </w:rPr>
        <w:t xml:space="preserve"> </w:t>
      </w:r>
      <w:r>
        <w:rPr>
          <w:lang w:eastAsia="en-GB"/>
        </w:rPr>
        <w:t xml:space="preserve">− </w:t>
      </w:r>
      <w:hyperlink r:id="rId1" w:history="1">
        <w:r w:rsidRPr="009F713A">
          <w:rPr>
            <w:rStyle w:val="Hyperlink"/>
          </w:rPr>
          <w:t>www.unece.org/trans/main/wp29/wp29wgs/wp29gen/</w:t>
        </w:r>
        <w:r>
          <w:rPr>
            <w:rStyle w:val="Hyperlink"/>
          </w:rPr>
          <w:t xml:space="preserve"> </w:t>
        </w:r>
        <w:r w:rsidRPr="009F713A">
          <w:rPr>
            <w:rStyle w:val="Hyperlink"/>
          </w:rPr>
          <w:t>wp29resolutions.html</w:t>
        </w:r>
      </w:hyperlink>
      <w:r>
        <w:rPr>
          <w:szCs w:val="18"/>
        </w:rPr>
        <w:t>.</w:t>
      </w:r>
    </w:p>
  </w:footnote>
  <w:footnote w:id="3">
    <w:p w:rsidR="00D84656" w:rsidRPr="005F076B" w:rsidRDefault="00D84656" w:rsidP="005F076B">
      <w:pPr>
        <w:pStyle w:val="FootnoteText"/>
      </w:pPr>
      <w:r>
        <w:tab/>
      </w:r>
      <w:r>
        <w:rPr>
          <w:rStyle w:val="FootnoteReference"/>
        </w:rPr>
        <w:footnoteRef/>
      </w:r>
      <w:r>
        <w:tab/>
        <w:t>Numéro distinctif du pays qui a accordé/étendu/refusé/retiré l’homologation (voir les dispositions du Règlement relatives à l’homologation).</w:t>
      </w:r>
    </w:p>
  </w:footnote>
  <w:footnote w:id="4">
    <w:p w:rsidR="00D84656" w:rsidRDefault="00D84656" w:rsidP="001645BA">
      <w:pPr>
        <w:pStyle w:val="FootnoteText"/>
      </w:pPr>
      <w:r>
        <w:tab/>
      </w:r>
      <w:r>
        <w:rPr>
          <w:rStyle w:val="FootnoteReference"/>
        </w:rPr>
        <w:footnoteRef/>
      </w:r>
      <w:r>
        <w:tab/>
      </w:r>
      <w:r w:rsidRPr="005A48EA">
        <w:rPr>
          <w:lang w:val="fr-FR"/>
        </w:rPr>
        <w:t>Biffer les mentions inutiles.</w:t>
      </w:r>
    </w:p>
  </w:footnote>
  <w:footnote w:id="5">
    <w:p w:rsidR="00D84656" w:rsidRPr="003B3154" w:rsidRDefault="00D84656" w:rsidP="00F14F04">
      <w:pPr>
        <w:pStyle w:val="FootnoteText"/>
      </w:pPr>
      <w:r>
        <w:tab/>
      </w:r>
      <w:r w:rsidRPr="00F14F04">
        <w:rPr>
          <w:rStyle w:val="EndnoteReference"/>
        </w:rPr>
        <w:footnoteRef/>
      </w:r>
      <w:r>
        <w:tab/>
      </w:r>
      <w:r w:rsidRPr="003B3154">
        <w:t>FEPA: Federation of Europ</w:t>
      </w:r>
      <w:r w:rsidR="00000477">
        <w:t>ean Producers of Abrasives, 20, a</w:t>
      </w:r>
      <w:r w:rsidRPr="003B3154">
        <w:t>venue Reille, 75014 Paris, France.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656" w:rsidRPr="001155FE" w:rsidRDefault="00D84656">
    <w:pPr>
      <w:pStyle w:val="Header"/>
    </w:pPr>
    <w:r>
      <w:t>E/ECE/324/Rev.1/Add.26/Rev.2</w:t>
    </w:r>
    <w:r>
      <w:br/>
      <w:t>E/ECE/TRANS/505/Rev.1/Add.26/Rev.2</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656" w:rsidRPr="001155FE" w:rsidRDefault="00D84656" w:rsidP="001155FE">
    <w:pPr>
      <w:pStyle w:val="Header"/>
      <w:jc w:val="right"/>
    </w:pPr>
    <w:r>
      <w:t>E/ECE/324/Rev.1/Add.26/Rev.2</w:t>
    </w:r>
    <w:r>
      <w:br/>
      <w:t>E/ECE/TRANS/505/Rev.1/Add.26/Rev.2</w:t>
    </w:r>
    <w:r>
      <w:br/>
      <w:t>Annexe 3</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656" w:rsidRPr="001155FE" w:rsidRDefault="00D84656">
    <w:pPr>
      <w:pStyle w:val="Header"/>
    </w:pPr>
    <w:r>
      <w:t>E/ECE/324/Rev.1/Add.26/Rev.2</w:t>
    </w:r>
    <w:r>
      <w:br/>
      <w:t>E/ECE/TRANS/505/Rev.1/Add.26/Rev.2</w:t>
    </w:r>
    <w:r>
      <w:br/>
      <w:t>Annexe 4</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656" w:rsidRPr="001155FE" w:rsidRDefault="00D84656" w:rsidP="001155FE">
    <w:pPr>
      <w:pStyle w:val="Header"/>
      <w:jc w:val="right"/>
    </w:pPr>
    <w:r>
      <w:t>E/ECE/324/Rev.1/Add.26/Rev.2</w:t>
    </w:r>
    <w:r>
      <w:br/>
      <w:t>E/ECE/TRANS/505/Rev.1/Add.26/Rev.2</w:t>
    </w:r>
    <w:r>
      <w:br/>
      <w:t>Annexe 4</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656" w:rsidRPr="001155FE" w:rsidRDefault="00D84656">
    <w:pPr>
      <w:pStyle w:val="Header"/>
    </w:pPr>
    <w:r>
      <w:t>E/ECE/324/Rev.1/Add.26/Rev.2</w:t>
    </w:r>
    <w:r>
      <w:br/>
      <w:t>E/ECE/TRANS/505/Rev.1/Add.26/Rev.2</w:t>
    </w:r>
    <w:r>
      <w:br/>
      <w:t>Annexe 5</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656" w:rsidRPr="001155FE" w:rsidRDefault="00D84656" w:rsidP="001155FE">
    <w:pPr>
      <w:pStyle w:val="Header"/>
      <w:jc w:val="right"/>
    </w:pPr>
    <w:r>
      <w:t>E/ECE/324/Rev.1/Add.26/Rev.2</w:t>
    </w:r>
    <w:r>
      <w:br/>
      <w:t>E/ECE/TRANS/505/Rev.1/Add.26/Rev.2</w:t>
    </w:r>
    <w:r>
      <w:br/>
      <w:t>Annexe 5</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3BA" w:rsidRPr="001155FE" w:rsidRDefault="000143BA">
    <w:pPr>
      <w:pStyle w:val="Header"/>
    </w:pPr>
    <w:r>
      <w:t>E/ECE/324/Rev.1/Add.26/Rev.2</w:t>
    </w:r>
    <w:r>
      <w:br/>
      <w:t>E/ECE/TRANS/505/Rev.1/Add.26/Rev.2</w:t>
    </w:r>
    <w:r>
      <w:br/>
      <w:t>Annexe 6</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400" w:rsidRPr="001155FE" w:rsidRDefault="00113400" w:rsidP="001155FE">
    <w:pPr>
      <w:pStyle w:val="Header"/>
      <w:jc w:val="right"/>
    </w:pPr>
    <w:r>
      <w:t>E/ECE/324/Rev.1/Add.26/Rev.2</w:t>
    </w:r>
    <w:r>
      <w:br/>
      <w:t>E/ECE/TRANS/505/Rev.1/Add.26/Rev.2</w:t>
    </w:r>
    <w:r>
      <w:br/>
      <w:t>Annexe 6</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656" w:rsidRPr="001155FE" w:rsidRDefault="00D84656">
    <w:pPr>
      <w:pStyle w:val="Header"/>
    </w:pPr>
    <w:r>
      <w:t>E/ECE/324/Rev.1/Add.26/Rev.2</w:t>
    </w:r>
    <w:r>
      <w:br/>
      <w:t>E/ECE/TRANS</w:t>
    </w:r>
    <w:r w:rsidR="007F5D8C">
      <w:t>/505/Rev.1/Add.26/Rev.2</w:t>
    </w:r>
    <w:r w:rsidR="007F5D8C">
      <w:br/>
      <w:t xml:space="preserve">Annexe </w:t>
    </w:r>
    <w:r w:rsidR="006A583A">
      <w:t>7</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656" w:rsidRPr="001155FE" w:rsidRDefault="00D84656" w:rsidP="001155FE">
    <w:pPr>
      <w:pStyle w:val="Header"/>
      <w:jc w:val="right"/>
    </w:pPr>
    <w:r>
      <w:t>E/ECE/324/Rev.1/Add.26/Rev.2</w:t>
    </w:r>
    <w:r>
      <w:br/>
      <w:t>E/ECE/TRANS/505/Rev.1/Add.26/Rev.2</w:t>
    </w:r>
    <w:r>
      <w:br/>
      <w:t>Annexe 7</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8DD" w:rsidRPr="001155FE" w:rsidRDefault="004918DD">
    <w:pPr>
      <w:pStyle w:val="Header"/>
    </w:pPr>
    <w:r>
      <w:t>E/ECE/324/Rev.1/Add.26/Rev.2</w:t>
    </w:r>
    <w:r>
      <w:br/>
      <w:t>E/ECE/TRANS/505/Rev.1/Add.26/Rev.2</w:t>
    </w:r>
    <w:r>
      <w:br/>
      <w:t xml:space="preserve">Annexe </w:t>
    </w:r>
    <w:r w:rsidR="008A6E2B">
      <w:t>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656" w:rsidRPr="001155FE" w:rsidRDefault="00D84656" w:rsidP="001155FE">
    <w:pPr>
      <w:pStyle w:val="Header"/>
      <w:jc w:val="right"/>
    </w:pPr>
    <w:r>
      <w:t>E/ECE/324/Rev.1/Add.26/Rev.2</w:t>
    </w:r>
    <w:r>
      <w:br/>
      <w:t>E/ECE/TRANS/505/Rev.1/Add.26/Rev.2</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656" w:rsidRPr="001155FE" w:rsidRDefault="00D84656" w:rsidP="001155FE">
    <w:pPr>
      <w:pStyle w:val="Header"/>
      <w:jc w:val="right"/>
    </w:pPr>
    <w:r>
      <w:t>E/ECE/324/Rev.1/Add.26/Rev.2</w:t>
    </w:r>
    <w:r>
      <w:br/>
      <w:t>E/ECE/TRANS/505/Rev.1/Add.26/Rev.2</w:t>
    </w:r>
    <w:r>
      <w:br/>
      <w:t>Annexe 8</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E2B" w:rsidRPr="001155FE" w:rsidRDefault="008A6E2B">
    <w:pPr>
      <w:pStyle w:val="Header"/>
    </w:pPr>
    <w:r>
      <w:t>E/ECE/324/Rev.1/Add.26/Rev.2</w:t>
    </w:r>
    <w:r>
      <w:br/>
      <w:t>E/ECE/TRANS/505/Rev.1/Add.26/Rev.2</w:t>
    </w:r>
    <w:r>
      <w:br/>
      <w:t>Annexe 9</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656" w:rsidRPr="001155FE" w:rsidRDefault="00D84656" w:rsidP="001155FE">
    <w:pPr>
      <w:pStyle w:val="Header"/>
      <w:jc w:val="right"/>
    </w:pPr>
    <w:r>
      <w:t>E/ECE/324/Rev.1/Add.26/Rev.2</w:t>
    </w:r>
    <w:r>
      <w:br/>
      <w:t>E/ECE/TRANS/505/Rev.1/Add.26/Rev.2</w:t>
    </w:r>
    <w:r>
      <w:br/>
      <w:t>Annexe 9</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656" w:rsidRPr="001155FE" w:rsidRDefault="00D84656">
    <w:pPr>
      <w:pStyle w:val="Header"/>
    </w:pPr>
    <w:r>
      <w:t>E/ECE/324/Rev.1/Add.26/Rev.2</w:t>
    </w:r>
    <w:r>
      <w:br/>
      <w:t>E/ECE/TRANS/505/Rev.1/Add.26/Rev.2</w:t>
    </w:r>
    <w:r>
      <w:br/>
      <w:t xml:space="preserve">Annexe </w:t>
    </w:r>
    <w:r w:rsidR="0034441F">
      <w:t>9 − Appendice 1</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656" w:rsidRPr="001155FE" w:rsidRDefault="00D84656" w:rsidP="001155FE">
    <w:pPr>
      <w:pStyle w:val="Header"/>
      <w:jc w:val="right"/>
    </w:pPr>
    <w:r>
      <w:t>E/ECE/324/Rev.1/Add.26/Rev.2</w:t>
    </w:r>
    <w:r>
      <w:br/>
      <w:t>E/ECE/TRANS/505/Rev.1/Add.26/Rev.2</w:t>
    </w:r>
    <w:r>
      <w:br/>
    </w:r>
    <w:r w:rsidR="00D93E90">
      <w:t xml:space="preserve">Annexe </w:t>
    </w:r>
    <w:r w:rsidR="00B96E8D">
      <w:t>9 − Appendice 1</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41F" w:rsidRPr="001155FE" w:rsidRDefault="0034441F">
    <w:pPr>
      <w:pStyle w:val="Header"/>
    </w:pPr>
    <w:r>
      <w:t>E/ECE/324/Rev.1/Add.26/Rev.2</w:t>
    </w:r>
    <w:r>
      <w:br/>
      <w:t>E/ECE/TRANS/505/Rev.1/Add.26/Rev.2</w:t>
    </w:r>
    <w:r>
      <w:br/>
      <w:t>Annexe 10</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3756" w:rsidRPr="001155FE" w:rsidRDefault="00F63756" w:rsidP="001155FE">
    <w:pPr>
      <w:pStyle w:val="Header"/>
      <w:jc w:val="right"/>
    </w:pPr>
    <w:r>
      <w:t>E/ECE/324/Rev.1/Add.26/Rev.2</w:t>
    </w:r>
    <w:r>
      <w:br/>
      <w:t>E/ECE/TRANS/505/Rev.1/Add.26/Rev.2</w:t>
    </w:r>
    <w:r>
      <w:br/>
      <w:t>Annexe 10</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656" w:rsidRDefault="00D84656" w:rsidP="000E0F4C">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656" w:rsidRPr="001155FE" w:rsidRDefault="00D84656" w:rsidP="001155FE">
    <w:pPr>
      <w:pStyle w:val="Header"/>
      <w:jc w:val="right"/>
    </w:pPr>
    <w:r>
      <w:t>E/ECE/324/Rev.1/Add.26/Rev.2</w:t>
    </w:r>
    <w:r>
      <w:br/>
      <w:t>E/ECE/TRANS/505/Rev.1/Add.26/Rev.2</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656" w:rsidRPr="001155FE" w:rsidRDefault="00D84656">
    <w:pPr>
      <w:pStyle w:val="Header"/>
    </w:pPr>
    <w:r>
      <w:t>E/ECE/324/Rev.1/Add.26/Rev.2</w:t>
    </w:r>
    <w:r>
      <w:br/>
      <w:t>E/ECE/TRANS/505/Rev.1/Add.26/Rev.2</w:t>
    </w:r>
    <w:r>
      <w:br/>
      <w:t>Annexe 1</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656" w:rsidRPr="001155FE" w:rsidRDefault="00D84656" w:rsidP="001155FE">
    <w:pPr>
      <w:pStyle w:val="Header"/>
      <w:jc w:val="right"/>
    </w:pPr>
    <w:r>
      <w:t>E/ECE/324/Rev.1/Add.26/Rev.2</w:t>
    </w:r>
    <w:r>
      <w:br/>
      <w:t>E/ECE/TRANS/505/Rev.1/Add.26/Rev.2</w:t>
    </w:r>
    <w:r>
      <w:br/>
      <w:t>Annexe 1</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656" w:rsidRPr="001155FE" w:rsidRDefault="00D84656">
    <w:pPr>
      <w:pStyle w:val="Header"/>
    </w:pPr>
    <w:r>
      <w:t>E/ECE/324/Rev.1/Add.26/Rev.2</w:t>
    </w:r>
    <w:r>
      <w:br/>
      <w:t>E/ECE/TRANS/505/Rev.1/Add.26/Rev.2</w:t>
    </w:r>
    <w:r>
      <w:br/>
      <w:t>Annexe 2</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656" w:rsidRPr="001155FE" w:rsidRDefault="00D84656" w:rsidP="001155FE">
    <w:pPr>
      <w:pStyle w:val="Header"/>
      <w:jc w:val="right"/>
    </w:pPr>
    <w:r>
      <w:t>E/ECE/324/Rev.1/Add.26/Rev.2</w:t>
    </w:r>
    <w:r>
      <w:br/>
      <w:t>E/ECE/TRANS/505/Rev.1/Add.26/Rev.2</w:t>
    </w:r>
    <w:r>
      <w:br/>
      <w:t>Annexe 2</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656" w:rsidRPr="001155FE" w:rsidRDefault="00D84656">
    <w:pPr>
      <w:pStyle w:val="Header"/>
    </w:pPr>
    <w:r>
      <w:t>E/ECE/324/Rev.1/Add.26/Rev.2</w:t>
    </w:r>
    <w:r>
      <w:br/>
      <w:t>E/ECE/TRANS/505/Rev.1/Add.26/Rev.2</w:t>
    </w:r>
    <w:r>
      <w:br/>
      <w:t>Annexe 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2"/>
  </w:num>
  <w:num w:numId="2">
    <w:abstractNumId w:val="1"/>
  </w:num>
  <w:num w:numId="3">
    <w:abstractNumId w:val="0"/>
  </w:num>
  <w:num w:numId="4">
    <w:abstractNumId w:val="2"/>
  </w:num>
  <w:num w:numId="5">
    <w:abstractNumId w:val="1"/>
  </w:num>
  <w:num w:numId="6">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GB" w:vendorID="64" w:dllVersion="131077" w:nlCheck="1" w:checkStyle="1"/>
  <w:activeWritingStyle w:appName="MSWord" w:lang="fr-CH" w:vendorID="64" w:dllVersion="131078" w:nlCheck="1" w:checkStyle="0"/>
  <w:activeWritingStyle w:appName="MSWord" w:lang="en-GB" w:vendorID="64" w:dllVersion="131078" w:nlCheck="1" w:checkStyle="0"/>
  <w:activeWritingStyle w:appName="MSWord" w:lang="fr-FR" w:vendorID="64" w:dllVersion="131078"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945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045"/>
    <w:rsid w:val="00000477"/>
    <w:rsid w:val="000143BA"/>
    <w:rsid w:val="0001470D"/>
    <w:rsid w:val="00016165"/>
    <w:rsid w:val="00016AC5"/>
    <w:rsid w:val="00021126"/>
    <w:rsid w:val="00021907"/>
    <w:rsid w:val="000233A5"/>
    <w:rsid w:val="000236D8"/>
    <w:rsid w:val="0002445D"/>
    <w:rsid w:val="00024C50"/>
    <w:rsid w:val="00025E92"/>
    <w:rsid w:val="000276A3"/>
    <w:rsid w:val="00030ED7"/>
    <w:rsid w:val="00032060"/>
    <w:rsid w:val="00034625"/>
    <w:rsid w:val="00034ED9"/>
    <w:rsid w:val="00035FC3"/>
    <w:rsid w:val="00040539"/>
    <w:rsid w:val="00040598"/>
    <w:rsid w:val="00042B7F"/>
    <w:rsid w:val="0004539C"/>
    <w:rsid w:val="00047F10"/>
    <w:rsid w:val="00052157"/>
    <w:rsid w:val="0005346D"/>
    <w:rsid w:val="000536E6"/>
    <w:rsid w:val="00054046"/>
    <w:rsid w:val="00054CC0"/>
    <w:rsid w:val="00055FE4"/>
    <w:rsid w:val="0006300A"/>
    <w:rsid w:val="0006365C"/>
    <w:rsid w:val="000641CE"/>
    <w:rsid w:val="00066FC9"/>
    <w:rsid w:val="00067310"/>
    <w:rsid w:val="00075541"/>
    <w:rsid w:val="00077E35"/>
    <w:rsid w:val="00083627"/>
    <w:rsid w:val="0008669E"/>
    <w:rsid w:val="00090599"/>
    <w:rsid w:val="000A1501"/>
    <w:rsid w:val="000A2494"/>
    <w:rsid w:val="000A6B7E"/>
    <w:rsid w:val="000B09B7"/>
    <w:rsid w:val="000B20D3"/>
    <w:rsid w:val="000B642D"/>
    <w:rsid w:val="000B784D"/>
    <w:rsid w:val="000C6CDB"/>
    <w:rsid w:val="000D55DF"/>
    <w:rsid w:val="000D5C25"/>
    <w:rsid w:val="000E0CA8"/>
    <w:rsid w:val="000E0F4C"/>
    <w:rsid w:val="000E4F06"/>
    <w:rsid w:val="000E5601"/>
    <w:rsid w:val="000E5602"/>
    <w:rsid w:val="000E5AC3"/>
    <w:rsid w:val="000F41F2"/>
    <w:rsid w:val="00101772"/>
    <w:rsid w:val="0010373B"/>
    <w:rsid w:val="00113400"/>
    <w:rsid w:val="0011415F"/>
    <w:rsid w:val="001155FE"/>
    <w:rsid w:val="001215B8"/>
    <w:rsid w:val="00124BE7"/>
    <w:rsid w:val="00125446"/>
    <w:rsid w:val="00134456"/>
    <w:rsid w:val="001358D9"/>
    <w:rsid w:val="00141E26"/>
    <w:rsid w:val="00142A43"/>
    <w:rsid w:val="00143EB9"/>
    <w:rsid w:val="00145EF9"/>
    <w:rsid w:val="00150628"/>
    <w:rsid w:val="00152C5A"/>
    <w:rsid w:val="0015389C"/>
    <w:rsid w:val="00160540"/>
    <w:rsid w:val="001645BA"/>
    <w:rsid w:val="00166C68"/>
    <w:rsid w:val="00172380"/>
    <w:rsid w:val="00174814"/>
    <w:rsid w:val="00181A90"/>
    <w:rsid w:val="001825DB"/>
    <w:rsid w:val="0019013E"/>
    <w:rsid w:val="00190D5D"/>
    <w:rsid w:val="00192EEB"/>
    <w:rsid w:val="00194484"/>
    <w:rsid w:val="001A1CD6"/>
    <w:rsid w:val="001A2040"/>
    <w:rsid w:val="001A20FB"/>
    <w:rsid w:val="001A252F"/>
    <w:rsid w:val="001A376F"/>
    <w:rsid w:val="001B09BB"/>
    <w:rsid w:val="001B7928"/>
    <w:rsid w:val="001C0746"/>
    <w:rsid w:val="001C3D8D"/>
    <w:rsid w:val="001C5404"/>
    <w:rsid w:val="001C6497"/>
    <w:rsid w:val="001D4618"/>
    <w:rsid w:val="001D7F8A"/>
    <w:rsid w:val="001E0447"/>
    <w:rsid w:val="001E1495"/>
    <w:rsid w:val="001E18D4"/>
    <w:rsid w:val="001E34CB"/>
    <w:rsid w:val="001E3FEB"/>
    <w:rsid w:val="001E4541"/>
    <w:rsid w:val="001E4A02"/>
    <w:rsid w:val="001E4E3F"/>
    <w:rsid w:val="001E5D0C"/>
    <w:rsid w:val="001E653B"/>
    <w:rsid w:val="001E6DF0"/>
    <w:rsid w:val="001F3E68"/>
    <w:rsid w:val="001F4931"/>
    <w:rsid w:val="002000CD"/>
    <w:rsid w:val="00200CBA"/>
    <w:rsid w:val="00204B66"/>
    <w:rsid w:val="002059CE"/>
    <w:rsid w:val="00206AD4"/>
    <w:rsid w:val="002145DD"/>
    <w:rsid w:val="00223815"/>
    <w:rsid w:val="00224B8B"/>
    <w:rsid w:val="00225A8C"/>
    <w:rsid w:val="00230ED3"/>
    <w:rsid w:val="00231403"/>
    <w:rsid w:val="00231A7F"/>
    <w:rsid w:val="002361F8"/>
    <w:rsid w:val="00236CF1"/>
    <w:rsid w:val="00242BBD"/>
    <w:rsid w:val="00244817"/>
    <w:rsid w:val="0024586F"/>
    <w:rsid w:val="00246BC8"/>
    <w:rsid w:val="00250926"/>
    <w:rsid w:val="00251F95"/>
    <w:rsid w:val="00252317"/>
    <w:rsid w:val="0025312F"/>
    <w:rsid w:val="00253F7E"/>
    <w:rsid w:val="002552AF"/>
    <w:rsid w:val="00264CD6"/>
    <w:rsid w:val="002659F1"/>
    <w:rsid w:val="00271E41"/>
    <w:rsid w:val="002771E4"/>
    <w:rsid w:val="002808FE"/>
    <w:rsid w:val="00281908"/>
    <w:rsid w:val="00284C19"/>
    <w:rsid w:val="00286E23"/>
    <w:rsid w:val="002876A1"/>
    <w:rsid w:val="00287CA6"/>
    <w:rsid w:val="00287E79"/>
    <w:rsid w:val="002928F9"/>
    <w:rsid w:val="00294D5B"/>
    <w:rsid w:val="0029791D"/>
    <w:rsid w:val="002A1433"/>
    <w:rsid w:val="002A2A2C"/>
    <w:rsid w:val="002A545A"/>
    <w:rsid w:val="002A58C6"/>
    <w:rsid w:val="002A5D07"/>
    <w:rsid w:val="002B4C6F"/>
    <w:rsid w:val="002B5309"/>
    <w:rsid w:val="002C3C52"/>
    <w:rsid w:val="002D1AAF"/>
    <w:rsid w:val="002D25CA"/>
    <w:rsid w:val="002D3DA4"/>
    <w:rsid w:val="002D4DE9"/>
    <w:rsid w:val="002E2F5C"/>
    <w:rsid w:val="002E5874"/>
    <w:rsid w:val="002F0C48"/>
    <w:rsid w:val="002F1BED"/>
    <w:rsid w:val="002F3A71"/>
    <w:rsid w:val="002F5E9D"/>
    <w:rsid w:val="003016B7"/>
    <w:rsid w:val="00304C12"/>
    <w:rsid w:val="00305045"/>
    <w:rsid w:val="0030754C"/>
    <w:rsid w:val="003170C8"/>
    <w:rsid w:val="00317E54"/>
    <w:rsid w:val="00322262"/>
    <w:rsid w:val="00322DF1"/>
    <w:rsid w:val="00324EBF"/>
    <w:rsid w:val="0032556C"/>
    <w:rsid w:val="00330508"/>
    <w:rsid w:val="0033286A"/>
    <w:rsid w:val="00333130"/>
    <w:rsid w:val="003337D0"/>
    <w:rsid w:val="0034441F"/>
    <w:rsid w:val="00346E32"/>
    <w:rsid w:val="003515AA"/>
    <w:rsid w:val="00360F93"/>
    <w:rsid w:val="00361943"/>
    <w:rsid w:val="00364F13"/>
    <w:rsid w:val="0036776C"/>
    <w:rsid w:val="00372A7A"/>
    <w:rsid w:val="00372D1D"/>
    <w:rsid w:val="00374106"/>
    <w:rsid w:val="00375833"/>
    <w:rsid w:val="0037679A"/>
    <w:rsid w:val="0038047C"/>
    <w:rsid w:val="003865D8"/>
    <w:rsid w:val="00386B3B"/>
    <w:rsid w:val="00390EEF"/>
    <w:rsid w:val="00394410"/>
    <w:rsid w:val="003976D5"/>
    <w:rsid w:val="003A7E05"/>
    <w:rsid w:val="003B53B6"/>
    <w:rsid w:val="003B6CB0"/>
    <w:rsid w:val="003D15B2"/>
    <w:rsid w:val="003D3868"/>
    <w:rsid w:val="003D6C68"/>
    <w:rsid w:val="003E01D0"/>
    <w:rsid w:val="003E49B9"/>
    <w:rsid w:val="003E4C56"/>
    <w:rsid w:val="003E5E5B"/>
    <w:rsid w:val="003E5F12"/>
    <w:rsid w:val="003E7562"/>
    <w:rsid w:val="003E786C"/>
    <w:rsid w:val="003F140B"/>
    <w:rsid w:val="003F1BD5"/>
    <w:rsid w:val="003F24D3"/>
    <w:rsid w:val="003F2A89"/>
    <w:rsid w:val="003F4A54"/>
    <w:rsid w:val="0040144C"/>
    <w:rsid w:val="004067AE"/>
    <w:rsid w:val="00410521"/>
    <w:rsid w:val="00413403"/>
    <w:rsid w:val="00413BB0"/>
    <w:rsid w:val="004159D0"/>
    <w:rsid w:val="00417326"/>
    <w:rsid w:val="00417FEC"/>
    <w:rsid w:val="00421A10"/>
    <w:rsid w:val="00422499"/>
    <w:rsid w:val="00430EFC"/>
    <w:rsid w:val="004342E2"/>
    <w:rsid w:val="00434354"/>
    <w:rsid w:val="00440BC8"/>
    <w:rsid w:val="00454F8D"/>
    <w:rsid w:val="004564D8"/>
    <w:rsid w:val="004567EB"/>
    <w:rsid w:val="00457676"/>
    <w:rsid w:val="00460E72"/>
    <w:rsid w:val="00464191"/>
    <w:rsid w:val="00466E68"/>
    <w:rsid w:val="00467412"/>
    <w:rsid w:val="00471364"/>
    <w:rsid w:val="00476265"/>
    <w:rsid w:val="004800FE"/>
    <w:rsid w:val="00485515"/>
    <w:rsid w:val="0048687D"/>
    <w:rsid w:val="00490F56"/>
    <w:rsid w:val="004918DD"/>
    <w:rsid w:val="00491F39"/>
    <w:rsid w:val="004A49A5"/>
    <w:rsid w:val="004A66A2"/>
    <w:rsid w:val="004B07A3"/>
    <w:rsid w:val="004B1660"/>
    <w:rsid w:val="004B261D"/>
    <w:rsid w:val="004B506E"/>
    <w:rsid w:val="004B51CD"/>
    <w:rsid w:val="004B576C"/>
    <w:rsid w:val="004B77E4"/>
    <w:rsid w:val="004C54C0"/>
    <w:rsid w:val="004C56B2"/>
    <w:rsid w:val="004C6F4A"/>
    <w:rsid w:val="004D00B2"/>
    <w:rsid w:val="004D3C4E"/>
    <w:rsid w:val="004D4C91"/>
    <w:rsid w:val="004E4963"/>
    <w:rsid w:val="004E6809"/>
    <w:rsid w:val="004E7F24"/>
    <w:rsid w:val="00503919"/>
    <w:rsid w:val="005111B1"/>
    <w:rsid w:val="00513422"/>
    <w:rsid w:val="0051457E"/>
    <w:rsid w:val="0051714B"/>
    <w:rsid w:val="00520038"/>
    <w:rsid w:val="00520F80"/>
    <w:rsid w:val="00521898"/>
    <w:rsid w:val="005239FF"/>
    <w:rsid w:val="00523DB8"/>
    <w:rsid w:val="00533150"/>
    <w:rsid w:val="00543B57"/>
    <w:rsid w:val="00543C47"/>
    <w:rsid w:val="00543D5E"/>
    <w:rsid w:val="00552260"/>
    <w:rsid w:val="00552777"/>
    <w:rsid w:val="00553089"/>
    <w:rsid w:val="00555494"/>
    <w:rsid w:val="00555CBA"/>
    <w:rsid w:val="00556C1A"/>
    <w:rsid w:val="00565B29"/>
    <w:rsid w:val="00566C54"/>
    <w:rsid w:val="00571BC1"/>
    <w:rsid w:val="00571F41"/>
    <w:rsid w:val="00575476"/>
    <w:rsid w:val="00575BFE"/>
    <w:rsid w:val="00583A20"/>
    <w:rsid w:val="00584373"/>
    <w:rsid w:val="0059061F"/>
    <w:rsid w:val="00591DB3"/>
    <w:rsid w:val="005939ED"/>
    <w:rsid w:val="005947BC"/>
    <w:rsid w:val="00595E8A"/>
    <w:rsid w:val="005A0268"/>
    <w:rsid w:val="005A6014"/>
    <w:rsid w:val="005A62A2"/>
    <w:rsid w:val="005B0927"/>
    <w:rsid w:val="005B473C"/>
    <w:rsid w:val="005C549A"/>
    <w:rsid w:val="005D0035"/>
    <w:rsid w:val="005D106A"/>
    <w:rsid w:val="005D7719"/>
    <w:rsid w:val="005D7772"/>
    <w:rsid w:val="005E1B9B"/>
    <w:rsid w:val="005E32D1"/>
    <w:rsid w:val="005E5AD9"/>
    <w:rsid w:val="005E5D1F"/>
    <w:rsid w:val="005F0106"/>
    <w:rsid w:val="005F0207"/>
    <w:rsid w:val="005F076B"/>
    <w:rsid w:val="005F5C1F"/>
    <w:rsid w:val="00602F81"/>
    <w:rsid w:val="0061113B"/>
    <w:rsid w:val="00611C17"/>
    <w:rsid w:val="00611D43"/>
    <w:rsid w:val="00612D48"/>
    <w:rsid w:val="00613A5E"/>
    <w:rsid w:val="00616B45"/>
    <w:rsid w:val="00621535"/>
    <w:rsid w:val="006241C6"/>
    <w:rsid w:val="00630D9B"/>
    <w:rsid w:val="00631953"/>
    <w:rsid w:val="0063208D"/>
    <w:rsid w:val="00632913"/>
    <w:rsid w:val="00640581"/>
    <w:rsid w:val="006434FD"/>
    <w:rsid w:val="00643814"/>
    <w:rsid w:val="006439EC"/>
    <w:rsid w:val="00643E04"/>
    <w:rsid w:val="00645090"/>
    <w:rsid w:val="00647059"/>
    <w:rsid w:val="00647162"/>
    <w:rsid w:val="0065029A"/>
    <w:rsid w:val="00651CB5"/>
    <w:rsid w:val="006553F9"/>
    <w:rsid w:val="00661E96"/>
    <w:rsid w:val="00664C50"/>
    <w:rsid w:val="00665786"/>
    <w:rsid w:val="00671C93"/>
    <w:rsid w:val="00671F00"/>
    <w:rsid w:val="006729C8"/>
    <w:rsid w:val="00675501"/>
    <w:rsid w:val="0068562A"/>
    <w:rsid w:val="00691AD6"/>
    <w:rsid w:val="00693679"/>
    <w:rsid w:val="006A0A34"/>
    <w:rsid w:val="006A583A"/>
    <w:rsid w:val="006A6B31"/>
    <w:rsid w:val="006A6C95"/>
    <w:rsid w:val="006A7B29"/>
    <w:rsid w:val="006B0314"/>
    <w:rsid w:val="006B0EB2"/>
    <w:rsid w:val="006B0FE8"/>
    <w:rsid w:val="006B0FF8"/>
    <w:rsid w:val="006B1DFA"/>
    <w:rsid w:val="006B3B4C"/>
    <w:rsid w:val="006B4590"/>
    <w:rsid w:val="006C340C"/>
    <w:rsid w:val="006D7A9B"/>
    <w:rsid w:val="006E29E5"/>
    <w:rsid w:val="006E403E"/>
    <w:rsid w:val="006E5357"/>
    <w:rsid w:val="006F1D0B"/>
    <w:rsid w:val="006F27A8"/>
    <w:rsid w:val="006F3493"/>
    <w:rsid w:val="006F3544"/>
    <w:rsid w:val="00700A8B"/>
    <w:rsid w:val="0070347C"/>
    <w:rsid w:val="00707796"/>
    <w:rsid w:val="007102D2"/>
    <w:rsid w:val="00712EE2"/>
    <w:rsid w:val="00713D8D"/>
    <w:rsid w:val="007142DB"/>
    <w:rsid w:val="00714A66"/>
    <w:rsid w:val="007176C1"/>
    <w:rsid w:val="00720BC0"/>
    <w:rsid w:val="0072116B"/>
    <w:rsid w:val="00722034"/>
    <w:rsid w:val="00725063"/>
    <w:rsid w:val="00732E72"/>
    <w:rsid w:val="00741D90"/>
    <w:rsid w:val="00752EF5"/>
    <w:rsid w:val="007607B1"/>
    <w:rsid w:val="00761456"/>
    <w:rsid w:val="00765296"/>
    <w:rsid w:val="00766D28"/>
    <w:rsid w:val="007723C2"/>
    <w:rsid w:val="007815B9"/>
    <w:rsid w:val="00783E82"/>
    <w:rsid w:val="00785F1F"/>
    <w:rsid w:val="007869B6"/>
    <w:rsid w:val="00790B9D"/>
    <w:rsid w:val="0079278A"/>
    <w:rsid w:val="00796316"/>
    <w:rsid w:val="007A1C58"/>
    <w:rsid w:val="007A20D2"/>
    <w:rsid w:val="007A2354"/>
    <w:rsid w:val="007A79CD"/>
    <w:rsid w:val="007B04EB"/>
    <w:rsid w:val="007D2668"/>
    <w:rsid w:val="007D3119"/>
    <w:rsid w:val="007F1867"/>
    <w:rsid w:val="007F1EC4"/>
    <w:rsid w:val="007F55CB"/>
    <w:rsid w:val="007F5D8C"/>
    <w:rsid w:val="007F768E"/>
    <w:rsid w:val="008021D4"/>
    <w:rsid w:val="008149F9"/>
    <w:rsid w:val="00814A25"/>
    <w:rsid w:val="008245B7"/>
    <w:rsid w:val="0082755E"/>
    <w:rsid w:val="00827B39"/>
    <w:rsid w:val="00831A18"/>
    <w:rsid w:val="00837345"/>
    <w:rsid w:val="00844750"/>
    <w:rsid w:val="008511E1"/>
    <w:rsid w:val="00851A74"/>
    <w:rsid w:val="00853AB8"/>
    <w:rsid w:val="00854C34"/>
    <w:rsid w:val="0085586A"/>
    <w:rsid w:val="00856DB2"/>
    <w:rsid w:val="008661F7"/>
    <w:rsid w:val="0087218B"/>
    <w:rsid w:val="0087262E"/>
    <w:rsid w:val="00880EA6"/>
    <w:rsid w:val="008838CC"/>
    <w:rsid w:val="00895DE5"/>
    <w:rsid w:val="008A077C"/>
    <w:rsid w:val="008A0FA8"/>
    <w:rsid w:val="008A1EC0"/>
    <w:rsid w:val="008A2998"/>
    <w:rsid w:val="008A4A2E"/>
    <w:rsid w:val="008A6E2B"/>
    <w:rsid w:val="008B44C4"/>
    <w:rsid w:val="008B6C23"/>
    <w:rsid w:val="008B6E33"/>
    <w:rsid w:val="008C067B"/>
    <w:rsid w:val="008C322B"/>
    <w:rsid w:val="008C4B74"/>
    <w:rsid w:val="008D1156"/>
    <w:rsid w:val="008D1809"/>
    <w:rsid w:val="008D1DB1"/>
    <w:rsid w:val="008D59DB"/>
    <w:rsid w:val="008E0319"/>
    <w:rsid w:val="008E12EE"/>
    <w:rsid w:val="008E12EF"/>
    <w:rsid w:val="008E4A63"/>
    <w:rsid w:val="008E4DE2"/>
    <w:rsid w:val="008E7CE2"/>
    <w:rsid w:val="008E7FAE"/>
    <w:rsid w:val="0090573E"/>
    <w:rsid w:val="00911BF7"/>
    <w:rsid w:val="00912F19"/>
    <w:rsid w:val="0091594A"/>
    <w:rsid w:val="009230F1"/>
    <w:rsid w:val="00926925"/>
    <w:rsid w:val="00933078"/>
    <w:rsid w:val="00935490"/>
    <w:rsid w:val="00936369"/>
    <w:rsid w:val="0094164E"/>
    <w:rsid w:val="009418DE"/>
    <w:rsid w:val="009516B7"/>
    <w:rsid w:val="009545F1"/>
    <w:rsid w:val="00957CE5"/>
    <w:rsid w:val="009602EA"/>
    <w:rsid w:val="00960CC6"/>
    <w:rsid w:val="0096176E"/>
    <w:rsid w:val="009624E2"/>
    <w:rsid w:val="00965F8D"/>
    <w:rsid w:val="009707E4"/>
    <w:rsid w:val="00971BFE"/>
    <w:rsid w:val="00973B8F"/>
    <w:rsid w:val="00974DD2"/>
    <w:rsid w:val="009772EB"/>
    <w:rsid w:val="00977EC8"/>
    <w:rsid w:val="00977FC1"/>
    <w:rsid w:val="0098499A"/>
    <w:rsid w:val="009912FB"/>
    <w:rsid w:val="00996562"/>
    <w:rsid w:val="00996CEC"/>
    <w:rsid w:val="009A1926"/>
    <w:rsid w:val="009A3048"/>
    <w:rsid w:val="009A3681"/>
    <w:rsid w:val="009A6C26"/>
    <w:rsid w:val="009A718E"/>
    <w:rsid w:val="009B17AD"/>
    <w:rsid w:val="009B3CAA"/>
    <w:rsid w:val="009B3F8C"/>
    <w:rsid w:val="009B45E0"/>
    <w:rsid w:val="009B540F"/>
    <w:rsid w:val="009C4231"/>
    <w:rsid w:val="009C671B"/>
    <w:rsid w:val="009D1F14"/>
    <w:rsid w:val="009D3A8C"/>
    <w:rsid w:val="009D3E1D"/>
    <w:rsid w:val="009E0175"/>
    <w:rsid w:val="009E1BA9"/>
    <w:rsid w:val="009E2876"/>
    <w:rsid w:val="009E2F0B"/>
    <w:rsid w:val="009E50E6"/>
    <w:rsid w:val="009E7956"/>
    <w:rsid w:val="009F072F"/>
    <w:rsid w:val="009F1237"/>
    <w:rsid w:val="009F26C1"/>
    <w:rsid w:val="009F3F95"/>
    <w:rsid w:val="009F713A"/>
    <w:rsid w:val="00A023FC"/>
    <w:rsid w:val="00A0338D"/>
    <w:rsid w:val="00A05DD1"/>
    <w:rsid w:val="00A077E9"/>
    <w:rsid w:val="00A2492E"/>
    <w:rsid w:val="00A31163"/>
    <w:rsid w:val="00A34593"/>
    <w:rsid w:val="00A353D7"/>
    <w:rsid w:val="00A364DB"/>
    <w:rsid w:val="00A41B4F"/>
    <w:rsid w:val="00A43ABD"/>
    <w:rsid w:val="00A45E90"/>
    <w:rsid w:val="00A476D7"/>
    <w:rsid w:val="00A4770F"/>
    <w:rsid w:val="00A50D6B"/>
    <w:rsid w:val="00A51050"/>
    <w:rsid w:val="00A5296C"/>
    <w:rsid w:val="00A56945"/>
    <w:rsid w:val="00A57027"/>
    <w:rsid w:val="00A5750C"/>
    <w:rsid w:val="00A72C35"/>
    <w:rsid w:val="00A752BB"/>
    <w:rsid w:val="00A81F93"/>
    <w:rsid w:val="00A82E4E"/>
    <w:rsid w:val="00A8480E"/>
    <w:rsid w:val="00A9247E"/>
    <w:rsid w:val="00AA0DCA"/>
    <w:rsid w:val="00AA7796"/>
    <w:rsid w:val="00AB1CBE"/>
    <w:rsid w:val="00AC67A1"/>
    <w:rsid w:val="00AC6847"/>
    <w:rsid w:val="00AC7977"/>
    <w:rsid w:val="00AC7E56"/>
    <w:rsid w:val="00AD53B6"/>
    <w:rsid w:val="00AE2617"/>
    <w:rsid w:val="00AE352C"/>
    <w:rsid w:val="00AE39A5"/>
    <w:rsid w:val="00AE4213"/>
    <w:rsid w:val="00AE68A6"/>
    <w:rsid w:val="00AE79AC"/>
    <w:rsid w:val="00AF3144"/>
    <w:rsid w:val="00AF53C9"/>
    <w:rsid w:val="00AF5971"/>
    <w:rsid w:val="00B01AAD"/>
    <w:rsid w:val="00B101DB"/>
    <w:rsid w:val="00B13E4F"/>
    <w:rsid w:val="00B151C3"/>
    <w:rsid w:val="00B21751"/>
    <w:rsid w:val="00B256F0"/>
    <w:rsid w:val="00B31D7D"/>
    <w:rsid w:val="00B32E2D"/>
    <w:rsid w:val="00B416B8"/>
    <w:rsid w:val="00B42351"/>
    <w:rsid w:val="00B43741"/>
    <w:rsid w:val="00B45642"/>
    <w:rsid w:val="00B51F03"/>
    <w:rsid w:val="00B52F29"/>
    <w:rsid w:val="00B5388D"/>
    <w:rsid w:val="00B61990"/>
    <w:rsid w:val="00B6249B"/>
    <w:rsid w:val="00B70CCD"/>
    <w:rsid w:val="00B75E66"/>
    <w:rsid w:val="00B773BF"/>
    <w:rsid w:val="00B96E8D"/>
    <w:rsid w:val="00BA4EDB"/>
    <w:rsid w:val="00BC3F20"/>
    <w:rsid w:val="00BC76F0"/>
    <w:rsid w:val="00BD0B47"/>
    <w:rsid w:val="00BD13E6"/>
    <w:rsid w:val="00BD28B2"/>
    <w:rsid w:val="00BD5A8D"/>
    <w:rsid w:val="00BD7343"/>
    <w:rsid w:val="00BF0556"/>
    <w:rsid w:val="00BF37EE"/>
    <w:rsid w:val="00BF3FEB"/>
    <w:rsid w:val="00C024A1"/>
    <w:rsid w:val="00C02C42"/>
    <w:rsid w:val="00C10FB1"/>
    <w:rsid w:val="00C11282"/>
    <w:rsid w:val="00C14108"/>
    <w:rsid w:val="00C261F8"/>
    <w:rsid w:val="00C27662"/>
    <w:rsid w:val="00C32914"/>
    <w:rsid w:val="00C33100"/>
    <w:rsid w:val="00C356E5"/>
    <w:rsid w:val="00C4240F"/>
    <w:rsid w:val="00C42EDB"/>
    <w:rsid w:val="00C45193"/>
    <w:rsid w:val="00C451B9"/>
    <w:rsid w:val="00C474FB"/>
    <w:rsid w:val="00C51D9C"/>
    <w:rsid w:val="00C54DA4"/>
    <w:rsid w:val="00C55118"/>
    <w:rsid w:val="00C577D1"/>
    <w:rsid w:val="00C57A2D"/>
    <w:rsid w:val="00C6018C"/>
    <w:rsid w:val="00C67D23"/>
    <w:rsid w:val="00C71827"/>
    <w:rsid w:val="00C75D25"/>
    <w:rsid w:val="00C77103"/>
    <w:rsid w:val="00C825C5"/>
    <w:rsid w:val="00C825E5"/>
    <w:rsid w:val="00C95EB8"/>
    <w:rsid w:val="00C966EE"/>
    <w:rsid w:val="00CA0756"/>
    <w:rsid w:val="00CB02C5"/>
    <w:rsid w:val="00CB0D41"/>
    <w:rsid w:val="00CB39CD"/>
    <w:rsid w:val="00CB693C"/>
    <w:rsid w:val="00CC2A62"/>
    <w:rsid w:val="00CC7CE6"/>
    <w:rsid w:val="00CD044C"/>
    <w:rsid w:val="00CD1A71"/>
    <w:rsid w:val="00CD1FBB"/>
    <w:rsid w:val="00CD65CF"/>
    <w:rsid w:val="00CE033D"/>
    <w:rsid w:val="00CE08E5"/>
    <w:rsid w:val="00CF15C1"/>
    <w:rsid w:val="00D016B5"/>
    <w:rsid w:val="00D02DA2"/>
    <w:rsid w:val="00D034F1"/>
    <w:rsid w:val="00D05828"/>
    <w:rsid w:val="00D06712"/>
    <w:rsid w:val="00D13313"/>
    <w:rsid w:val="00D13CAA"/>
    <w:rsid w:val="00D14C21"/>
    <w:rsid w:val="00D14F42"/>
    <w:rsid w:val="00D171D4"/>
    <w:rsid w:val="00D17F3A"/>
    <w:rsid w:val="00D243E0"/>
    <w:rsid w:val="00D244CB"/>
    <w:rsid w:val="00D27D5E"/>
    <w:rsid w:val="00D32B08"/>
    <w:rsid w:val="00D407D1"/>
    <w:rsid w:val="00D43E5F"/>
    <w:rsid w:val="00D505B1"/>
    <w:rsid w:val="00D51CE6"/>
    <w:rsid w:val="00D5692B"/>
    <w:rsid w:val="00D57C66"/>
    <w:rsid w:val="00D6396B"/>
    <w:rsid w:val="00D639BD"/>
    <w:rsid w:val="00D65777"/>
    <w:rsid w:val="00D66E0D"/>
    <w:rsid w:val="00D73027"/>
    <w:rsid w:val="00D7425A"/>
    <w:rsid w:val="00D74F7E"/>
    <w:rsid w:val="00D7695F"/>
    <w:rsid w:val="00D82591"/>
    <w:rsid w:val="00D84656"/>
    <w:rsid w:val="00D9039B"/>
    <w:rsid w:val="00D93582"/>
    <w:rsid w:val="00D93872"/>
    <w:rsid w:val="00D93E90"/>
    <w:rsid w:val="00D94118"/>
    <w:rsid w:val="00DA41A2"/>
    <w:rsid w:val="00DA43A1"/>
    <w:rsid w:val="00DA5E1D"/>
    <w:rsid w:val="00DB01CD"/>
    <w:rsid w:val="00DC0CB7"/>
    <w:rsid w:val="00DC10EF"/>
    <w:rsid w:val="00DC161C"/>
    <w:rsid w:val="00DC3628"/>
    <w:rsid w:val="00DC4F43"/>
    <w:rsid w:val="00DE083E"/>
    <w:rsid w:val="00DE6D90"/>
    <w:rsid w:val="00DF002F"/>
    <w:rsid w:val="00DF50F5"/>
    <w:rsid w:val="00E015CF"/>
    <w:rsid w:val="00E02077"/>
    <w:rsid w:val="00E0244D"/>
    <w:rsid w:val="00E026DF"/>
    <w:rsid w:val="00E02F48"/>
    <w:rsid w:val="00E03712"/>
    <w:rsid w:val="00E03D78"/>
    <w:rsid w:val="00E06B3F"/>
    <w:rsid w:val="00E10A73"/>
    <w:rsid w:val="00E14F27"/>
    <w:rsid w:val="00E171D2"/>
    <w:rsid w:val="00E25534"/>
    <w:rsid w:val="00E319B6"/>
    <w:rsid w:val="00E31F8D"/>
    <w:rsid w:val="00E32145"/>
    <w:rsid w:val="00E32F5A"/>
    <w:rsid w:val="00E36887"/>
    <w:rsid w:val="00E4164A"/>
    <w:rsid w:val="00E510F3"/>
    <w:rsid w:val="00E51874"/>
    <w:rsid w:val="00E5307E"/>
    <w:rsid w:val="00E53B8C"/>
    <w:rsid w:val="00E54DCB"/>
    <w:rsid w:val="00E60012"/>
    <w:rsid w:val="00E60587"/>
    <w:rsid w:val="00E608DD"/>
    <w:rsid w:val="00E62CFF"/>
    <w:rsid w:val="00E665EE"/>
    <w:rsid w:val="00E679AE"/>
    <w:rsid w:val="00E71570"/>
    <w:rsid w:val="00E73B13"/>
    <w:rsid w:val="00E75C58"/>
    <w:rsid w:val="00E76819"/>
    <w:rsid w:val="00E81E94"/>
    <w:rsid w:val="00E82607"/>
    <w:rsid w:val="00E84A82"/>
    <w:rsid w:val="00E85025"/>
    <w:rsid w:val="00E9483E"/>
    <w:rsid w:val="00E96710"/>
    <w:rsid w:val="00E97C8E"/>
    <w:rsid w:val="00E97E2C"/>
    <w:rsid w:val="00EA3B1D"/>
    <w:rsid w:val="00EA4EDD"/>
    <w:rsid w:val="00EA564E"/>
    <w:rsid w:val="00EA5C20"/>
    <w:rsid w:val="00EB1041"/>
    <w:rsid w:val="00EB77B9"/>
    <w:rsid w:val="00EB7C09"/>
    <w:rsid w:val="00EB7D07"/>
    <w:rsid w:val="00EC0778"/>
    <w:rsid w:val="00EC7B78"/>
    <w:rsid w:val="00ED3A26"/>
    <w:rsid w:val="00EF70BB"/>
    <w:rsid w:val="00F010DB"/>
    <w:rsid w:val="00F02FA9"/>
    <w:rsid w:val="00F06660"/>
    <w:rsid w:val="00F07AE1"/>
    <w:rsid w:val="00F10C51"/>
    <w:rsid w:val="00F116EB"/>
    <w:rsid w:val="00F13C49"/>
    <w:rsid w:val="00F14F04"/>
    <w:rsid w:val="00F1794E"/>
    <w:rsid w:val="00F211AF"/>
    <w:rsid w:val="00F25EC3"/>
    <w:rsid w:val="00F30E6B"/>
    <w:rsid w:val="00F32ADB"/>
    <w:rsid w:val="00F32C98"/>
    <w:rsid w:val="00F3317D"/>
    <w:rsid w:val="00F378A7"/>
    <w:rsid w:val="00F37E12"/>
    <w:rsid w:val="00F424BD"/>
    <w:rsid w:val="00F4527A"/>
    <w:rsid w:val="00F45D41"/>
    <w:rsid w:val="00F515AD"/>
    <w:rsid w:val="00F52C97"/>
    <w:rsid w:val="00F57DD7"/>
    <w:rsid w:val="00F636AD"/>
    <w:rsid w:val="00F63756"/>
    <w:rsid w:val="00F64E2C"/>
    <w:rsid w:val="00F64E72"/>
    <w:rsid w:val="00F734D9"/>
    <w:rsid w:val="00F73F83"/>
    <w:rsid w:val="00F74902"/>
    <w:rsid w:val="00F77A88"/>
    <w:rsid w:val="00F82E83"/>
    <w:rsid w:val="00F85A4E"/>
    <w:rsid w:val="00F9353A"/>
    <w:rsid w:val="00F965C2"/>
    <w:rsid w:val="00FA27D4"/>
    <w:rsid w:val="00FA5A79"/>
    <w:rsid w:val="00FB0BFE"/>
    <w:rsid w:val="00FB4300"/>
    <w:rsid w:val="00FB4C51"/>
    <w:rsid w:val="00FB734D"/>
    <w:rsid w:val="00FD02A2"/>
    <w:rsid w:val="00FD343C"/>
    <w:rsid w:val="00FD5E64"/>
    <w:rsid w:val="00FD7985"/>
    <w:rsid w:val="00FE6526"/>
    <w:rsid w:val="00FF1DBD"/>
    <w:rsid w:val="00FF1E4B"/>
    <w:rsid w:val="00FF3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oNotEmbedSmartTags/>
  <w:decimalSymbol w:val="."/>
  <w:listSeparator w:val=","/>
  <w15:docId w15:val="{B0C2CDD4-1485-4AC1-A709-BF8E3C8F2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87D"/>
    <w:pPr>
      <w:suppressAutoHyphens/>
      <w:kinsoku w:val="0"/>
      <w:overflowPunct w:val="0"/>
      <w:autoSpaceDE w:val="0"/>
      <w:autoSpaceDN w:val="0"/>
      <w:adjustRightInd w:val="0"/>
      <w:snapToGrid w:val="0"/>
      <w:spacing w:line="240" w:lineRule="atLeast"/>
    </w:pPr>
    <w:rPr>
      <w:rFonts w:eastAsia="Calibri"/>
      <w:lang w:val="fr-CH"/>
    </w:rPr>
  </w:style>
  <w:style w:type="paragraph" w:styleId="Heading1">
    <w:name w:val="heading 1"/>
    <w:aliases w:val="Table_G"/>
    <w:basedOn w:val="SingleTxtG"/>
    <w:next w:val="SingleTxtG"/>
    <w:link w:val="Heading1Char"/>
    <w:qFormat/>
    <w:rsid w:val="0048687D"/>
    <w:pPr>
      <w:keepNext/>
      <w:keepLines/>
      <w:spacing w:after="0" w:line="240" w:lineRule="auto"/>
      <w:ind w:right="0"/>
      <w:jc w:val="left"/>
      <w:outlineLvl w:val="0"/>
    </w:pPr>
  </w:style>
  <w:style w:type="paragraph" w:styleId="Heading2">
    <w:name w:val="heading 2"/>
    <w:basedOn w:val="Normal"/>
    <w:next w:val="Normal"/>
    <w:link w:val="Heading2Char"/>
    <w:qFormat/>
    <w:rsid w:val="0048687D"/>
    <w:pPr>
      <w:outlineLvl w:val="1"/>
    </w:pPr>
  </w:style>
  <w:style w:type="paragraph" w:styleId="Heading3">
    <w:name w:val="heading 3"/>
    <w:basedOn w:val="Normal"/>
    <w:next w:val="Normal"/>
    <w:link w:val="Heading3Char"/>
    <w:qFormat/>
    <w:rsid w:val="0048687D"/>
    <w:pPr>
      <w:outlineLvl w:val="2"/>
    </w:pPr>
  </w:style>
  <w:style w:type="paragraph" w:styleId="Heading4">
    <w:name w:val="heading 4"/>
    <w:basedOn w:val="Normal"/>
    <w:next w:val="Normal"/>
    <w:link w:val="Heading4Char"/>
    <w:qFormat/>
    <w:rsid w:val="0048687D"/>
    <w:pPr>
      <w:outlineLvl w:val="3"/>
    </w:pPr>
  </w:style>
  <w:style w:type="paragraph" w:styleId="Heading5">
    <w:name w:val="heading 5"/>
    <w:basedOn w:val="Normal"/>
    <w:next w:val="Normal"/>
    <w:link w:val="Heading5Char"/>
    <w:qFormat/>
    <w:rsid w:val="0048687D"/>
    <w:pPr>
      <w:outlineLvl w:val="4"/>
    </w:pPr>
  </w:style>
  <w:style w:type="paragraph" w:styleId="Heading6">
    <w:name w:val="heading 6"/>
    <w:basedOn w:val="Normal"/>
    <w:next w:val="Normal"/>
    <w:link w:val="Heading6Char"/>
    <w:qFormat/>
    <w:rsid w:val="0048687D"/>
    <w:pPr>
      <w:outlineLvl w:val="5"/>
    </w:pPr>
  </w:style>
  <w:style w:type="paragraph" w:styleId="Heading7">
    <w:name w:val="heading 7"/>
    <w:basedOn w:val="Normal"/>
    <w:next w:val="Normal"/>
    <w:link w:val="Heading7Char"/>
    <w:qFormat/>
    <w:rsid w:val="0048687D"/>
    <w:pPr>
      <w:outlineLvl w:val="6"/>
    </w:pPr>
  </w:style>
  <w:style w:type="paragraph" w:styleId="Heading8">
    <w:name w:val="heading 8"/>
    <w:basedOn w:val="Normal"/>
    <w:next w:val="Normal"/>
    <w:link w:val="Heading8Char"/>
    <w:qFormat/>
    <w:rsid w:val="0048687D"/>
    <w:pPr>
      <w:outlineLvl w:val="7"/>
    </w:pPr>
  </w:style>
  <w:style w:type="paragraph" w:styleId="Heading9">
    <w:name w:val="heading 9"/>
    <w:basedOn w:val="Normal"/>
    <w:next w:val="Normal"/>
    <w:link w:val="Heading9Char"/>
    <w:qFormat/>
    <w:rsid w:val="0048687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48687D"/>
    <w:pPr>
      <w:spacing w:after="120"/>
      <w:ind w:left="1134" w:right="1134"/>
      <w:jc w:val="both"/>
    </w:pPr>
  </w:style>
  <w:style w:type="paragraph" w:styleId="EndnoteText">
    <w:name w:val="endnote text"/>
    <w:aliases w:val="2_G"/>
    <w:basedOn w:val="FootnoteText"/>
    <w:link w:val="EndnoteTextChar"/>
    <w:qFormat/>
    <w:rsid w:val="0048687D"/>
  </w:style>
  <w:style w:type="paragraph" w:styleId="FootnoteText">
    <w:name w:val="footnote text"/>
    <w:aliases w:val="5_G"/>
    <w:basedOn w:val="Normal"/>
    <w:link w:val="FootnoteTextChar"/>
    <w:qFormat/>
    <w:rsid w:val="0048687D"/>
    <w:pPr>
      <w:tabs>
        <w:tab w:val="right" w:pos="1021"/>
      </w:tabs>
      <w:spacing w:line="220" w:lineRule="exact"/>
      <w:ind w:left="1134" w:right="1134" w:hanging="1134"/>
    </w:pPr>
    <w:rPr>
      <w:sz w:val="18"/>
    </w:rPr>
  </w:style>
  <w:style w:type="paragraph" w:styleId="Footer">
    <w:name w:val="footer"/>
    <w:aliases w:val="3_G"/>
    <w:basedOn w:val="Normal"/>
    <w:next w:val="Normal"/>
    <w:link w:val="FooterChar"/>
    <w:uiPriority w:val="99"/>
    <w:qFormat/>
    <w:rsid w:val="0048687D"/>
    <w:pPr>
      <w:spacing w:line="240" w:lineRule="auto"/>
    </w:pPr>
    <w:rPr>
      <w:sz w:val="16"/>
    </w:rPr>
  </w:style>
  <w:style w:type="character" w:styleId="EndnoteReference">
    <w:name w:val="endnote reference"/>
    <w:aliases w:val="1_G"/>
    <w:qFormat/>
    <w:rsid w:val="0048687D"/>
    <w:rPr>
      <w:rFonts w:ascii="Times New Roman" w:hAnsi="Times New Roman"/>
      <w:sz w:val="18"/>
      <w:vertAlign w:val="superscript"/>
      <w:lang w:val="fr-CH"/>
    </w:rPr>
  </w:style>
  <w:style w:type="character" w:styleId="FootnoteReference">
    <w:name w:val="footnote reference"/>
    <w:aliases w:val="4_G,(Footnote Reference),-E Fußnotenzeichen,BVI fnr, BVI fnr,Footnote symbol,Footnote,Footnote Reference Superscript,SUPERS"/>
    <w:qFormat/>
    <w:rsid w:val="0048687D"/>
    <w:rPr>
      <w:rFonts w:ascii="Times New Roman" w:hAnsi="Times New Roman"/>
      <w:sz w:val="18"/>
      <w:vertAlign w:val="superscript"/>
      <w:lang w:val="fr-CH"/>
    </w:rPr>
  </w:style>
  <w:style w:type="character" w:styleId="PageNumber">
    <w:name w:val="page number"/>
    <w:aliases w:val="7_G"/>
    <w:qFormat/>
    <w:rsid w:val="0048687D"/>
    <w:rPr>
      <w:rFonts w:ascii="Times New Roman" w:hAnsi="Times New Roman"/>
      <w:b/>
      <w:sz w:val="18"/>
      <w:lang w:val="fr-CH"/>
    </w:rPr>
  </w:style>
  <w:style w:type="paragraph" w:styleId="Header">
    <w:name w:val="header"/>
    <w:aliases w:val="6_G"/>
    <w:basedOn w:val="Normal"/>
    <w:next w:val="Normal"/>
    <w:link w:val="HeaderChar"/>
    <w:qFormat/>
    <w:rsid w:val="0048687D"/>
    <w:pPr>
      <w:pBdr>
        <w:bottom w:val="single" w:sz="4" w:space="4" w:color="auto"/>
      </w:pBdr>
      <w:spacing w:line="240" w:lineRule="auto"/>
    </w:pPr>
    <w:rPr>
      <w:b/>
      <w:sz w:val="18"/>
    </w:rPr>
  </w:style>
  <w:style w:type="paragraph" w:customStyle="1" w:styleId="H1G">
    <w:name w:val="_ H_1_G"/>
    <w:basedOn w:val="Normal"/>
    <w:next w:val="Normal"/>
    <w:link w:val="H1GChar"/>
    <w:qFormat/>
    <w:rsid w:val="0048687D"/>
    <w:pPr>
      <w:keepNext/>
      <w:keepLines/>
      <w:tabs>
        <w:tab w:val="right" w:pos="851"/>
      </w:tabs>
      <w:spacing w:before="360" w:after="240" w:line="270" w:lineRule="exact"/>
      <w:ind w:left="1134" w:right="1134" w:hanging="1134"/>
    </w:pPr>
    <w:rPr>
      <w:b/>
      <w:sz w:val="24"/>
    </w:rPr>
  </w:style>
  <w:style w:type="paragraph" w:customStyle="1" w:styleId="HChG">
    <w:name w:val="_ H _Ch_G"/>
    <w:basedOn w:val="Normal"/>
    <w:next w:val="Normal"/>
    <w:link w:val="HChGChar"/>
    <w:qFormat/>
    <w:rsid w:val="0048687D"/>
    <w:pPr>
      <w:keepNext/>
      <w:keepLines/>
      <w:tabs>
        <w:tab w:val="right" w:pos="851"/>
      </w:tabs>
      <w:spacing w:before="360" w:after="240" w:line="300" w:lineRule="exact"/>
      <w:ind w:left="1134" w:right="1134" w:hanging="1134"/>
    </w:pPr>
    <w:rPr>
      <w:b/>
      <w:sz w:val="28"/>
    </w:rPr>
  </w:style>
  <w:style w:type="paragraph" w:customStyle="1" w:styleId="HMG">
    <w:name w:val="_ H __M_G"/>
    <w:basedOn w:val="Normal"/>
    <w:next w:val="Normal"/>
    <w:qFormat/>
    <w:rsid w:val="0048687D"/>
    <w:pPr>
      <w:keepNext/>
      <w:keepLines/>
      <w:tabs>
        <w:tab w:val="right" w:pos="851"/>
      </w:tabs>
      <w:spacing w:before="240" w:after="240" w:line="360" w:lineRule="exact"/>
      <w:ind w:left="1134" w:right="1134" w:hanging="1134"/>
    </w:pPr>
    <w:rPr>
      <w:b/>
      <w:sz w:val="34"/>
    </w:rPr>
  </w:style>
  <w:style w:type="paragraph" w:customStyle="1" w:styleId="H23G">
    <w:name w:val="_ H_2/3_G"/>
    <w:basedOn w:val="Normal"/>
    <w:next w:val="Normal"/>
    <w:qFormat/>
    <w:rsid w:val="0048687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8687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8687D"/>
    <w:pPr>
      <w:keepNext/>
      <w:keepLines/>
      <w:tabs>
        <w:tab w:val="right" w:pos="851"/>
      </w:tabs>
      <w:spacing w:before="240" w:after="120" w:line="240" w:lineRule="exact"/>
      <w:ind w:left="1134" w:right="1134" w:hanging="1134"/>
    </w:pPr>
  </w:style>
  <w:style w:type="paragraph" w:customStyle="1" w:styleId="SMG">
    <w:name w:val="__S_M_G"/>
    <w:basedOn w:val="Normal"/>
    <w:next w:val="Normal"/>
    <w:rsid w:val="0048687D"/>
    <w:pPr>
      <w:keepNext/>
      <w:keepLines/>
      <w:spacing w:before="240" w:after="240" w:line="420" w:lineRule="exact"/>
      <w:ind w:left="1134" w:right="1134"/>
    </w:pPr>
    <w:rPr>
      <w:b/>
      <w:sz w:val="40"/>
    </w:rPr>
  </w:style>
  <w:style w:type="paragraph" w:customStyle="1" w:styleId="SLG">
    <w:name w:val="__S_L_G"/>
    <w:basedOn w:val="Normal"/>
    <w:next w:val="Normal"/>
    <w:rsid w:val="0048687D"/>
    <w:pPr>
      <w:keepNext/>
      <w:keepLines/>
      <w:spacing w:before="240" w:after="240" w:line="580" w:lineRule="exact"/>
      <w:ind w:left="1134" w:right="1134"/>
    </w:pPr>
    <w:rPr>
      <w:b/>
      <w:sz w:val="56"/>
    </w:rPr>
  </w:style>
  <w:style w:type="paragraph" w:customStyle="1" w:styleId="SSG">
    <w:name w:val="__S_S_G"/>
    <w:basedOn w:val="Normal"/>
    <w:next w:val="Normal"/>
    <w:rsid w:val="0048687D"/>
    <w:pPr>
      <w:keepNext/>
      <w:keepLines/>
      <w:spacing w:before="240" w:after="240" w:line="300" w:lineRule="exact"/>
      <w:ind w:left="1134" w:right="1134"/>
    </w:pPr>
    <w:rPr>
      <w:b/>
      <w:sz w:val="28"/>
    </w:rPr>
  </w:style>
  <w:style w:type="paragraph" w:customStyle="1" w:styleId="XLargeG">
    <w:name w:val="__XLarge_G"/>
    <w:basedOn w:val="Normal"/>
    <w:next w:val="Normal"/>
    <w:rsid w:val="0048687D"/>
    <w:pPr>
      <w:keepNext/>
      <w:keepLines/>
      <w:spacing w:before="240" w:after="240" w:line="420" w:lineRule="exact"/>
      <w:ind w:left="1134" w:right="1134"/>
    </w:pPr>
    <w:rPr>
      <w:b/>
      <w:sz w:val="40"/>
    </w:rPr>
  </w:style>
  <w:style w:type="paragraph" w:customStyle="1" w:styleId="Bullet1G">
    <w:name w:val="_Bullet 1_G"/>
    <w:basedOn w:val="Normal"/>
    <w:qFormat/>
    <w:rsid w:val="0048687D"/>
    <w:pPr>
      <w:numPr>
        <w:numId w:val="4"/>
      </w:numPr>
      <w:spacing w:after="120"/>
      <w:ind w:right="1134"/>
      <w:jc w:val="both"/>
    </w:pPr>
  </w:style>
  <w:style w:type="paragraph" w:customStyle="1" w:styleId="Bullet2G">
    <w:name w:val="_Bullet 2_G"/>
    <w:basedOn w:val="Normal"/>
    <w:qFormat/>
    <w:rsid w:val="0048687D"/>
    <w:pPr>
      <w:numPr>
        <w:numId w:val="5"/>
      </w:numPr>
      <w:spacing w:after="120"/>
      <w:ind w:right="1134"/>
      <w:jc w:val="both"/>
    </w:pPr>
  </w:style>
  <w:style w:type="table" w:styleId="TableGrid">
    <w:name w:val="Table Grid"/>
    <w:basedOn w:val="TableNormal"/>
    <w:rsid w:val="0048687D"/>
    <w:pPr>
      <w:suppressAutoHyphens/>
      <w:spacing w:line="240" w:lineRule="atLeast"/>
    </w:pPr>
    <w:rPr>
      <w:rFonts w:eastAsia="Calibr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421A10"/>
    <w:rPr>
      <w:rFonts w:eastAsia="Calibri"/>
      <w:lang w:val="fr-CH"/>
    </w:rPr>
  </w:style>
  <w:style w:type="character" w:styleId="Hyperlink">
    <w:name w:val="Hyperlink"/>
    <w:unhideWhenUsed/>
    <w:rsid w:val="0048687D"/>
    <w:rPr>
      <w:color w:val="0000FF"/>
      <w:u w:val="none"/>
    </w:rPr>
  </w:style>
  <w:style w:type="character" w:styleId="FollowedHyperlink">
    <w:name w:val="FollowedHyperlink"/>
    <w:unhideWhenUsed/>
    <w:rsid w:val="0048687D"/>
    <w:rPr>
      <w:color w:val="0000FF"/>
      <w:u w:val="none"/>
    </w:rPr>
  </w:style>
  <w:style w:type="paragraph" w:customStyle="1" w:styleId="ParNoG">
    <w:name w:val="_ParNo_G"/>
    <w:basedOn w:val="Normal"/>
    <w:qFormat/>
    <w:rsid w:val="0048687D"/>
    <w:pPr>
      <w:numPr>
        <w:numId w:val="6"/>
      </w:numPr>
      <w:spacing w:after="120"/>
      <w:ind w:right="1134"/>
      <w:jc w:val="both"/>
    </w:pPr>
  </w:style>
  <w:style w:type="character" w:customStyle="1" w:styleId="HeaderChar">
    <w:name w:val="Header Char"/>
    <w:aliases w:val="6_G Char"/>
    <w:link w:val="Header"/>
    <w:rsid w:val="0048687D"/>
    <w:rPr>
      <w:rFonts w:eastAsia="Calibri"/>
      <w:b/>
      <w:sz w:val="18"/>
      <w:lang w:val="fr-CH"/>
    </w:rPr>
  </w:style>
  <w:style w:type="character" w:customStyle="1" w:styleId="FootnoteTextChar">
    <w:name w:val="Footnote Text Char"/>
    <w:aliases w:val="5_G Char"/>
    <w:link w:val="FootnoteText"/>
    <w:rsid w:val="0048687D"/>
    <w:rPr>
      <w:rFonts w:eastAsia="Calibri"/>
      <w:sz w:val="18"/>
      <w:lang w:val="fr-CH"/>
    </w:rPr>
  </w:style>
  <w:style w:type="character" w:customStyle="1" w:styleId="EndnoteTextChar">
    <w:name w:val="Endnote Text Char"/>
    <w:aliases w:val="2_G Char"/>
    <w:link w:val="EndnoteText"/>
    <w:rsid w:val="0048687D"/>
    <w:rPr>
      <w:rFonts w:eastAsia="Calibri"/>
      <w:sz w:val="18"/>
      <w:lang w:val="fr-CH"/>
    </w:rPr>
  </w:style>
  <w:style w:type="character" w:customStyle="1" w:styleId="FooterChar">
    <w:name w:val="Footer Char"/>
    <w:aliases w:val="3_G Char"/>
    <w:link w:val="Footer"/>
    <w:uiPriority w:val="99"/>
    <w:rsid w:val="0048687D"/>
    <w:rPr>
      <w:rFonts w:eastAsia="Calibri"/>
      <w:sz w:val="16"/>
      <w:lang w:val="fr-CH"/>
    </w:rPr>
  </w:style>
  <w:style w:type="character" w:customStyle="1" w:styleId="Heading1Char">
    <w:name w:val="Heading 1 Char"/>
    <w:aliases w:val="Table_G Char"/>
    <w:link w:val="Heading1"/>
    <w:rsid w:val="0048687D"/>
    <w:rPr>
      <w:rFonts w:eastAsia="Calibri"/>
      <w:lang w:val="fr-CH"/>
    </w:rPr>
  </w:style>
  <w:style w:type="character" w:customStyle="1" w:styleId="Heading2Char">
    <w:name w:val="Heading 2 Char"/>
    <w:link w:val="Heading2"/>
    <w:rsid w:val="0048687D"/>
    <w:rPr>
      <w:rFonts w:eastAsia="Calibri"/>
      <w:lang w:val="fr-CH"/>
    </w:rPr>
  </w:style>
  <w:style w:type="character" w:customStyle="1" w:styleId="Heading3Char">
    <w:name w:val="Heading 3 Char"/>
    <w:link w:val="Heading3"/>
    <w:rsid w:val="0048687D"/>
    <w:rPr>
      <w:rFonts w:eastAsia="Calibri"/>
      <w:lang w:val="fr-CH"/>
    </w:rPr>
  </w:style>
  <w:style w:type="character" w:customStyle="1" w:styleId="Heading4Char">
    <w:name w:val="Heading 4 Char"/>
    <w:link w:val="Heading4"/>
    <w:rsid w:val="0048687D"/>
    <w:rPr>
      <w:rFonts w:eastAsia="Calibri"/>
      <w:lang w:val="fr-CH"/>
    </w:rPr>
  </w:style>
  <w:style w:type="character" w:customStyle="1" w:styleId="Heading5Char">
    <w:name w:val="Heading 5 Char"/>
    <w:link w:val="Heading5"/>
    <w:rsid w:val="0048687D"/>
    <w:rPr>
      <w:rFonts w:eastAsia="Calibri"/>
      <w:lang w:val="fr-CH"/>
    </w:rPr>
  </w:style>
  <w:style w:type="character" w:customStyle="1" w:styleId="Heading6Char">
    <w:name w:val="Heading 6 Char"/>
    <w:link w:val="Heading6"/>
    <w:rsid w:val="0048687D"/>
    <w:rPr>
      <w:rFonts w:eastAsia="Calibri"/>
      <w:lang w:val="fr-CH"/>
    </w:rPr>
  </w:style>
  <w:style w:type="character" w:customStyle="1" w:styleId="Heading7Char">
    <w:name w:val="Heading 7 Char"/>
    <w:link w:val="Heading7"/>
    <w:rsid w:val="0048687D"/>
    <w:rPr>
      <w:rFonts w:eastAsia="Calibri"/>
      <w:lang w:val="fr-CH"/>
    </w:rPr>
  </w:style>
  <w:style w:type="character" w:customStyle="1" w:styleId="Heading8Char">
    <w:name w:val="Heading 8 Char"/>
    <w:link w:val="Heading8"/>
    <w:rsid w:val="0048687D"/>
    <w:rPr>
      <w:rFonts w:eastAsia="Calibri"/>
      <w:lang w:val="fr-CH"/>
    </w:rPr>
  </w:style>
  <w:style w:type="character" w:customStyle="1" w:styleId="Heading9Char">
    <w:name w:val="Heading 9 Char"/>
    <w:link w:val="Heading9"/>
    <w:rsid w:val="0048687D"/>
    <w:rPr>
      <w:rFonts w:eastAsia="Calibri"/>
      <w:lang w:val="fr-CH"/>
    </w:rPr>
  </w:style>
  <w:style w:type="character" w:customStyle="1" w:styleId="H1GChar">
    <w:name w:val="_ H_1_G Char"/>
    <w:link w:val="H1G"/>
    <w:rsid w:val="00AF5971"/>
    <w:rPr>
      <w:rFonts w:eastAsia="Calibri"/>
      <w:b/>
      <w:sz w:val="24"/>
      <w:lang w:val="fr-CH"/>
    </w:rPr>
  </w:style>
  <w:style w:type="character" w:customStyle="1" w:styleId="HChGChar">
    <w:name w:val="_ H _Ch_G Char"/>
    <w:link w:val="HChG"/>
    <w:rsid w:val="00AF5971"/>
    <w:rPr>
      <w:rFonts w:eastAsia="Calibri"/>
      <w:b/>
      <w:sz w:val="28"/>
      <w:lang w:val="fr-CH"/>
    </w:rPr>
  </w:style>
  <w:style w:type="paragraph" w:customStyle="1" w:styleId="para">
    <w:name w:val="para"/>
    <w:basedOn w:val="SingleTxtG"/>
    <w:qFormat/>
    <w:rsid w:val="003E7562"/>
    <w:pPr>
      <w:kinsoku/>
      <w:overflowPunct/>
      <w:autoSpaceDE/>
      <w:autoSpaceDN/>
      <w:adjustRightInd/>
      <w:snapToGrid/>
      <w:ind w:left="2268" w:hanging="1134"/>
    </w:pPr>
    <w:rPr>
      <w:rFonts w:eastAsia="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oleObject" Target="embeddings/oleObject3.bin"/><Relationship Id="rId39" Type="http://schemas.openxmlformats.org/officeDocument/2006/relationships/image" Target="media/image13.wmf"/><Relationship Id="rId21" Type="http://schemas.openxmlformats.org/officeDocument/2006/relationships/header" Target="header7.xml"/><Relationship Id="rId34" Type="http://schemas.openxmlformats.org/officeDocument/2006/relationships/oleObject" Target="embeddings/oleObject6.bin"/><Relationship Id="rId42" Type="http://schemas.openxmlformats.org/officeDocument/2006/relationships/header" Target="header14.xml"/><Relationship Id="rId47" Type="http://schemas.openxmlformats.org/officeDocument/2006/relationships/image" Target="media/image17.jpeg"/><Relationship Id="rId50" Type="http://schemas.openxmlformats.org/officeDocument/2006/relationships/header" Target="header16.xml"/><Relationship Id="rId55" Type="http://schemas.openxmlformats.org/officeDocument/2006/relationships/header" Target="header19.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header" Target="header9.xml"/><Relationship Id="rId11" Type="http://schemas.openxmlformats.org/officeDocument/2006/relationships/footer" Target="footer2.xml"/><Relationship Id="rId24" Type="http://schemas.openxmlformats.org/officeDocument/2006/relationships/oleObject" Target="embeddings/oleObject2.bin"/><Relationship Id="rId32" Type="http://schemas.openxmlformats.org/officeDocument/2006/relationships/oleObject" Target="embeddings/oleObject5.bin"/><Relationship Id="rId37" Type="http://schemas.openxmlformats.org/officeDocument/2006/relationships/image" Target="media/image12.wmf"/><Relationship Id="rId40" Type="http://schemas.openxmlformats.org/officeDocument/2006/relationships/oleObject" Target="embeddings/oleObject8.bin"/><Relationship Id="rId45" Type="http://schemas.openxmlformats.org/officeDocument/2006/relationships/image" Target="media/image15.emf"/><Relationship Id="rId53" Type="http://schemas.openxmlformats.org/officeDocument/2006/relationships/image" Target="media/image19.wmf"/><Relationship Id="rId58" Type="http://schemas.openxmlformats.org/officeDocument/2006/relationships/header" Target="header22.xml"/><Relationship Id="rId5" Type="http://schemas.openxmlformats.org/officeDocument/2006/relationships/webSettings" Target="webSettings.xml"/><Relationship Id="rId61" Type="http://schemas.openxmlformats.org/officeDocument/2006/relationships/header" Target="header25.xml"/><Relationship Id="rId19" Type="http://schemas.openxmlformats.org/officeDocument/2006/relationships/image" Target="media/image5.png"/><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9.emf"/><Relationship Id="rId30" Type="http://schemas.openxmlformats.org/officeDocument/2006/relationships/header" Target="header10.xml"/><Relationship Id="rId35" Type="http://schemas.openxmlformats.org/officeDocument/2006/relationships/header" Target="header11.xml"/><Relationship Id="rId43" Type="http://schemas.openxmlformats.org/officeDocument/2006/relationships/image" Target="media/image14.wmf"/><Relationship Id="rId48" Type="http://schemas.openxmlformats.org/officeDocument/2006/relationships/image" Target="media/image18.jpeg"/><Relationship Id="rId56" Type="http://schemas.openxmlformats.org/officeDocument/2006/relationships/header" Target="header20.xm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17.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8.emf"/><Relationship Id="rId33" Type="http://schemas.openxmlformats.org/officeDocument/2006/relationships/image" Target="media/image11.wmf"/><Relationship Id="rId38" Type="http://schemas.openxmlformats.org/officeDocument/2006/relationships/oleObject" Target="embeddings/oleObject7.bin"/><Relationship Id="rId46" Type="http://schemas.openxmlformats.org/officeDocument/2006/relationships/image" Target="media/image16.jpeg"/><Relationship Id="rId59" Type="http://schemas.openxmlformats.org/officeDocument/2006/relationships/header" Target="header23.xml"/><Relationship Id="rId20" Type="http://schemas.openxmlformats.org/officeDocument/2006/relationships/image" Target="media/image6.png"/><Relationship Id="rId41" Type="http://schemas.openxmlformats.org/officeDocument/2006/relationships/header" Target="header13.xml"/><Relationship Id="rId54" Type="http://schemas.openxmlformats.org/officeDocument/2006/relationships/oleObject" Target="embeddings/oleObject10.bin"/><Relationship Id="rId62"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7.emf"/><Relationship Id="rId28" Type="http://schemas.openxmlformats.org/officeDocument/2006/relationships/oleObject" Target="embeddings/oleObject4.bin"/><Relationship Id="rId36" Type="http://schemas.openxmlformats.org/officeDocument/2006/relationships/header" Target="header12.xml"/><Relationship Id="rId49" Type="http://schemas.openxmlformats.org/officeDocument/2006/relationships/header" Target="header15.xml"/><Relationship Id="rId57" Type="http://schemas.openxmlformats.org/officeDocument/2006/relationships/header" Target="header21.xml"/><Relationship Id="rId10" Type="http://schemas.openxmlformats.org/officeDocument/2006/relationships/footer" Target="footer1.xml"/><Relationship Id="rId31" Type="http://schemas.openxmlformats.org/officeDocument/2006/relationships/image" Target="media/image10.wmf"/><Relationship Id="rId44" Type="http://schemas.openxmlformats.org/officeDocument/2006/relationships/oleObject" Target="embeddings/oleObject9.bin"/><Relationship Id="rId52" Type="http://schemas.openxmlformats.org/officeDocument/2006/relationships/header" Target="header18.xml"/><Relationship Id="rId60" Type="http://schemas.openxmlformats.org/officeDocument/2006/relationships/header" Target="header24.xml"/><Relationship Id="rId4" Type="http://schemas.openxmlformats.org/officeDocument/2006/relationships/settings" Target="settings.xml"/><Relationship Id="rId9" Type="http://schemas.openxmlformats.org/officeDocument/2006/relationships/header" Target="header2.xml"/></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8C9F5-6A6E-412D-A94F-BFE4EC897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11575</Words>
  <Characters>65983</Characters>
  <Application>Microsoft Office Word</Application>
  <DocSecurity>0</DocSecurity>
  <Lines>549</Lines>
  <Paragraphs>154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E/ECE/324/Rev.1/Add.26/Rev.2</vt:lpstr>
      <vt:lpstr>E/ECE/324/Rev.1/Add.26/Rev.2</vt:lpstr>
    </vt:vector>
  </TitlesOfParts>
  <Company>CSD</Company>
  <LinksUpToDate>false</LinksUpToDate>
  <CharactersWithSpaces>77404</CharactersWithSpaces>
  <SharedDoc>false</SharedDoc>
  <HLinks>
    <vt:vector size="6" baseType="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E/ECE/324/Rev.1/Add.26/Rev.2</dc:title>
  <dc:subject>FINAL</dc:subject>
  <dc:creator>Nath V.</dc:creator>
  <cp:lastModifiedBy>Lucille</cp:lastModifiedBy>
  <cp:revision>2</cp:revision>
  <cp:lastPrinted>2015-04-13T08:45:00Z</cp:lastPrinted>
  <dcterms:created xsi:type="dcterms:W3CDTF">2017-01-09T17:30:00Z</dcterms:created>
  <dcterms:modified xsi:type="dcterms:W3CDTF">2017-01-09T17:30:00Z</dcterms:modified>
</cp:coreProperties>
</file>