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E4FA6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52E4" w:rsidRPr="001E4FA6" w:rsidRDefault="004F52E4" w:rsidP="004F52E4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1E4FA6">
              <w:rPr>
                <w:sz w:val="40"/>
                <w:lang w:val="en-GB"/>
              </w:rPr>
              <w:t>E</w:t>
            </w:r>
            <w:r w:rsidRPr="001E4FA6">
              <w:rPr>
                <w:lang w:val="en-GB"/>
              </w:rPr>
              <w:t>/ECE/324/Rev.1/Add.15/Rev.8/Amend.1−</w:t>
            </w:r>
            <w:r w:rsidRPr="001E4FA6">
              <w:rPr>
                <w:sz w:val="40"/>
                <w:lang w:val="en-GB"/>
              </w:rPr>
              <w:t>E</w:t>
            </w:r>
            <w:r w:rsidRPr="001E4FA6">
              <w:rPr>
                <w:lang w:val="en-GB"/>
              </w:rPr>
              <w:t>/ECE/TRANS/505/Rev.1/Add.15/Rev.8/Amend.1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E4FA6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F52E4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335D11">
      <w:pPr>
        <w:pStyle w:val="HChG"/>
        <w:spacing w:before="280" w:after="160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F22483">
      <w:pPr>
        <w:pStyle w:val="H1G"/>
        <w:spacing w:before="280" w:after="120" w:line="250" w:lineRule="exact"/>
      </w:pPr>
      <w:r>
        <w:tab/>
      </w:r>
      <w:r>
        <w:tab/>
      </w:r>
      <w:r w:rsidR="00421A10" w:rsidRPr="00583D68">
        <w:t>Concernant l</w:t>
      </w:r>
      <w:r w:rsidR="003305BC">
        <w:t>’</w:t>
      </w:r>
      <w:r w:rsidR="00421A10" w:rsidRPr="00583D68">
        <w:t>adoption de prescriptions techniques uniformes applicables aux véhicules à roues, aux équipements et aux pièces susceptibles d</w:t>
      </w:r>
      <w:r w:rsidR="003305BC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FB5C83" w:rsidRDefault="00421A10" w:rsidP="00FB5C83">
      <w:pPr>
        <w:pStyle w:val="SingleTxtG"/>
        <w:spacing w:after="100" w:line="200" w:lineRule="atLeast"/>
        <w:jc w:val="left"/>
        <w:rPr>
          <w:b/>
        </w:rPr>
      </w:pPr>
      <w:r w:rsidRPr="006549FF">
        <w:t xml:space="preserve">(Révision </w:t>
      </w:r>
      <w:r w:rsidR="004F52E4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76D70">
      <w:pPr>
        <w:spacing w:line="180" w:lineRule="atLeast"/>
        <w:jc w:val="center"/>
      </w:pPr>
      <w:r>
        <w:t>_______________</w:t>
      </w:r>
    </w:p>
    <w:p w:rsidR="00421A10" w:rsidRPr="006549FF" w:rsidRDefault="0029791D" w:rsidP="00276D70">
      <w:pPr>
        <w:pStyle w:val="HChG"/>
        <w:spacing w:before="200" w:after="60" w:line="220" w:lineRule="exact"/>
      </w:pPr>
      <w:r>
        <w:tab/>
      </w:r>
      <w:r>
        <w:tab/>
      </w:r>
      <w:r w:rsidR="00421A10" w:rsidRPr="006549FF">
        <w:t xml:space="preserve">Additif </w:t>
      </w:r>
      <w:r w:rsidR="00235AE7">
        <w:t>15 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35AE7">
        <w:t>16</w:t>
      </w:r>
    </w:p>
    <w:p w:rsidR="00421A10" w:rsidRPr="006549FF" w:rsidRDefault="0029791D" w:rsidP="00F22483">
      <w:pPr>
        <w:pStyle w:val="H1G"/>
        <w:spacing w:before="240" w:after="120" w:line="220" w:lineRule="exact"/>
      </w:pPr>
      <w:r>
        <w:tab/>
      </w:r>
      <w:r>
        <w:tab/>
      </w:r>
      <w:r w:rsidR="00421A10" w:rsidRPr="006549FF">
        <w:t xml:space="preserve">Révision </w:t>
      </w:r>
      <w:r w:rsidR="00235AE7">
        <w:t>8 − Amendement 1</w:t>
      </w:r>
    </w:p>
    <w:p w:rsidR="00421A10" w:rsidRPr="0029791D" w:rsidRDefault="00235AE7" w:rsidP="00335D11">
      <w:pPr>
        <w:pStyle w:val="SingleTxtG"/>
        <w:spacing w:after="80" w:line="200" w:lineRule="atLeast"/>
        <w:jc w:val="left"/>
      </w:pPr>
      <w:r>
        <w:rPr>
          <w:spacing w:val="-2"/>
          <w:lang w:val="fr-FR"/>
        </w:rPr>
        <w:t>Complément </w:t>
      </w:r>
      <w:r w:rsidRPr="00B2218A">
        <w:rPr>
          <w:spacing w:val="-2"/>
          <w:lang w:val="fr-FR"/>
        </w:rPr>
        <w:t xml:space="preserve">6 </w:t>
      </w:r>
      <w:r>
        <w:rPr>
          <w:spacing w:val="-2"/>
          <w:lang w:val="fr-FR"/>
        </w:rPr>
        <w:t>à la série </w:t>
      </w:r>
      <w:r w:rsidRPr="00B2218A">
        <w:rPr>
          <w:spacing w:val="-2"/>
          <w:lang w:val="fr-FR"/>
        </w:rPr>
        <w:t xml:space="preserve">06 </w:t>
      </w:r>
      <w:r>
        <w:rPr>
          <w:spacing w:val="-2"/>
          <w:lang w:val="fr-FR"/>
        </w:rPr>
        <w:t>d</w:t>
      </w:r>
      <w:r w:rsidR="003305BC">
        <w:rPr>
          <w:spacing w:val="-2"/>
          <w:lang w:val="fr-FR"/>
        </w:rPr>
        <w:t>’</w:t>
      </w:r>
      <w:r>
        <w:rPr>
          <w:spacing w:val="-2"/>
          <w:lang w:val="fr-FR"/>
        </w:rPr>
        <w:t>amendements au Règlement −</w:t>
      </w:r>
      <w:r w:rsidRPr="00B2218A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</w:t>
      </w:r>
      <w:r w:rsidR="003305BC">
        <w:rPr>
          <w:spacing w:val="-2"/>
          <w:lang w:val="fr-FR"/>
        </w:rPr>
        <w:t>’</w:t>
      </w:r>
      <w:r>
        <w:rPr>
          <w:spacing w:val="-2"/>
          <w:lang w:val="fr-FR"/>
        </w:rPr>
        <w:t>entrée en vigueur </w:t>
      </w:r>
      <w:r w:rsidRPr="00B2218A">
        <w:rPr>
          <w:spacing w:val="-2"/>
          <w:lang w:val="fr-FR"/>
        </w:rPr>
        <w:t xml:space="preserve">: </w:t>
      </w:r>
      <w:r>
        <w:rPr>
          <w:lang w:val="fr-FR"/>
        </w:rPr>
        <w:t>18 juin </w:t>
      </w:r>
      <w:r w:rsidRPr="00B2218A">
        <w:rPr>
          <w:lang w:val="fr-FR"/>
        </w:rPr>
        <w:t>2016</w:t>
      </w:r>
    </w:p>
    <w:p w:rsidR="00421A10" w:rsidRDefault="0029791D" w:rsidP="006466BF">
      <w:pPr>
        <w:pStyle w:val="H1G"/>
        <w:keepNext w:val="0"/>
        <w:keepLines w:val="0"/>
        <w:spacing w:before="200" w:after="80" w:line="200" w:lineRule="exact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65508A" w:rsidRPr="00B2218A">
        <w:rPr>
          <w:lang w:val="fr-FR"/>
        </w:rPr>
        <w:t>à l</w:t>
      </w:r>
      <w:r w:rsidR="003305BC">
        <w:rPr>
          <w:lang w:val="fr-FR"/>
        </w:rPr>
        <w:t>’</w:t>
      </w:r>
      <w:r w:rsidR="0065508A" w:rsidRPr="00B2218A">
        <w:rPr>
          <w:lang w:val="fr-FR"/>
        </w:rPr>
        <w:t>homologation des</w:t>
      </w:r>
      <w:r w:rsidR="0065508A">
        <w:rPr>
          <w:lang w:val="fr-FR"/>
        </w:rPr>
        <w:t> :</w:t>
      </w:r>
    </w:p>
    <w:p w:rsidR="0065508A" w:rsidRPr="00B2218A" w:rsidRDefault="0065508A" w:rsidP="006466BF">
      <w:pPr>
        <w:pStyle w:val="H1G"/>
        <w:keepNext w:val="0"/>
        <w:keepLines w:val="0"/>
        <w:tabs>
          <w:tab w:val="clear" w:pos="851"/>
        </w:tabs>
        <w:spacing w:before="160" w:after="80" w:line="220" w:lineRule="exact"/>
        <w:ind w:left="1701" w:hanging="567"/>
        <w:rPr>
          <w:lang w:val="fr-FR"/>
        </w:rPr>
      </w:pPr>
      <w:r w:rsidRPr="00B2218A">
        <w:rPr>
          <w:lang w:val="fr-FR"/>
        </w:rPr>
        <w:t>I.</w:t>
      </w:r>
      <w:r w:rsidRPr="00B2218A">
        <w:rPr>
          <w:lang w:val="fr-FR"/>
        </w:rPr>
        <w:tab/>
      </w:r>
      <w:r w:rsidRPr="0065508A">
        <w:t>Ceintures</w:t>
      </w:r>
      <w:r w:rsidRPr="00B2218A">
        <w:rPr>
          <w:lang w:val="fr-FR"/>
        </w:rPr>
        <w:t xml:space="preserve"> de sécurité, systèmes de retenue</w:t>
      </w:r>
      <w:r>
        <w:rPr>
          <w:lang w:val="fr-FR"/>
        </w:rPr>
        <w:t xml:space="preserve">, dispositifs de retenue </w:t>
      </w:r>
      <w:r>
        <w:rPr>
          <w:lang w:val="fr-FR"/>
        </w:rPr>
        <w:br/>
        <w:t xml:space="preserve">pour enfants et dispositifs de retenue pour enfants ISOFIX </w:t>
      </w:r>
      <w:r>
        <w:rPr>
          <w:lang w:val="fr-FR"/>
        </w:rPr>
        <w:br/>
        <w:t>pour les occupants des véhicules à moteur</w:t>
      </w:r>
    </w:p>
    <w:p w:rsidR="0065508A" w:rsidRDefault="0065508A" w:rsidP="006466BF">
      <w:pPr>
        <w:pStyle w:val="H1G"/>
        <w:keepNext w:val="0"/>
        <w:keepLines w:val="0"/>
        <w:spacing w:before="160" w:after="80" w:line="220" w:lineRule="exact"/>
        <w:ind w:left="1701" w:hanging="567"/>
        <w:rPr>
          <w:spacing w:val="-2"/>
          <w:lang w:val="fr-FR"/>
        </w:rPr>
      </w:pPr>
      <w:r w:rsidRPr="00B2218A">
        <w:rPr>
          <w:lang w:val="fr-FR"/>
        </w:rPr>
        <w:t>II.</w:t>
      </w:r>
      <w:r w:rsidRPr="00B2218A">
        <w:rPr>
          <w:lang w:val="fr-FR"/>
        </w:rPr>
        <w:tab/>
      </w:r>
      <w:r>
        <w:rPr>
          <w:lang w:val="fr-FR"/>
        </w:rPr>
        <w:t xml:space="preserve">Véhicules équipés de ceintures de sécurité, témoins de port de ceinture, systèmes de retenue, dispositifs de retenue pour enfants, dispositifs de </w:t>
      </w:r>
      <w:r w:rsidRPr="0065508A">
        <w:rPr>
          <w:spacing w:val="-2"/>
          <w:lang w:val="fr-FR"/>
        </w:rPr>
        <w:t>retenue pour enfants ISOFIX et dispositifs de retenue pour enfants i-Size</w:t>
      </w:r>
    </w:p>
    <w:p w:rsidR="00276D70" w:rsidRDefault="00235AE7" w:rsidP="00FB5C83">
      <w:pPr>
        <w:pStyle w:val="SingleTxtG"/>
        <w:spacing w:after="100" w:line="200" w:lineRule="atLeast"/>
        <w:rPr>
          <w:spacing w:val="2"/>
          <w:lang w:val="fr-FR"/>
        </w:rPr>
      </w:pPr>
      <w:r w:rsidRPr="00235AE7">
        <w:rPr>
          <w:spacing w:val="-2"/>
        </w:rPr>
        <w:lastRenderedPageBreak/>
        <w:t>Le présent document est communiqué uniquement à titre d</w:t>
      </w:r>
      <w:r w:rsidR="003305BC">
        <w:rPr>
          <w:spacing w:val="-2"/>
        </w:rPr>
        <w:t>’</w:t>
      </w:r>
      <w:r w:rsidRPr="00235AE7">
        <w:rPr>
          <w:spacing w:val="-2"/>
        </w:rPr>
        <w:t>information. Le texte authentique,</w:t>
      </w:r>
      <w:r w:rsidRPr="003B046B">
        <w:rPr>
          <w:spacing w:val="2"/>
        </w:rPr>
        <w:t xml:space="preserve"> juridiquement contraignant, est celui du document </w:t>
      </w:r>
      <w:r w:rsidRPr="003B046B">
        <w:rPr>
          <w:spacing w:val="2"/>
          <w:lang w:val="fr-FR"/>
        </w:rPr>
        <w:t>ECE/TRANS/WP.29/201</w:t>
      </w:r>
      <w:r>
        <w:rPr>
          <w:spacing w:val="2"/>
          <w:lang w:val="fr-FR"/>
        </w:rPr>
        <w:t>5</w:t>
      </w:r>
      <w:r w:rsidRPr="003B046B">
        <w:rPr>
          <w:spacing w:val="2"/>
          <w:lang w:val="fr-FR"/>
        </w:rPr>
        <w:t>/</w:t>
      </w:r>
      <w:r>
        <w:rPr>
          <w:spacing w:val="2"/>
          <w:lang w:val="fr-FR"/>
        </w:rPr>
        <w:t>93.</w:t>
      </w:r>
    </w:p>
    <w:p w:rsidR="00276D70" w:rsidRPr="00276D70" w:rsidRDefault="00276D70" w:rsidP="00276D70">
      <w:pPr>
        <w:pStyle w:val="SingleTxtG"/>
        <w:rPr>
          <w:i/>
          <w:lang w:val="fr-FR"/>
        </w:rPr>
      </w:pPr>
      <w:r>
        <w:rPr>
          <w:lang w:val="fr-FR"/>
        </w:rPr>
        <w:br w:type="page"/>
      </w:r>
      <w:r w:rsidRPr="00276D70">
        <w:rPr>
          <w:i/>
          <w:lang w:val="fr-FR"/>
        </w:rPr>
        <w:lastRenderedPageBreak/>
        <w:t>Paragraphe 6.2.2.2</w:t>
      </w:r>
      <w:r w:rsidRPr="00276D70">
        <w:rPr>
          <w:lang w:val="fr-FR"/>
        </w:rPr>
        <w:t xml:space="preserve">, </w:t>
      </w:r>
      <w:r w:rsidR="00914AB5">
        <w:rPr>
          <w:lang w:val="fr-FR"/>
        </w:rPr>
        <w:t>lire</w:t>
      </w:r>
      <w:r w:rsidRPr="00276D70">
        <w:rPr>
          <w:lang w:val="fr-FR"/>
        </w:rPr>
        <w:t> :</w:t>
      </w:r>
    </w:p>
    <w:p w:rsidR="00276D70" w:rsidRPr="00276D70" w:rsidRDefault="00276D70" w:rsidP="00276D70">
      <w:pPr>
        <w:pStyle w:val="SingleTxtG"/>
        <w:ind w:left="2268" w:hanging="1134"/>
        <w:rPr>
          <w:lang w:val="fr-FR"/>
        </w:rPr>
      </w:pPr>
      <w:r w:rsidRPr="00276D70">
        <w:rPr>
          <w:lang w:val="fr-FR"/>
        </w:rPr>
        <w:t>« 6.2.2.2</w:t>
      </w:r>
      <w:r w:rsidRPr="00276D70">
        <w:rPr>
          <w:lang w:val="fr-FR"/>
        </w:rPr>
        <w:tab/>
        <w:t>La boucle, même quand… La surface de commande d</w:t>
      </w:r>
      <w:r w:rsidR="003305BC">
        <w:rPr>
          <w:lang w:val="fr-FR"/>
        </w:rPr>
        <w:t>’</w:t>
      </w:r>
      <w:r w:rsidRPr="00276D70">
        <w:rPr>
          <w:lang w:val="fr-FR"/>
        </w:rPr>
        <w:t>ouverture de la boucle doit être de couleur rouge. Aucune autre partie de la boucle ne doit être de cette couleur. Lorsque le siège est occupé, un voyant d</w:t>
      </w:r>
      <w:r w:rsidR="003305BC">
        <w:rPr>
          <w:lang w:val="fr-FR"/>
        </w:rPr>
        <w:t>’</w:t>
      </w:r>
      <w:r w:rsidRPr="00276D70">
        <w:rPr>
          <w:lang w:val="fr-FR"/>
        </w:rPr>
        <w:t>avertissement rouge situé en un point quelconque de la boucle peut s</w:t>
      </w:r>
      <w:r w:rsidR="003305BC">
        <w:rPr>
          <w:lang w:val="fr-FR"/>
        </w:rPr>
        <w:t>’</w:t>
      </w:r>
      <w:r w:rsidRPr="00276D70">
        <w:rPr>
          <w:lang w:val="fr-FR"/>
        </w:rPr>
        <w:t>allumer à condition qu</w:t>
      </w:r>
      <w:r w:rsidR="003305BC">
        <w:rPr>
          <w:lang w:val="fr-FR"/>
        </w:rPr>
        <w:t>’</w:t>
      </w:r>
      <w:r w:rsidRPr="00276D70">
        <w:rPr>
          <w:lang w:val="fr-FR"/>
        </w:rPr>
        <w:t>il s</w:t>
      </w:r>
      <w:r w:rsidR="003305BC">
        <w:rPr>
          <w:lang w:val="fr-FR"/>
        </w:rPr>
        <w:t>’</w:t>
      </w:r>
      <w:r w:rsidRPr="00276D70">
        <w:rPr>
          <w:lang w:val="fr-FR"/>
        </w:rPr>
        <w:t>éteigne après que l</w:t>
      </w:r>
      <w:r w:rsidR="003305BC">
        <w:rPr>
          <w:lang w:val="fr-FR"/>
        </w:rPr>
        <w:t>’</w:t>
      </w:r>
      <w:r w:rsidRPr="00276D70">
        <w:rPr>
          <w:lang w:val="fr-FR"/>
        </w:rPr>
        <w:t>occupant a bouclé sa ceinture. Les témoins d</w:t>
      </w:r>
      <w:r w:rsidR="003305BC">
        <w:rPr>
          <w:lang w:val="fr-FR"/>
        </w:rPr>
        <w:t>’</w:t>
      </w:r>
      <w:r w:rsidRPr="00276D70">
        <w:rPr>
          <w:lang w:val="fr-FR"/>
        </w:rPr>
        <w:t>éclairage de la boucle d</w:t>
      </w:r>
      <w:r w:rsidR="003305BC">
        <w:rPr>
          <w:lang w:val="fr-FR"/>
        </w:rPr>
        <w:t>’</w:t>
      </w:r>
      <w:r w:rsidRPr="00276D70">
        <w:rPr>
          <w:lang w:val="fr-FR"/>
        </w:rPr>
        <w:t>une couleur autre que le rouge ne doivent pas nécessairement être éteints par l</w:t>
      </w:r>
      <w:r w:rsidR="003305BC">
        <w:rPr>
          <w:lang w:val="fr-FR"/>
        </w:rPr>
        <w:t>’</w:t>
      </w:r>
      <w:r w:rsidRPr="00276D70">
        <w:rPr>
          <w:lang w:val="fr-FR"/>
        </w:rPr>
        <w:t>action de boucler la ceinture de sécurité. Ces témoins lumineux ne doivent pas éclairer la boucle de manière à empêcher la perception correcte de la couleur rouge du bouton d</w:t>
      </w:r>
      <w:r w:rsidR="003305BC">
        <w:rPr>
          <w:lang w:val="fr-FR"/>
        </w:rPr>
        <w:t>’</w:t>
      </w:r>
      <w:r w:rsidRPr="00276D70">
        <w:rPr>
          <w:lang w:val="fr-FR"/>
        </w:rPr>
        <w:t>ouverture de la boucle ou du rouge du voyant d</w:t>
      </w:r>
      <w:r w:rsidR="003305BC">
        <w:rPr>
          <w:lang w:val="fr-FR"/>
        </w:rPr>
        <w:t>’</w:t>
      </w:r>
      <w:r w:rsidRPr="00276D70">
        <w:rPr>
          <w:lang w:val="fr-FR"/>
        </w:rPr>
        <w:t>avertissement. »</w:t>
      </w:r>
      <w:r w:rsidR="00914AB5">
        <w:rPr>
          <w:lang w:val="fr-FR"/>
        </w:rPr>
        <w:t>.</w:t>
      </w:r>
    </w:p>
    <w:p w:rsidR="00276D70" w:rsidRPr="00276D70" w:rsidRDefault="00276D70" w:rsidP="00276D70">
      <w:pPr>
        <w:pStyle w:val="SingleTxtG"/>
        <w:rPr>
          <w:lang w:val="fr-FR"/>
        </w:rPr>
      </w:pPr>
      <w:r w:rsidRPr="00276D70">
        <w:rPr>
          <w:i/>
          <w:lang w:val="fr-FR"/>
        </w:rPr>
        <w:t>Paragraphe 7.7.1</w:t>
      </w:r>
      <w:r w:rsidRPr="00276D70">
        <w:rPr>
          <w:lang w:val="fr-FR"/>
        </w:rPr>
        <w:t xml:space="preserve">, </w:t>
      </w:r>
      <w:r w:rsidR="00914AB5">
        <w:rPr>
          <w:lang w:val="fr-FR"/>
        </w:rPr>
        <w:t>lire</w:t>
      </w:r>
      <w:r w:rsidRPr="00276D70">
        <w:rPr>
          <w:lang w:val="fr-FR"/>
        </w:rPr>
        <w:t> :</w:t>
      </w:r>
    </w:p>
    <w:p w:rsidR="00276D70" w:rsidRPr="00276D70" w:rsidRDefault="00276D70" w:rsidP="00914AB5">
      <w:pPr>
        <w:pStyle w:val="SingleTxtG"/>
        <w:ind w:left="2268" w:hanging="1134"/>
        <w:rPr>
          <w:lang w:val="fr-FR"/>
        </w:rPr>
      </w:pPr>
      <w:r w:rsidRPr="00276D70">
        <w:rPr>
          <w:lang w:val="fr-FR"/>
        </w:rPr>
        <w:t>« 7.7.1</w:t>
      </w:r>
      <w:r w:rsidRPr="00276D70">
        <w:rPr>
          <w:lang w:val="fr-FR"/>
        </w:rPr>
        <w:tab/>
        <w:t>La ceinture est installée sur un chariot équipé du siège et des ancrages généraux définis à la figure 1 de l</w:t>
      </w:r>
      <w:r w:rsidR="003305BC">
        <w:rPr>
          <w:lang w:val="fr-FR"/>
        </w:rPr>
        <w:t>’</w:t>
      </w:r>
      <w:r w:rsidRPr="00276D70">
        <w:rPr>
          <w:lang w:val="fr-FR"/>
        </w:rPr>
        <w:t>annexe 6 du présent Règlement. Si toutefois la ceinture est destinée à … le nombre maximum de points d</w:t>
      </w:r>
      <w:r w:rsidR="003305BC">
        <w:rPr>
          <w:lang w:val="fr-FR"/>
        </w:rPr>
        <w:t>’</w:t>
      </w:r>
      <w:r w:rsidRPr="00276D70">
        <w:rPr>
          <w:lang w:val="fr-FR"/>
        </w:rPr>
        <w:t>ancrage réels. »</w:t>
      </w:r>
      <w:r w:rsidR="00914AB5">
        <w:rPr>
          <w:lang w:val="fr-FR"/>
        </w:rPr>
        <w:t>.</w:t>
      </w:r>
    </w:p>
    <w:p w:rsidR="00276D70" w:rsidRPr="00276D70" w:rsidRDefault="00276D70" w:rsidP="00276D70">
      <w:pPr>
        <w:pStyle w:val="SingleTxtG"/>
        <w:rPr>
          <w:i/>
          <w:iCs/>
          <w:lang w:val="fr-FR"/>
        </w:rPr>
      </w:pPr>
      <w:r w:rsidRPr="00276D70">
        <w:rPr>
          <w:i/>
          <w:iCs/>
          <w:lang w:val="fr-FR"/>
        </w:rPr>
        <w:t>Annexe 1B, point 12</w:t>
      </w:r>
      <w:r w:rsidRPr="00276D70">
        <w:rPr>
          <w:lang w:val="fr-FR"/>
        </w:rPr>
        <w:t xml:space="preserve">, </w:t>
      </w:r>
      <w:r w:rsidR="00914AB5">
        <w:rPr>
          <w:lang w:val="fr-FR"/>
        </w:rPr>
        <w:t>lire</w:t>
      </w:r>
      <w:r w:rsidRPr="00276D70">
        <w:rPr>
          <w:lang w:val="fr-FR"/>
        </w:rPr>
        <w:t> :</w:t>
      </w:r>
    </w:p>
    <w:p w:rsidR="00276D70" w:rsidRPr="00276D70" w:rsidRDefault="00276D70" w:rsidP="00914AB5">
      <w:pPr>
        <w:pStyle w:val="SingleTxtG"/>
        <w:ind w:left="2268" w:hanging="1134"/>
        <w:rPr>
          <w:lang w:val="fr-FR"/>
        </w:rPr>
      </w:pPr>
      <w:r w:rsidRPr="00276D70">
        <w:rPr>
          <w:lang w:val="fr-FR"/>
        </w:rPr>
        <w:t>« 1</w:t>
      </w:r>
      <w:r w:rsidRPr="00276D70">
        <w:rPr>
          <w:bCs/>
          <w:lang w:val="fr-FR"/>
        </w:rPr>
        <w:t>2</w:t>
      </w:r>
      <w:r w:rsidR="003277CD">
        <w:rPr>
          <w:bCs/>
          <w:lang w:val="fr-FR"/>
        </w:rPr>
        <w:t>.</w:t>
      </w:r>
      <w:r w:rsidRPr="00276D70">
        <w:rPr>
          <w:lang w:val="fr-FR"/>
        </w:rPr>
        <w:tab/>
        <w:t>L</w:t>
      </w:r>
      <w:r w:rsidR="003305BC">
        <w:rPr>
          <w:lang w:val="fr-FR"/>
        </w:rPr>
        <w:t>’</w:t>
      </w:r>
      <w:r w:rsidRPr="00276D70">
        <w:rPr>
          <w:lang w:val="fr-FR"/>
        </w:rPr>
        <w:t>homologation est accordée/refusée/étendue/retirée</w:t>
      </w:r>
      <w:r w:rsidRPr="00914AB5">
        <w:rPr>
          <w:sz w:val="18"/>
          <w:szCs w:val="18"/>
          <w:vertAlign w:val="superscript"/>
          <w:lang w:val="fr-FR"/>
        </w:rPr>
        <w:t>2</w:t>
      </w:r>
      <w:r w:rsidRPr="00276D70">
        <w:rPr>
          <w:lang w:val="fr-FR"/>
        </w:rPr>
        <w:t xml:space="preserve"> pour la fixation aux emplacements des ancrages généraux tels qu</w:t>
      </w:r>
      <w:r w:rsidR="003305BC">
        <w:rPr>
          <w:lang w:val="fr-FR"/>
        </w:rPr>
        <w:t>’</w:t>
      </w:r>
      <w:r w:rsidRPr="00276D70">
        <w:rPr>
          <w:lang w:val="fr-FR"/>
        </w:rPr>
        <w:t>ils sont définis à la figure 1 de l</w:t>
      </w:r>
      <w:r w:rsidR="003305BC">
        <w:rPr>
          <w:lang w:val="fr-FR"/>
        </w:rPr>
        <w:t>’</w:t>
      </w:r>
      <w:r w:rsidRPr="00276D70">
        <w:rPr>
          <w:lang w:val="fr-FR"/>
        </w:rPr>
        <w:t>annexe 6 du présent Règlement/pour utilisation sur un véhicule particulier ou sur des types de véhicules particuliers</w:t>
      </w:r>
      <w:r w:rsidRPr="00914AB5">
        <w:rPr>
          <w:sz w:val="18"/>
          <w:szCs w:val="18"/>
          <w:vertAlign w:val="superscript"/>
          <w:lang w:val="fr-FR"/>
        </w:rPr>
        <w:t>2, 4</w:t>
      </w:r>
      <w:r w:rsidRPr="00276D70">
        <w:rPr>
          <w:lang w:val="fr-FR"/>
        </w:rPr>
        <w:t>. »</w:t>
      </w:r>
      <w:r w:rsidR="00914AB5">
        <w:rPr>
          <w:lang w:val="fr-FR"/>
        </w:rPr>
        <w:t>.</w:t>
      </w:r>
    </w:p>
    <w:p w:rsidR="00276D70" w:rsidRPr="00276D70" w:rsidRDefault="00276D70" w:rsidP="00276D70">
      <w:pPr>
        <w:pStyle w:val="SingleTxtG"/>
        <w:rPr>
          <w:i/>
          <w:lang w:val="fr-FR"/>
        </w:rPr>
      </w:pPr>
      <w:r w:rsidRPr="00276D70">
        <w:rPr>
          <w:i/>
          <w:lang w:val="fr-FR"/>
        </w:rPr>
        <w:t>Annexe 6, paragraphe 3.2</w:t>
      </w:r>
      <w:r w:rsidRPr="00276D70">
        <w:rPr>
          <w:lang w:val="fr-FR"/>
        </w:rPr>
        <w:t xml:space="preserve">, </w:t>
      </w:r>
      <w:r w:rsidR="00914AB5">
        <w:rPr>
          <w:lang w:val="fr-FR"/>
        </w:rPr>
        <w:t>lire</w:t>
      </w:r>
      <w:r w:rsidRPr="00276D70">
        <w:rPr>
          <w:lang w:val="fr-FR"/>
        </w:rPr>
        <w:t> :</w:t>
      </w:r>
    </w:p>
    <w:p w:rsidR="005F0207" w:rsidRDefault="00276D70" w:rsidP="00914AB5">
      <w:pPr>
        <w:pStyle w:val="SingleTxtG"/>
        <w:ind w:left="2268" w:hanging="1134"/>
        <w:rPr>
          <w:lang w:val="fr-FR"/>
        </w:rPr>
      </w:pPr>
      <w:r w:rsidRPr="00276D70">
        <w:rPr>
          <w:lang w:val="fr-FR"/>
        </w:rPr>
        <w:t>« 3.2</w:t>
      </w:r>
      <w:r w:rsidRPr="00276D70">
        <w:rPr>
          <w:lang w:val="fr-FR"/>
        </w:rPr>
        <w:tab/>
        <w:t>Les ancrages généraux sont disposés… ».</w:t>
      </w:r>
    </w:p>
    <w:p w:rsidR="00122E94" w:rsidRPr="00122E94" w:rsidRDefault="00122E94" w:rsidP="00122E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2E94" w:rsidRPr="00122E94" w:rsidSect="004F52E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1E" w:rsidRDefault="00467C1E"/>
  </w:endnote>
  <w:endnote w:type="continuationSeparator" w:id="0">
    <w:p w:rsidR="00467C1E" w:rsidRDefault="00467C1E">
      <w:pPr>
        <w:pStyle w:val="Footer"/>
      </w:pPr>
    </w:p>
  </w:endnote>
  <w:endnote w:type="continuationNotice" w:id="1">
    <w:p w:rsidR="00467C1E" w:rsidRPr="00C451B9" w:rsidRDefault="00467C1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E4" w:rsidRPr="004F52E4" w:rsidRDefault="004F52E4" w:rsidP="004F52E4">
    <w:pPr>
      <w:pStyle w:val="Footer"/>
      <w:tabs>
        <w:tab w:val="right" w:pos="9638"/>
      </w:tabs>
    </w:pPr>
    <w:r w:rsidRPr="004F52E4">
      <w:rPr>
        <w:b/>
        <w:sz w:val="18"/>
      </w:rPr>
      <w:fldChar w:fldCharType="begin"/>
    </w:r>
    <w:r w:rsidRPr="004F52E4">
      <w:rPr>
        <w:b/>
        <w:sz w:val="18"/>
      </w:rPr>
      <w:instrText xml:space="preserve"> PAGE  \* MERGEFORMAT </w:instrText>
    </w:r>
    <w:r w:rsidRPr="004F52E4">
      <w:rPr>
        <w:b/>
        <w:sz w:val="18"/>
      </w:rPr>
      <w:fldChar w:fldCharType="separate"/>
    </w:r>
    <w:r w:rsidR="001E4FA6">
      <w:rPr>
        <w:b/>
        <w:noProof/>
        <w:sz w:val="18"/>
      </w:rPr>
      <w:t>2</w:t>
    </w:r>
    <w:r w:rsidRPr="004F52E4">
      <w:rPr>
        <w:b/>
        <w:sz w:val="18"/>
      </w:rPr>
      <w:fldChar w:fldCharType="end"/>
    </w:r>
    <w:r>
      <w:rPr>
        <w:b/>
        <w:sz w:val="18"/>
      </w:rPr>
      <w:tab/>
    </w:r>
    <w:r>
      <w:t>GE.16-11464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E4" w:rsidRPr="004F52E4" w:rsidRDefault="004F52E4" w:rsidP="004F52E4">
    <w:pPr>
      <w:pStyle w:val="Footer"/>
      <w:tabs>
        <w:tab w:val="right" w:pos="9638"/>
      </w:tabs>
      <w:rPr>
        <w:b/>
        <w:sz w:val="18"/>
      </w:rPr>
    </w:pPr>
    <w:r>
      <w:t>GE.16-11464</w:t>
    </w:r>
    <w:r>
      <w:tab/>
    </w:r>
    <w:r w:rsidRPr="004F52E4">
      <w:rPr>
        <w:b/>
        <w:sz w:val="18"/>
      </w:rPr>
      <w:fldChar w:fldCharType="begin"/>
    </w:r>
    <w:r w:rsidRPr="004F52E4">
      <w:rPr>
        <w:b/>
        <w:sz w:val="18"/>
      </w:rPr>
      <w:instrText xml:space="preserve"> PAGE  \* MERGEFORMAT </w:instrText>
    </w:r>
    <w:r w:rsidRPr="004F52E4">
      <w:rPr>
        <w:b/>
        <w:sz w:val="18"/>
      </w:rPr>
      <w:fldChar w:fldCharType="separate"/>
    </w:r>
    <w:r w:rsidR="001E4FA6">
      <w:rPr>
        <w:b/>
        <w:noProof/>
        <w:sz w:val="18"/>
      </w:rPr>
      <w:t>3</w:t>
    </w:r>
    <w:r w:rsidRPr="004F52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7B6B54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7B6B54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21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276D70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 w:rsidR="003305BC">
      <w:t>’</w:t>
    </w:r>
    <w:r w:rsidRPr="007817A7">
      <w:t>Accor</w:t>
    </w:r>
    <w:r>
      <w:t>d</w:t>
    </w:r>
    <w:r w:rsidR="00276D70">
      <w:t> </w:t>
    </w:r>
    <w:r>
      <w:t>: Accord concernant l</w:t>
    </w:r>
    <w:r w:rsidR="003305BC">
      <w:t>’</w:t>
    </w:r>
    <w:r>
      <w:t>a</w:t>
    </w:r>
    <w:r w:rsidRPr="007817A7">
      <w:t>doption de conditions uniformes d</w:t>
    </w:r>
    <w:r w:rsidR="003305BC">
      <w:t>’</w:t>
    </w:r>
    <w:r w:rsidRPr="007817A7">
      <w:t>homologation et la</w:t>
    </w:r>
    <w:r>
      <w:t> </w:t>
    </w:r>
    <w:r w:rsidRPr="007817A7">
      <w:t>reconnaissance réciproque de l</w:t>
    </w:r>
    <w:r w:rsidR="003305BC"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4F52E4" w:rsidRDefault="004F52E4" w:rsidP="004F52E4">
    <w:pPr>
      <w:pStyle w:val="Footer"/>
      <w:spacing w:before="120"/>
      <w:rPr>
        <w:sz w:val="20"/>
      </w:rPr>
    </w:pPr>
    <w:r>
      <w:rPr>
        <w:sz w:val="20"/>
      </w:rPr>
      <w:t>GE.16-11464  (F)    131216    151216</w:t>
    </w:r>
    <w:r>
      <w:rPr>
        <w:sz w:val="20"/>
      </w:rPr>
      <w:br/>
    </w:r>
    <w:r w:rsidRPr="004F52E4">
      <w:rPr>
        <w:rFonts w:ascii="C39T30Lfz" w:hAnsi="C39T30Lfz"/>
        <w:sz w:val="56"/>
      </w:rPr>
      <w:t></w:t>
    </w:r>
    <w:r w:rsidRPr="004F52E4">
      <w:rPr>
        <w:rFonts w:ascii="C39T30Lfz" w:hAnsi="C39T30Lfz"/>
        <w:sz w:val="56"/>
      </w:rPr>
      <w:t></w:t>
    </w:r>
    <w:r w:rsidRPr="004F52E4">
      <w:rPr>
        <w:rFonts w:ascii="C39T30Lfz" w:hAnsi="C39T30Lfz"/>
        <w:sz w:val="56"/>
      </w:rPr>
      <w:t></w:t>
    </w:r>
    <w:r w:rsidRPr="004F52E4">
      <w:rPr>
        <w:rFonts w:ascii="C39T30Lfz" w:hAnsi="C39T30Lfz"/>
        <w:sz w:val="56"/>
      </w:rPr>
      <w:t></w:t>
    </w:r>
    <w:r w:rsidRPr="004F52E4">
      <w:rPr>
        <w:rFonts w:ascii="C39T30Lfz" w:hAnsi="C39T30Lfz"/>
        <w:sz w:val="56"/>
      </w:rPr>
      <w:t></w:t>
    </w:r>
    <w:r w:rsidRPr="004F52E4">
      <w:rPr>
        <w:rFonts w:ascii="C39T30Lfz" w:hAnsi="C39T30Lfz"/>
        <w:sz w:val="56"/>
      </w:rPr>
      <w:t></w:t>
    </w:r>
    <w:r w:rsidRPr="004F52E4">
      <w:rPr>
        <w:rFonts w:ascii="C39T30Lfz" w:hAnsi="C39T30Lfz"/>
        <w:sz w:val="56"/>
      </w:rPr>
      <w:t></w:t>
    </w:r>
    <w:r w:rsidRPr="004F52E4">
      <w:rPr>
        <w:rFonts w:ascii="C39T30Lfz" w:hAnsi="C39T30Lfz"/>
        <w:sz w:val="56"/>
      </w:rPr>
      <w:t></w:t>
    </w:r>
    <w:r w:rsidRPr="004F52E4">
      <w:rPr>
        <w:rFonts w:ascii="C39T30Lfz" w:hAnsi="C39T30Lfz"/>
        <w:sz w:val="56"/>
      </w:rPr>
      <w:t></w:t>
    </w:r>
    <w:r w:rsidR="007B6B54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15/Rev.8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15/Rev.8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1E" w:rsidRPr="00D27D5E" w:rsidRDefault="00467C1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7C1E" w:rsidRPr="00D171D4" w:rsidRDefault="00467C1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67C1E" w:rsidRPr="00C451B9" w:rsidRDefault="00467C1E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E4" w:rsidRPr="001E4FA6" w:rsidRDefault="004F52E4">
    <w:pPr>
      <w:pStyle w:val="Header"/>
      <w:rPr>
        <w:lang w:val="en-GB"/>
      </w:rPr>
    </w:pPr>
    <w:r w:rsidRPr="001E4FA6">
      <w:rPr>
        <w:lang w:val="en-GB"/>
      </w:rPr>
      <w:t>E/ECE/324/Rev.1/Add.15/Rev.8/Amend.1</w:t>
    </w:r>
    <w:r w:rsidRPr="001E4FA6">
      <w:rPr>
        <w:lang w:val="en-GB"/>
      </w:rPr>
      <w:br/>
      <w:t>E/ECE/TRANS/505/Rev.1/Add.15/Rev.8/Amend.1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E4" w:rsidRPr="001E4FA6" w:rsidRDefault="004F52E4" w:rsidP="004F52E4">
    <w:pPr>
      <w:pStyle w:val="Header"/>
      <w:jc w:val="right"/>
      <w:rPr>
        <w:lang w:val="en-GB"/>
      </w:rPr>
    </w:pPr>
    <w:r w:rsidRPr="001E4FA6">
      <w:rPr>
        <w:lang w:val="en-GB"/>
      </w:rPr>
      <w:t>E/ECE/324/Rev.1/Add.15/Rev.8/Amend.1</w:t>
    </w:r>
    <w:r w:rsidRPr="001E4FA6">
      <w:rPr>
        <w:lang w:val="en-GB"/>
      </w:rPr>
      <w:br/>
      <w:t>E/ECE/TRANS/505/Rev.1/Add.15/Rev.8/Amend.1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1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2E94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4FA6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5AE7"/>
    <w:rsid w:val="00242BBD"/>
    <w:rsid w:val="00244817"/>
    <w:rsid w:val="0024586F"/>
    <w:rsid w:val="00246BC8"/>
    <w:rsid w:val="00251F95"/>
    <w:rsid w:val="00252317"/>
    <w:rsid w:val="002659F1"/>
    <w:rsid w:val="00271E41"/>
    <w:rsid w:val="00276D70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277CD"/>
    <w:rsid w:val="00330508"/>
    <w:rsid w:val="003305BC"/>
    <w:rsid w:val="0033286A"/>
    <w:rsid w:val="00333130"/>
    <w:rsid w:val="00335D11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67C1E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B6592"/>
    <w:rsid w:val="004C54C0"/>
    <w:rsid w:val="004C56B2"/>
    <w:rsid w:val="004C6F4A"/>
    <w:rsid w:val="004D00B2"/>
    <w:rsid w:val="004E3182"/>
    <w:rsid w:val="004E4963"/>
    <w:rsid w:val="004E6809"/>
    <w:rsid w:val="004E7F24"/>
    <w:rsid w:val="004F52E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66BF"/>
    <w:rsid w:val="00647059"/>
    <w:rsid w:val="00647162"/>
    <w:rsid w:val="0065029A"/>
    <w:rsid w:val="0065508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6B54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4AB5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0098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3B17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2483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5252"/>
    <w:rsid w:val="00F734D9"/>
    <w:rsid w:val="00F73F83"/>
    <w:rsid w:val="00F74902"/>
    <w:rsid w:val="00F76147"/>
    <w:rsid w:val="00F85A4E"/>
    <w:rsid w:val="00F9353A"/>
    <w:rsid w:val="00F965C2"/>
    <w:rsid w:val="00FA27D4"/>
    <w:rsid w:val="00FA5A79"/>
    <w:rsid w:val="00FB0BFE"/>
    <w:rsid w:val="00FB4300"/>
    <w:rsid w:val="00FB4C51"/>
    <w:rsid w:val="00FB5C83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F8DE528-2FE1-454E-8C82-63011D0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65508A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E/ECE/324/Rev.1/Add.15/Rev.8/Amend.1</vt:lpstr>
      <vt:lpstr>E/ECE/324/Rev.1/Add.15/Rev.8/Amend.1</vt:lpstr>
    </vt:vector>
  </TitlesOfParts>
  <Company>CSD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E/ECE/324/Rev.1/Add.15/Rev.8/Amend.1</dc:title>
  <dc:subject/>
  <dc:creator>Robert Corinne</dc:creator>
  <cp:keywords/>
  <dc:description/>
  <cp:lastModifiedBy>Lucille</cp:lastModifiedBy>
  <cp:revision>2</cp:revision>
  <cp:lastPrinted>2016-12-15T11:02:00Z</cp:lastPrinted>
  <dcterms:created xsi:type="dcterms:W3CDTF">2017-01-09T17:26:00Z</dcterms:created>
  <dcterms:modified xsi:type="dcterms:W3CDTF">2017-01-09T17:26:00Z</dcterms:modified>
</cp:coreProperties>
</file>