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F0EB9" w:rsidTr="00A27C92">
        <w:trPr>
          <w:trHeight w:hRule="exact" w:val="851"/>
        </w:trPr>
        <w:tc>
          <w:tcPr>
            <w:tcW w:w="9639" w:type="dxa"/>
            <w:gridSpan w:val="2"/>
            <w:tcBorders>
              <w:bottom w:val="single" w:sz="4" w:space="0" w:color="auto"/>
            </w:tcBorders>
            <w:shd w:val="clear" w:color="auto" w:fill="auto"/>
            <w:vAlign w:val="bottom"/>
          </w:tcPr>
          <w:p w:rsidR="008F0EB9" w:rsidRPr="008F0EB9" w:rsidRDefault="008F0EB9" w:rsidP="008F0EB9">
            <w:pPr>
              <w:jc w:val="right"/>
              <w:rPr>
                <w:lang w:val="en-US"/>
              </w:rPr>
            </w:pPr>
            <w:bookmarkStart w:id="0" w:name="_GoBack"/>
            <w:bookmarkEnd w:id="0"/>
            <w:r w:rsidRPr="008F0EB9">
              <w:rPr>
                <w:sz w:val="40"/>
                <w:lang w:val="en-US"/>
              </w:rPr>
              <w:t>E</w:t>
            </w:r>
            <w:r w:rsidRPr="008F0EB9">
              <w:rPr>
                <w:lang w:val="en-US"/>
              </w:rPr>
              <w:t>/ECE/324/Add.6/Rev.6/Amend.5−</w:t>
            </w:r>
            <w:r w:rsidRPr="008F0EB9">
              <w:rPr>
                <w:sz w:val="40"/>
                <w:lang w:val="en-US"/>
              </w:rPr>
              <w:t>E</w:t>
            </w:r>
            <w:r w:rsidRPr="008F0EB9">
              <w:rPr>
                <w:lang w:val="en-US"/>
              </w:rPr>
              <w:t>/ECE/TRANS/505/Add.6/Rev.6/Amend.5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F0EB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F0EB9" w:rsidP="00A27C92">
            <w:pPr>
              <w:spacing w:before="480" w:line="240" w:lineRule="exact"/>
            </w:pPr>
            <w:r>
              <w:t>18 juillet 2017</w:t>
            </w:r>
          </w:p>
        </w:tc>
      </w:tr>
    </w:tbl>
    <w:p w:rsidR="00421A10" w:rsidRPr="006549FF" w:rsidRDefault="0029791D" w:rsidP="0029791D">
      <w:pPr>
        <w:pStyle w:val="HChG"/>
      </w:pPr>
      <w:r>
        <w:tab/>
      </w:r>
      <w:r>
        <w:tab/>
      </w:r>
      <w:r w:rsidR="00421A10" w:rsidRPr="006549FF">
        <w:t>Accord</w:t>
      </w:r>
    </w:p>
    <w:p w:rsidR="00421A10" w:rsidRPr="00583D68" w:rsidRDefault="0029791D" w:rsidP="008F0EB9">
      <w:pPr>
        <w:pStyle w:val="H1G"/>
      </w:pPr>
      <w:r>
        <w:tab/>
      </w:r>
      <w:r>
        <w:tab/>
      </w:r>
      <w:r w:rsidR="00421A10" w:rsidRPr="008F0EB9">
        <w:t>Concernant</w:t>
      </w:r>
      <w:r w:rsidR="00421A10" w:rsidRPr="00583D68">
        <w:t xml:space="preserve"> l</w:t>
      </w:r>
      <w:r w:rsidR="008F0EB9">
        <w:t>’</w:t>
      </w:r>
      <w:r w:rsidR="00421A10" w:rsidRPr="00583D68">
        <w:t>adoption de prescriptions techniques uniformes applicables aux véhicules à roues, aux équipements et aux pièces susceptibles d</w:t>
      </w:r>
      <w:r w:rsidR="008F0EB9">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8F0EB9">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8F0EB9">
        <w:t>2</w:t>
      </w:r>
      <w:r w:rsidRPr="006549FF">
        <w:t>, comprenant les amen</w:t>
      </w:r>
      <w:r>
        <w:t>dements entrés en vigueur le 16</w:t>
      </w:r>
      <w:r w:rsidR="008F0EB9">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F0EB9">
        <w:t xml:space="preserve">6 − </w:t>
      </w:r>
      <w:r w:rsidR="00421A10" w:rsidRPr="006549FF">
        <w:t>Règlement</w:t>
      </w:r>
      <w:r w:rsidR="00421A10">
        <w:t xml:space="preserve"> </w:t>
      </w:r>
      <w:r w:rsidR="00421A10" w:rsidRPr="00B371BF">
        <w:t>n</w:t>
      </w:r>
      <w:r w:rsidR="00421A10" w:rsidRPr="00B371BF">
        <w:rPr>
          <w:vertAlign w:val="superscript"/>
        </w:rPr>
        <w:t>o</w:t>
      </w:r>
      <w:r w:rsidR="00421A10">
        <w:t> </w:t>
      </w:r>
      <w:r w:rsidR="008F0EB9">
        <w:t>7</w:t>
      </w:r>
    </w:p>
    <w:p w:rsidR="00421A10" w:rsidRPr="006549FF" w:rsidRDefault="0029791D" w:rsidP="0029791D">
      <w:pPr>
        <w:pStyle w:val="H1G"/>
      </w:pPr>
      <w:r>
        <w:tab/>
      </w:r>
      <w:r>
        <w:tab/>
      </w:r>
      <w:r w:rsidR="00421A10" w:rsidRPr="006549FF">
        <w:t xml:space="preserve">Révision </w:t>
      </w:r>
      <w:r w:rsidR="008F0EB9">
        <w:t>6 − Amendement 5</w:t>
      </w:r>
    </w:p>
    <w:p w:rsidR="00421A10" w:rsidRPr="004A7E44" w:rsidRDefault="008F0EB9" w:rsidP="0029791D">
      <w:pPr>
        <w:pStyle w:val="SingleTxtG"/>
        <w:spacing w:after="0"/>
      </w:pPr>
      <w:r w:rsidRPr="00FC2CA9">
        <w:rPr>
          <w:spacing w:val="-2"/>
        </w:rPr>
        <w:t xml:space="preserve">Complément </w:t>
      </w:r>
      <w:r>
        <w:rPr>
          <w:spacing w:val="-2"/>
        </w:rPr>
        <w:t xml:space="preserve">25 </w:t>
      </w:r>
      <w:r w:rsidRPr="00FC2CA9">
        <w:rPr>
          <w:spacing w:val="-2"/>
        </w:rPr>
        <w:t xml:space="preserve">à la </w:t>
      </w:r>
      <w:r>
        <w:rPr>
          <w:spacing w:val="-2"/>
        </w:rPr>
        <w:t>série 02 d’amendements a</w:t>
      </w:r>
      <w:r w:rsidRPr="00FC2CA9">
        <w:rPr>
          <w:spacing w:val="-2"/>
        </w:rPr>
        <w:t xml:space="preserve">u Règlement </w:t>
      </w:r>
      <w:r>
        <w:rPr>
          <w:spacing w:val="-2"/>
        </w:rPr>
        <w:t>−</w:t>
      </w:r>
      <w:r w:rsidRPr="00FC2CA9">
        <w:rPr>
          <w:spacing w:val="-2"/>
        </w:rPr>
        <w:t xml:space="preserve"> Date d</w:t>
      </w:r>
      <w:r>
        <w:rPr>
          <w:spacing w:val="-2"/>
        </w:rPr>
        <w:t>’</w:t>
      </w:r>
      <w:r w:rsidRPr="00FC2CA9">
        <w:rPr>
          <w:spacing w:val="-2"/>
        </w:rPr>
        <w:t>entrée en vigueur</w:t>
      </w:r>
      <w:r>
        <w:rPr>
          <w:spacing w:val="-2"/>
        </w:rPr>
        <w:t> </w:t>
      </w:r>
      <w:r w:rsidRPr="00FC2CA9">
        <w:rPr>
          <w:spacing w:val="-2"/>
        </w:rPr>
        <w:t>:</w:t>
      </w:r>
      <w:r>
        <w:rPr>
          <w:spacing w:val="-2"/>
        </w:rPr>
        <w:t xml:space="preserve"> 22 juin 2017</w:t>
      </w:r>
    </w:p>
    <w:p w:rsidR="00421A10" w:rsidRDefault="0029791D" w:rsidP="0029791D">
      <w:pPr>
        <w:pStyle w:val="H1G"/>
      </w:pPr>
      <w:r>
        <w:tab/>
      </w:r>
      <w:r>
        <w:tab/>
      </w:r>
      <w:r w:rsidR="00421A10" w:rsidRPr="007619D3">
        <w:t xml:space="preserve">Prescriptions uniformes relatives </w:t>
      </w:r>
      <w:r w:rsidR="008F0EB9" w:rsidRPr="004B3E3A">
        <w:rPr>
          <w:spacing w:val="-2"/>
        </w:rPr>
        <w:t>à l’homologation des feux de posi</w:t>
      </w:r>
      <w:r w:rsidR="008F0EB9">
        <w:rPr>
          <w:spacing w:val="-2"/>
        </w:rPr>
        <w:t xml:space="preserve">tion avant et arrière, des feux </w:t>
      </w:r>
      <w:r w:rsidR="008F0EB9" w:rsidRPr="004B3E3A">
        <w:rPr>
          <w:spacing w:val="-2"/>
        </w:rPr>
        <w:t>stop et des feux d’encombrement des véhicules automobiles (à l’exception des motocycles) et de leurs remorques</w:t>
      </w:r>
    </w:p>
    <w:p w:rsidR="008F0EB9" w:rsidRDefault="008F0EB9" w:rsidP="008F0EB9">
      <w:pPr>
        <w:pStyle w:val="SingleTxtG"/>
        <w:ind w:firstLine="567"/>
      </w:pPr>
      <w:r w:rsidRPr="004F5818">
        <w:rPr>
          <w:lang w:val="fr-FR" w:eastAsia="en-GB"/>
        </w:rPr>
        <w:t xml:space="preserve">Ce </w:t>
      </w:r>
      <w:r w:rsidRPr="008F0EB9">
        <w:rPr>
          <w:spacing w:val="-2"/>
          <w:lang w:val="fr-FR" w:eastAsia="en-GB"/>
        </w:rPr>
        <w:t>document constitue un outil de documentation. Le texte authentique et contraignant</w:t>
      </w:r>
      <w:r w:rsidRPr="004F5818">
        <w:rPr>
          <w:lang w:val="fr-FR" w:eastAsia="en-GB"/>
        </w:rPr>
        <w:t xml:space="preserve"> juridique est</w:t>
      </w:r>
      <w:r>
        <w:rPr>
          <w:lang w:val="fr-FR" w:eastAsia="en-GB"/>
        </w:rPr>
        <w:t> </w:t>
      </w:r>
      <w:r w:rsidRPr="004F5818">
        <w:rPr>
          <w:lang w:val="fr-FR" w:eastAsia="en-GB"/>
        </w:rPr>
        <w:t xml:space="preserve">: </w:t>
      </w:r>
      <w:r w:rsidRPr="00FD0A09">
        <w:t>ECE</w:t>
      </w:r>
      <w:r>
        <w:t>/TRANS/WP.29/2016/75.</w:t>
      </w:r>
      <w:r w:rsidR="00442E31">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8F0EB9" w:rsidRPr="00091722" w:rsidRDefault="008F0EB9" w:rsidP="008F0EB9">
      <w:pPr>
        <w:pStyle w:val="SingleTxtG"/>
        <w:rPr>
          <w:iCs/>
        </w:rPr>
      </w:pPr>
      <w:r>
        <w:br w:type="page"/>
      </w:r>
      <w:r w:rsidRPr="00091722">
        <w:rPr>
          <w:i/>
          <w:iCs/>
        </w:rPr>
        <w:lastRenderedPageBreak/>
        <w:t>Paragraphe 6.1.7.2</w:t>
      </w:r>
      <w:r w:rsidRPr="00091722">
        <w:t xml:space="preserve">, </w:t>
      </w:r>
      <w:r>
        <w:t>modifier comme suit</w:t>
      </w:r>
      <w:r w:rsidR="005F52FE">
        <w:t> </w:t>
      </w:r>
      <w:r>
        <w:t>:</w:t>
      </w:r>
    </w:p>
    <w:p w:rsidR="008F0EB9" w:rsidRPr="00A4348B" w:rsidRDefault="008F0EB9" w:rsidP="008F0EB9">
      <w:pPr>
        <w:pStyle w:val="SingleTxtG"/>
        <w:keepLines/>
        <w:ind w:left="2268" w:hanging="1134"/>
      </w:pPr>
      <w:r>
        <w:t>« </w:t>
      </w:r>
      <w:r w:rsidRPr="00A4348B">
        <w:t>6.1.7.2</w:t>
      </w:r>
      <w:r w:rsidRPr="00A4348B">
        <w:tab/>
      </w:r>
      <w:r w:rsidRPr="00637D08">
        <w:t>Le feu doit satisfaire à l</w:t>
      </w:r>
      <w:r>
        <w:t>’</w:t>
      </w:r>
      <w:r w:rsidRPr="00637D08">
        <w:t xml:space="preserve">intensité minimale </w:t>
      </w:r>
      <w:r w:rsidRPr="00E37871">
        <w:t>prescrite dans le tableau de répartition lumineuse spatiale normalisée de l</w:t>
      </w:r>
      <w:r>
        <w:t>’</w:t>
      </w:r>
      <w:r w:rsidRPr="00E37871">
        <w:t>annexe</w:t>
      </w:r>
      <w:r w:rsidRPr="00637D08">
        <w:rPr>
          <w:b/>
        </w:rPr>
        <w:t xml:space="preserve"> </w:t>
      </w:r>
      <w:r w:rsidRPr="00E37871">
        <w:t>4</w:t>
      </w:r>
      <w:r w:rsidRPr="00637D08">
        <w:t xml:space="preserve"> en cas de défaillance de l</w:t>
      </w:r>
      <w:r>
        <w:t>’</w:t>
      </w:r>
      <w:r w:rsidRPr="00637D08">
        <w:t>une</w:t>
      </w:r>
      <w:r>
        <w:t xml:space="preserve"> </w:t>
      </w:r>
      <w:r w:rsidRPr="00637D08">
        <w:t>des sources lumineuses. Cependant, dans le cas de feux conçus pour deux sources</w:t>
      </w:r>
      <w:r>
        <w:t xml:space="preserve"> </w:t>
      </w:r>
      <w:r w:rsidRPr="00637D08">
        <w:t>lumineuses seulement, une intensité minimale de 50</w:t>
      </w:r>
      <w:r>
        <w:t> %</w:t>
      </w:r>
      <w:r w:rsidRPr="00637D08">
        <w:t xml:space="preserve"> dans l</w:t>
      </w:r>
      <w:r>
        <w:t>’</w:t>
      </w:r>
      <w:r w:rsidRPr="00637D08">
        <w:t>axe de référence du feu est</w:t>
      </w:r>
      <w:r>
        <w:t xml:space="preserve"> </w:t>
      </w:r>
      <w:r w:rsidRPr="00637D08">
        <w:t>considérée comme suffisante, à condition que la fiche de communication contienne une</w:t>
      </w:r>
      <w:r>
        <w:t xml:space="preserve"> </w:t>
      </w:r>
      <w:r w:rsidRPr="00637D08">
        <w:t>note précisant que le feu en question ne peut être utilisé que sur un véhicule équipé d</w:t>
      </w:r>
      <w:r>
        <w:t>’</w:t>
      </w:r>
      <w:r w:rsidRPr="00637D08">
        <w:t>un</w:t>
      </w:r>
      <w:r>
        <w:t xml:space="preserve"> </w:t>
      </w:r>
      <w:r w:rsidRPr="00637D08">
        <w:t>témoin indiquant la défaillance de l</w:t>
      </w:r>
      <w:r>
        <w:t>’</w:t>
      </w:r>
      <w:r w:rsidRPr="00637D08">
        <w:t>une ou l</w:t>
      </w:r>
      <w:r>
        <w:t>’</w:t>
      </w:r>
      <w:r w:rsidRPr="00637D08">
        <w:t>autre de ces deux</w:t>
      </w:r>
      <w:r>
        <w:t xml:space="preserve"> </w:t>
      </w:r>
      <w:r w:rsidRPr="00637D08">
        <w:t>sources lumineuses</w:t>
      </w:r>
      <w:r w:rsidRPr="00A4348B">
        <w:t>.</w:t>
      </w:r>
      <w:r>
        <w:t> ».</w:t>
      </w:r>
    </w:p>
    <w:p w:rsidR="008F0EB9" w:rsidRPr="009B2F0E" w:rsidRDefault="008F0EB9" w:rsidP="008F0EB9">
      <w:pPr>
        <w:pStyle w:val="SingleTxtG"/>
        <w:rPr>
          <w:i/>
        </w:rPr>
      </w:pPr>
      <w:r w:rsidRPr="009B2F0E">
        <w:rPr>
          <w:i/>
        </w:rPr>
        <w:t>Annexe</w:t>
      </w:r>
      <w:r>
        <w:rPr>
          <w:i/>
        </w:rPr>
        <w:t xml:space="preserve"> 2,</w:t>
      </w:r>
    </w:p>
    <w:p w:rsidR="008F0EB9" w:rsidRPr="00C62C0D" w:rsidRDefault="008F0EB9" w:rsidP="008F0EB9">
      <w:pPr>
        <w:pStyle w:val="SingleTxtG"/>
      </w:pPr>
      <w:r w:rsidRPr="00C62C0D">
        <w:rPr>
          <w:i/>
        </w:rPr>
        <w:t>Point 9.1</w:t>
      </w:r>
      <w:r w:rsidRPr="00C62C0D">
        <w:t xml:space="preserve">, </w:t>
      </w:r>
      <w:r>
        <w:t>modifier comme suit</w:t>
      </w:r>
      <w:r w:rsidR="005F52FE">
        <w:t> </w:t>
      </w:r>
      <w:r w:rsidRPr="00C62C0D">
        <w:t>:</w:t>
      </w:r>
    </w:p>
    <w:p w:rsidR="008F0EB9" w:rsidRPr="00C62C0D" w:rsidRDefault="008F0EB9" w:rsidP="008F0EB9">
      <w:pPr>
        <w:pStyle w:val="SingleTxtG"/>
        <w:ind w:left="2268" w:hanging="1134"/>
      </w:pPr>
      <w:r w:rsidRPr="00C62C0D">
        <w:t>«</w:t>
      </w:r>
      <w:r>
        <w:t> </w:t>
      </w:r>
      <w:r w:rsidRPr="00C62C0D">
        <w:t>9.1</w:t>
      </w:r>
      <w:r w:rsidRPr="00C62C0D">
        <w:tab/>
      </w:r>
      <w:r w:rsidRPr="00C62C0D">
        <w:tab/>
        <w:t>Par catégorie de feu</w:t>
      </w:r>
      <w:r>
        <w:t> </w:t>
      </w:r>
      <w:r w:rsidRPr="00C62C0D">
        <w:t>:</w:t>
      </w:r>
    </w:p>
    <w:p w:rsidR="008F0EB9" w:rsidRPr="005F52FE" w:rsidRDefault="008F0EB9" w:rsidP="008F0EB9">
      <w:pPr>
        <w:pStyle w:val="SingleTxtG"/>
        <w:ind w:left="2268"/>
      </w:pPr>
      <w:r>
        <w:t>Pour montage à l’extérieur ou à l’intérieur, ou les deux</w:t>
      </w:r>
      <w:r w:rsidRPr="00536417">
        <w:rPr>
          <w:bCs/>
          <w:sz w:val="18"/>
          <w:szCs w:val="18"/>
          <w:vertAlign w:val="superscript"/>
        </w:rPr>
        <w:t>2</w:t>
      </w:r>
    </w:p>
    <w:p w:rsidR="008F0EB9" w:rsidRPr="005F52FE" w:rsidRDefault="008F0EB9" w:rsidP="008F0EB9">
      <w:pPr>
        <w:pStyle w:val="SingleTxtG"/>
        <w:ind w:left="2268"/>
      </w:pPr>
      <w:r>
        <w:t>Couleur de la lumière émise : rouge/blanc</w:t>
      </w:r>
      <w:r w:rsidRPr="006647BC">
        <w:rPr>
          <w:sz w:val="18"/>
          <w:szCs w:val="18"/>
          <w:vertAlign w:val="superscript"/>
        </w:rPr>
        <w:t>2</w:t>
      </w:r>
    </w:p>
    <w:p w:rsidR="008F0EB9" w:rsidRPr="0038391A" w:rsidRDefault="008F0EB9" w:rsidP="005F52FE">
      <w:pPr>
        <w:pStyle w:val="SingleTxtG"/>
        <w:tabs>
          <w:tab w:val="right" w:leader="dot" w:pos="8505"/>
        </w:tabs>
        <w:ind w:left="2268"/>
        <w:rPr>
          <w:bCs/>
        </w:rPr>
      </w:pPr>
      <w:r>
        <w:rPr>
          <w:bCs/>
        </w:rPr>
        <w:t>Nombre, catégorie et type de la ou des sources lumineuses :</w:t>
      </w:r>
      <w:r w:rsidR="005F52FE">
        <w:rPr>
          <w:bCs/>
        </w:rPr>
        <w:tab/>
      </w:r>
      <w:r>
        <w:rPr>
          <w:bCs/>
        </w:rPr>
        <w:t>…………</w:t>
      </w:r>
    </w:p>
    <w:p w:rsidR="008F0EB9" w:rsidRDefault="008F0EB9" w:rsidP="005F52FE">
      <w:pPr>
        <w:pStyle w:val="SingleTxtG"/>
        <w:tabs>
          <w:tab w:val="right" w:leader="dot" w:pos="8505"/>
        </w:tabs>
        <w:ind w:left="2268"/>
      </w:pPr>
      <w:r>
        <w:t>Tension et puissance : ………………………………………</w:t>
      </w:r>
      <w:r w:rsidR="005F52FE">
        <w:tab/>
      </w:r>
      <w:r>
        <w:t>………..</w:t>
      </w:r>
    </w:p>
    <w:p w:rsidR="008F0EB9" w:rsidRDefault="008F0EB9" w:rsidP="005F52FE">
      <w:pPr>
        <w:pStyle w:val="SingleTxtG"/>
        <w:tabs>
          <w:tab w:val="right" w:leader="dot" w:pos="8505"/>
        </w:tabs>
        <w:ind w:left="2268"/>
      </w:pPr>
      <w:r>
        <w:t>Code d’identification propre au module d’éclairage</w:t>
      </w:r>
      <w:r w:rsidR="00290AD7">
        <w:t> :</w:t>
      </w:r>
      <w:r>
        <w:t>……………</w:t>
      </w:r>
      <w:r w:rsidR="005F52FE">
        <w:tab/>
      </w:r>
      <w:r>
        <w:t>…..</w:t>
      </w:r>
    </w:p>
    <w:p w:rsidR="008F0EB9" w:rsidRPr="00C62C0D" w:rsidRDefault="008F0EB9" w:rsidP="008F0EB9">
      <w:pPr>
        <w:pStyle w:val="SingleTxtG"/>
        <w:ind w:left="2268"/>
        <w:rPr>
          <w:bCs/>
        </w:rPr>
      </w:pPr>
      <w:r>
        <w:t>Uniquement pour une hauteur de montage limitée, égale ou inférieure à 750 mm au-dessus du sol : oui/non</w:t>
      </w:r>
      <w:r w:rsidRPr="006647BC">
        <w:rPr>
          <w:sz w:val="18"/>
          <w:szCs w:val="18"/>
          <w:vertAlign w:val="superscript"/>
        </w:rPr>
        <w:t>2</w:t>
      </w:r>
    </w:p>
    <w:p w:rsidR="008F0EB9" w:rsidRPr="00C62C0D" w:rsidRDefault="008F0EB9" w:rsidP="005F52FE">
      <w:pPr>
        <w:pStyle w:val="SingleTxtG"/>
        <w:tabs>
          <w:tab w:val="right" w:leader="dot" w:pos="8505"/>
        </w:tabs>
        <w:ind w:left="2268"/>
      </w:pPr>
      <w:r>
        <w:t>Caractéristiques géométriques de montage et variantes éventuelles</w:t>
      </w:r>
      <w:r w:rsidR="005F52FE">
        <w:t> </w:t>
      </w:r>
      <w:r>
        <w:t>:</w:t>
      </w:r>
      <w:r>
        <w:tab/>
      </w:r>
    </w:p>
    <w:p w:rsidR="008F0EB9" w:rsidRPr="00C62C0D" w:rsidRDefault="008F0EB9" w:rsidP="008F0EB9">
      <w:pPr>
        <w:pStyle w:val="SingleTxtG"/>
        <w:ind w:left="2268"/>
      </w:pPr>
      <w:r>
        <w:t>Le dispositif de régulation électronique de la source lumineuse ou du régulateur d’intensité </w:t>
      </w:r>
      <w:r w:rsidRPr="00C62C0D">
        <w:t>:</w:t>
      </w:r>
    </w:p>
    <w:p w:rsidR="008F0EB9" w:rsidRPr="00C62C0D" w:rsidRDefault="008F0EB9" w:rsidP="008F0EB9">
      <w:pPr>
        <w:pStyle w:val="SingleTxtG"/>
        <w:ind w:left="2268"/>
        <w:rPr>
          <w:bCs/>
        </w:rPr>
      </w:pPr>
      <w:r>
        <w:t>a)</w:t>
      </w:r>
      <w:r w:rsidRPr="00C62C0D">
        <w:tab/>
      </w:r>
      <w:r>
        <w:t>Fait partie du feu : oui/non</w:t>
      </w:r>
      <w:r w:rsidRPr="006647BC">
        <w:rPr>
          <w:sz w:val="18"/>
          <w:szCs w:val="18"/>
          <w:vertAlign w:val="superscript"/>
        </w:rPr>
        <w:t>2</w:t>
      </w:r>
    </w:p>
    <w:p w:rsidR="008F0EB9" w:rsidRPr="00C62C0D" w:rsidRDefault="008F0EB9" w:rsidP="008F0EB9">
      <w:pPr>
        <w:pStyle w:val="SingleTxtG"/>
        <w:ind w:left="2268"/>
        <w:rPr>
          <w:bCs/>
        </w:rPr>
      </w:pPr>
      <w:r>
        <w:t>b)</w:t>
      </w:r>
      <w:r w:rsidRPr="00C62C0D">
        <w:tab/>
      </w:r>
      <w:r>
        <w:t>Ne fait pas partie du feu : oui/non</w:t>
      </w:r>
      <w:r w:rsidRPr="006647BC">
        <w:rPr>
          <w:sz w:val="18"/>
          <w:szCs w:val="18"/>
          <w:vertAlign w:val="superscript"/>
        </w:rPr>
        <w:t>2</w:t>
      </w:r>
    </w:p>
    <w:p w:rsidR="008F0EB9" w:rsidRDefault="008F0EB9" w:rsidP="00290AD7">
      <w:pPr>
        <w:pStyle w:val="SingleTxtG"/>
        <w:tabs>
          <w:tab w:val="right" w:leader="dot" w:pos="8505"/>
        </w:tabs>
        <w:ind w:left="2268"/>
      </w:pPr>
      <w:r>
        <w:t xml:space="preserve">Tension(s) </w:t>
      </w:r>
      <w:r w:rsidRPr="005F52FE">
        <w:rPr>
          <w:spacing w:val="-2"/>
        </w:rPr>
        <w:t>d’alimentation du dispositif de régulation électronique de</w:t>
      </w:r>
      <w:r>
        <w:t xml:space="preserve"> la</w:t>
      </w:r>
      <w:r w:rsidR="005F52FE">
        <w:t xml:space="preserve"> </w:t>
      </w:r>
      <w:r>
        <w:t>source lumineuse ou du ré</w:t>
      </w:r>
      <w:r w:rsidR="00290AD7">
        <w:t>gulateur d’intensité :</w:t>
      </w:r>
      <w:r w:rsidR="00290AD7">
        <w:tab/>
      </w:r>
    </w:p>
    <w:p w:rsidR="008F0EB9" w:rsidRDefault="008F0EB9" w:rsidP="005F52FE">
      <w:pPr>
        <w:pStyle w:val="SingleTxtG"/>
        <w:tabs>
          <w:tab w:val="right" w:leader="dot" w:pos="8505"/>
        </w:tabs>
        <w:ind w:left="2268"/>
      </w:pPr>
      <w:r>
        <w:t>Nom du fabricant et numéro d’identification du dispositif de régulation électronique de la source lumineuse ou du régulateur d’intensité (lorsque le dispositif de régulation de la source lumineuse fait partie du</w:t>
      </w:r>
      <w:r w:rsidR="005F52FE">
        <w:t xml:space="preserve"> </w:t>
      </w:r>
      <w:r>
        <w:t>feu mais n’est pa</w:t>
      </w:r>
      <w:r w:rsidR="00290AD7">
        <w:t>s incorporé dans son boîtier ) :</w:t>
      </w:r>
      <w:r w:rsidR="00290AD7">
        <w:tab/>
      </w:r>
    </w:p>
    <w:p w:rsidR="008F0EB9" w:rsidRPr="0038391A" w:rsidRDefault="008F0EB9" w:rsidP="008F0EB9">
      <w:pPr>
        <w:pStyle w:val="SingleTxtG"/>
        <w:tabs>
          <w:tab w:val="left" w:leader="dot" w:pos="8505"/>
        </w:tabs>
        <w:ind w:left="2268"/>
      </w:pPr>
      <w:r>
        <w:t>Intensité lumineuse variable : oui/non</w:t>
      </w:r>
      <w:r w:rsidRPr="009B2F0E">
        <w:rPr>
          <w:vertAlign w:val="superscript"/>
        </w:rPr>
        <w:t>2</w:t>
      </w:r>
    </w:p>
    <w:p w:rsidR="008F0EB9" w:rsidRDefault="008F0EB9" w:rsidP="008F0EB9">
      <w:pPr>
        <w:pStyle w:val="SingleTxtG"/>
        <w:ind w:left="2268"/>
        <w:rPr>
          <w:bCs/>
          <w:vertAlign w:val="superscript"/>
        </w:rPr>
      </w:pPr>
      <w:r w:rsidRPr="00A7143D">
        <w:t>Le feu de position avant</w:t>
      </w:r>
      <w:r w:rsidRPr="00A7143D">
        <w:rPr>
          <w:bCs/>
          <w:vertAlign w:val="superscript"/>
        </w:rPr>
        <w:t>2</w:t>
      </w:r>
      <w:r w:rsidRPr="00A7143D">
        <w:t>, feu de position arrière</w:t>
      </w:r>
      <w:r w:rsidRPr="00A7143D">
        <w:rPr>
          <w:bCs/>
          <w:vertAlign w:val="superscript"/>
        </w:rPr>
        <w:t>2</w:t>
      </w:r>
      <w:r>
        <w:rPr>
          <w:bCs/>
        </w:rPr>
        <w:t>,</w:t>
      </w:r>
      <w:r>
        <w:t xml:space="preserve"> feu </w:t>
      </w:r>
      <w:r w:rsidRPr="00A7143D">
        <w:t>stop</w:t>
      </w:r>
      <w:r w:rsidRPr="00A7143D">
        <w:rPr>
          <w:bCs/>
          <w:vertAlign w:val="superscript"/>
        </w:rPr>
        <w:t>2</w:t>
      </w:r>
      <w:r>
        <w:rPr>
          <w:bCs/>
        </w:rPr>
        <w:t>,</w:t>
      </w:r>
      <w:r w:rsidRPr="00A7143D">
        <w:t xml:space="preserve"> feu d</w:t>
      </w:r>
      <w:r>
        <w:t>’</w:t>
      </w:r>
      <w:r w:rsidRPr="00A7143D">
        <w:t>encombrement</w:t>
      </w:r>
      <w:r w:rsidRPr="00A7143D">
        <w:rPr>
          <w:bCs/>
          <w:vertAlign w:val="superscript"/>
        </w:rPr>
        <w:t>2</w:t>
      </w:r>
      <w:r w:rsidRPr="00A7143D">
        <w:t xml:space="preserve"> </w:t>
      </w:r>
      <w:r>
        <w:t>ne peut être utilisé que sur un véhicule équipé d’un témoin indiquant un défaut de fonctionnement : oui/non</w:t>
      </w:r>
      <w:r w:rsidRPr="00A7143D">
        <w:rPr>
          <w:bCs/>
          <w:vertAlign w:val="superscript"/>
        </w:rPr>
        <w:t>2</w:t>
      </w:r>
    </w:p>
    <w:p w:rsidR="008F0EB9" w:rsidRPr="00AC18AD" w:rsidRDefault="008F0EB9" w:rsidP="008F0EB9">
      <w:pPr>
        <w:spacing w:after="120"/>
        <w:ind w:left="567" w:right="1134"/>
        <w:jc w:val="both"/>
        <w:rPr>
          <w:lang w:val="en-US"/>
        </w:rPr>
      </w:pPr>
      <w:r>
        <w:rPr>
          <w:lang w:val="en-US"/>
        </w:rPr>
        <w:t>_______________</w:t>
      </w:r>
    </w:p>
    <w:p w:rsidR="008F0EB9" w:rsidRPr="008F0EB9" w:rsidRDefault="008F0EB9" w:rsidP="005F52FE">
      <w:pPr>
        <w:pStyle w:val="FootnoteText"/>
        <w:rPr>
          <w:u w:val="single"/>
        </w:rPr>
      </w:pPr>
      <w:r w:rsidRPr="008F0EB9">
        <w:rPr>
          <w:vertAlign w:val="superscript"/>
        </w:rPr>
        <w:tab/>
        <w:t>2</w:t>
      </w:r>
      <w:r w:rsidRPr="008F0EB9">
        <w:tab/>
        <w:t>Biffer les mentions inutiles</w:t>
      </w:r>
      <w:r>
        <w:t>. »</w:t>
      </w:r>
      <w:r w:rsidRPr="008F0EB9">
        <w:t>.</w:t>
      </w:r>
    </w:p>
    <w:p w:rsidR="005F0207" w:rsidRPr="008F0EB9" w:rsidRDefault="008F0EB9" w:rsidP="008F0EB9">
      <w:pPr>
        <w:pStyle w:val="SingleTxtG"/>
        <w:spacing w:before="240" w:after="0"/>
        <w:jc w:val="center"/>
        <w:rPr>
          <w:u w:val="single"/>
        </w:rPr>
      </w:pPr>
      <w:r>
        <w:rPr>
          <w:u w:val="single"/>
        </w:rPr>
        <w:tab/>
      </w:r>
      <w:r>
        <w:rPr>
          <w:u w:val="single"/>
        </w:rPr>
        <w:tab/>
      </w:r>
      <w:r>
        <w:rPr>
          <w:u w:val="single"/>
        </w:rPr>
        <w:tab/>
      </w:r>
    </w:p>
    <w:sectPr w:rsidR="005F0207" w:rsidRPr="008F0EB9" w:rsidSect="008F0EB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F2" w:rsidRDefault="00370AF2"/>
  </w:endnote>
  <w:endnote w:type="continuationSeparator" w:id="0">
    <w:p w:rsidR="00370AF2" w:rsidRDefault="00370AF2">
      <w:pPr>
        <w:pStyle w:val="Footer"/>
      </w:pPr>
    </w:p>
  </w:endnote>
  <w:endnote w:type="continuationNotice" w:id="1">
    <w:p w:rsidR="00370AF2" w:rsidRPr="00C451B9" w:rsidRDefault="00370AF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B9" w:rsidRPr="008F0EB9" w:rsidRDefault="008F0EB9" w:rsidP="008F0EB9">
    <w:pPr>
      <w:pStyle w:val="Footer"/>
      <w:tabs>
        <w:tab w:val="right" w:pos="9638"/>
      </w:tabs>
    </w:pPr>
    <w:r w:rsidRPr="008F0EB9">
      <w:rPr>
        <w:b/>
        <w:sz w:val="18"/>
      </w:rPr>
      <w:fldChar w:fldCharType="begin"/>
    </w:r>
    <w:r w:rsidRPr="008F0EB9">
      <w:rPr>
        <w:b/>
        <w:sz w:val="18"/>
      </w:rPr>
      <w:instrText xml:space="preserve"> PAGE  \* MERGEFORMAT </w:instrText>
    </w:r>
    <w:r w:rsidRPr="008F0EB9">
      <w:rPr>
        <w:b/>
        <w:sz w:val="18"/>
      </w:rPr>
      <w:fldChar w:fldCharType="separate"/>
    </w:r>
    <w:r w:rsidR="00913CAD">
      <w:rPr>
        <w:b/>
        <w:noProof/>
        <w:sz w:val="18"/>
      </w:rPr>
      <w:t>2</w:t>
    </w:r>
    <w:r w:rsidRPr="008F0EB9">
      <w:rPr>
        <w:b/>
        <w:sz w:val="18"/>
      </w:rPr>
      <w:fldChar w:fldCharType="end"/>
    </w:r>
    <w:r>
      <w:rPr>
        <w:b/>
        <w:sz w:val="18"/>
      </w:rPr>
      <w:tab/>
    </w:r>
    <w:r>
      <w:t>GE.17-10620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B9" w:rsidRPr="008F0EB9" w:rsidRDefault="008F0EB9" w:rsidP="008F0EB9">
    <w:pPr>
      <w:pStyle w:val="Footer"/>
      <w:tabs>
        <w:tab w:val="right" w:pos="9638"/>
      </w:tabs>
      <w:rPr>
        <w:b/>
        <w:sz w:val="18"/>
      </w:rPr>
    </w:pPr>
    <w:r>
      <w:t>GE.17-10620</w:t>
    </w:r>
    <w:r>
      <w:tab/>
    </w:r>
    <w:r w:rsidRPr="008F0EB9">
      <w:rPr>
        <w:b/>
        <w:sz w:val="18"/>
      </w:rPr>
      <w:fldChar w:fldCharType="begin"/>
    </w:r>
    <w:r w:rsidRPr="008F0EB9">
      <w:rPr>
        <w:b/>
        <w:sz w:val="18"/>
      </w:rPr>
      <w:instrText xml:space="preserve"> PAGE  \* MERGEFORMAT </w:instrText>
    </w:r>
    <w:r w:rsidRPr="008F0EB9">
      <w:rPr>
        <w:b/>
        <w:sz w:val="18"/>
      </w:rPr>
      <w:fldChar w:fldCharType="separate"/>
    </w:r>
    <w:r w:rsidR="00290AD7">
      <w:rPr>
        <w:b/>
        <w:noProof/>
        <w:sz w:val="18"/>
      </w:rPr>
      <w:t>2</w:t>
    </w:r>
    <w:r w:rsidRPr="008F0E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8F0EB9" w:rsidRDefault="008F0EB9" w:rsidP="008F0EB9">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17-10620  (F)</w:t>
    </w:r>
    <w:r w:rsidR="005F52FE">
      <w:rPr>
        <w:sz w:val="20"/>
      </w:rPr>
      <w:t xml:space="preserve">    241117    271117</w:t>
    </w:r>
    <w:r>
      <w:rPr>
        <w:sz w:val="20"/>
      </w:rPr>
      <w:br/>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sidRPr="008F0EB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Add.6/Rev.6/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6/Rev.6/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F2" w:rsidRPr="00D27D5E" w:rsidRDefault="00370AF2" w:rsidP="00D27D5E">
      <w:pPr>
        <w:tabs>
          <w:tab w:val="right" w:pos="2155"/>
        </w:tabs>
        <w:spacing w:after="80"/>
        <w:ind w:left="680"/>
        <w:rPr>
          <w:u w:val="single"/>
        </w:rPr>
      </w:pPr>
      <w:r>
        <w:rPr>
          <w:u w:val="single"/>
        </w:rPr>
        <w:tab/>
      </w:r>
    </w:p>
  </w:footnote>
  <w:footnote w:type="continuationSeparator" w:id="0">
    <w:p w:rsidR="00370AF2" w:rsidRPr="00D171D4" w:rsidRDefault="00370AF2" w:rsidP="00D171D4">
      <w:pPr>
        <w:tabs>
          <w:tab w:val="right" w:pos="2155"/>
        </w:tabs>
        <w:spacing w:after="80"/>
        <w:ind w:left="680"/>
        <w:rPr>
          <w:u w:val="single"/>
        </w:rPr>
      </w:pPr>
      <w:r w:rsidRPr="00D171D4">
        <w:rPr>
          <w:u w:val="single"/>
        </w:rPr>
        <w:tab/>
      </w:r>
    </w:p>
  </w:footnote>
  <w:footnote w:type="continuationNotice" w:id="1">
    <w:p w:rsidR="00370AF2" w:rsidRPr="00C451B9" w:rsidRDefault="00370AF2"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290AD7">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8F0EB9">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B9" w:rsidRPr="008F0EB9" w:rsidRDefault="00913CAD">
    <w:pPr>
      <w:pStyle w:val="Header"/>
    </w:pPr>
    <w:r>
      <w:fldChar w:fldCharType="begin"/>
    </w:r>
    <w:r>
      <w:instrText xml:space="preserve"> TITLE  \* MERGEFORMAT </w:instrText>
    </w:r>
    <w:r>
      <w:fldChar w:fldCharType="separate"/>
    </w:r>
    <w:r>
      <w:t>E/ECE/324/Add.6/Rev.6/Amend.5</w:t>
    </w:r>
    <w:r>
      <w:fldChar w:fldCharType="end"/>
    </w:r>
    <w:r w:rsidR="008F0EB9">
      <w:br/>
    </w:r>
    <w:r>
      <w:fldChar w:fldCharType="begin"/>
    </w:r>
    <w:r>
      <w:instrText xml:space="preserve"> KEYWORDS  \* MERGEFORMAT </w:instrText>
    </w:r>
    <w:r>
      <w:fldChar w:fldCharType="separate"/>
    </w:r>
    <w:r>
      <w:t>E/ECE/TRANS/505/Add.6/Rev.6/Amend.5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B9" w:rsidRPr="008F0EB9" w:rsidRDefault="00913CAD" w:rsidP="008F0EB9">
    <w:pPr>
      <w:pStyle w:val="Header"/>
      <w:jc w:val="right"/>
    </w:pPr>
    <w:r>
      <w:fldChar w:fldCharType="begin"/>
    </w:r>
    <w:r>
      <w:instrText xml:space="preserve"> TITLE  \* MERGEFORMAT </w:instrText>
    </w:r>
    <w:r>
      <w:fldChar w:fldCharType="separate"/>
    </w:r>
    <w:r>
      <w:t>E/ECE/324/Add.6/Rev.6/Amend.5</w:t>
    </w:r>
    <w:r>
      <w:fldChar w:fldCharType="end"/>
    </w:r>
    <w:r w:rsidR="008F0EB9">
      <w:br/>
    </w:r>
    <w:r>
      <w:fldChar w:fldCharType="begin"/>
    </w:r>
    <w:r>
      <w:instrText xml:space="preserve"> KEYWORDS  \* MERGEFORMAT </w:instrText>
    </w:r>
    <w:r>
      <w:fldChar w:fldCharType="separate"/>
    </w:r>
    <w:r>
      <w:t>E/ECE/TRANS/505/Add.6/Rev.6/Amend.5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F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0AD7"/>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0AF2"/>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57D0"/>
    <w:rsid w:val="005111B1"/>
    <w:rsid w:val="0051457E"/>
    <w:rsid w:val="0051714B"/>
    <w:rsid w:val="00520F80"/>
    <w:rsid w:val="005239FF"/>
    <w:rsid w:val="00523DB8"/>
    <w:rsid w:val="00533150"/>
    <w:rsid w:val="00543B57"/>
    <w:rsid w:val="00543C47"/>
    <w:rsid w:val="00543D5E"/>
    <w:rsid w:val="00545CF6"/>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2FE"/>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70CB"/>
    <w:rsid w:val="006A6B31"/>
    <w:rsid w:val="006A6C95"/>
    <w:rsid w:val="006A7B29"/>
    <w:rsid w:val="006B0EB2"/>
    <w:rsid w:val="006B0FF8"/>
    <w:rsid w:val="006B1BAE"/>
    <w:rsid w:val="006B4590"/>
    <w:rsid w:val="006C340C"/>
    <w:rsid w:val="006E13F3"/>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0EB9"/>
    <w:rsid w:val="00911BF7"/>
    <w:rsid w:val="00913CAD"/>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78D"/>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1BF0"/>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6D441E8-CC78-40CF-8B2F-A2EBC12D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E/ECE/324/Add.6/Rev.6/Amend.5</vt:lpstr>
      <vt:lpstr>E/ECE/324/Add.6/Rev.6/Amend.5</vt:lpstr>
    </vt:vector>
  </TitlesOfParts>
  <Company>CSD</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E/ECE/324/Add.6/Rev.6/Amend.5</dc:title>
  <dc:creator>Fabienne CRELIER</dc:creator>
  <cp:keywords>E/ECE/TRANS/505/Add.6/Rev.6/Amend.5</cp:keywords>
  <cp:lastModifiedBy>Marie-Claude Collet</cp:lastModifiedBy>
  <cp:revision>3</cp:revision>
  <cp:lastPrinted>2017-11-27T15:30:00Z</cp:lastPrinted>
  <dcterms:created xsi:type="dcterms:W3CDTF">2017-11-27T15:30:00Z</dcterms:created>
  <dcterms:modified xsi:type="dcterms:W3CDTF">2017-11-27T15:31:00Z</dcterms:modified>
</cp:coreProperties>
</file>