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5711A6" w:rsidP="002C5B16">
            <w:pPr>
              <w:jc w:val="right"/>
            </w:pPr>
            <w:r w:rsidRPr="00014D07">
              <w:rPr>
                <w:sz w:val="40"/>
              </w:rPr>
              <w:t>E</w:t>
            </w:r>
            <w:r>
              <w:t>/ECE/324/Rev.2/Add.134/Amend.1−</w:t>
            </w:r>
            <w:r w:rsidRPr="00014D07">
              <w:rPr>
                <w:sz w:val="40"/>
              </w:rPr>
              <w:t>E</w:t>
            </w:r>
            <w:r>
              <w:t>/ECE/TRANS/505/Rev.2/Add.134/Amend.1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8F798B" w:rsidRPr="00DB58B5" w:rsidRDefault="008F798B" w:rsidP="00495A7B">
            <w:pPr>
              <w:spacing w:before="480" w:line="240" w:lineRule="exact"/>
            </w:pPr>
            <w:r w:rsidRPr="008F798B">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5711A6">
        <w:t>134</w:t>
      </w:r>
      <w:r w:rsidR="00421A10" w:rsidRPr="006549FF">
        <w:t>: Règlement</w:t>
      </w:r>
      <w:r w:rsidR="00421A10">
        <w:t xml:space="preserve"> </w:t>
      </w:r>
      <w:r w:rsidR="00421A10" w:rsidRPr="00B371BF">
        <w:t>n</w:t>
      </w:r>
      <w:r w:rsidR="00421A10" w:rsidRPr="00B371BF">
        <w:rPr>
          <w:vertAlign w:val="superscript"/>
        </w:rPr>
        <w:t>o</w:t>
      </w:r>
      <w:r w:rsidR="00421A10">
        <w:t> </w:t>
      </w:r>
      <w:r w:rsidR="005711A6">
        <w:t>135</w:t>
      </w:r>
    </w:p>
    <w:p w:rsidR="00421A10" w:rsidRPr="006549FF" w:rsidRDefault="0029791D" w:rsidP="00242268">
      <w:pPr>
        <w:pStyle w:val="H1G"/>
        <w:spacing w:before="220" w:after="100" w:line="240" w:lineRule="exact"/>
      </w:pPr>
      <w:r>
        <w:tab/>
      </w:r>
      <w:r>
        <w:tab/>
      </w:r>
      <w:r w:rsidR="000314C7">
        <w:t xml:space="preserve">Amendement </w:t>
      </w:r>
      <w:r w:rsidR="005711A6">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5711A6">
        <w:rPr>
          <w:spacing w:val="-2"/>
        </w:rPr>
        <w:t>1</w:t>
      </w:r>
      <w:r w:rsidR="00FC2CA9" w:rsidRPr="00FC2CA9">
        <w:rPr>
          <w:spacing w:val="-2"/>
        </w:rPr>
        <w:t xml:space="preserve"> </w:t>
      </w:r>
      <w:r w:rsidRPr="00FC2CA9">
        <w:rPr>
          <w:spacing w:val="-2"/>
        </w:rPr>
        <w:t>à la</w:t>
      </w:r>
      <w:r w:rsidR="00FC2CA9" w:rsidRPr="00FC2CA9">
        <w:rPr>
          <w:spacing w:val="-2"/>
        </w:rPr>
        <w:t xml:space="preserve"> </w:t>
      </w:r>
      <w:r w:rsidR="005711A6">
        <w:rPr>
          <w:spacing w:val="-2"/>
        </w:rPr>
        <w:t>version originale d</w:t>
      </w:r>
      <w:r w:rsidR="00FC2CA9" w:rsidRPr="00FC2CA9">
        <w:rPr>
          <w:spacing w:val="-2"/>
        </w:rPr>
        <w:t>u</w:t>
      </w:r>
      <w:r w:rsidR="00015650" w:rsidRPr="00FC2CA9">
        <w:rPr>
          <w:spacing w:val="-2"/>
        </w:rPr>
        <w:t xml:space="preserve"> Règlement − Date d’entrée en vigueur:</w:t>
      </w:r>
      <w:r w:rsidR="00182EA1">
        <w:rPr>
          <w:spacing w:val="-2"/>
        </w:rPr>
        <w:br/>
      </w:r>
      <w:r w:rsidR="005711A6" w:rsidRPr="005711A6">
        <w:rPr>
          <w:spacing w:val="-2"/>
        </w:rPr>
        <w:t>2</w:t>
      </w:r>
      <w:r w:rsidR="005711A6">
        <w:rPr>
          <w:spacing w:val="-2"/>
        </w:rPr>
        <w:t>9</w:t>
      </w:r>
      <w:r w:rsidR="005711A6" w:rsidRPr="005711A6">
        <w:rPr>
          <w:spacing w:val="-2"/>
        </w:rPr>
        <w:t xml:space="preserve"> janvier 2016</w:t>
      </w:r>
    </w:p>
    <w:p w:rsidR="00DD1ED8" w:rsidRPr="00242268" w:rsidRDefault="00DD1ED8" w:rsidP="00242268">
      <w:pPr>
        <w:pStyle w:val="H1G"/>
        <w:spacing w:line="260" w:lineRule="exact"/>
        <w:rPr>
          <w:spacing w:val="-2"/>
        </w:rPr>
      </w:pPr>
      <w:r>
        <w:tab/>
      </w:r>
      <w:r>
        <w:tab/>
      </w:r>
      <w:r w:rsidR="00811F9A" w:rsidRPr="00811F9A">
        <w:rPr>
          <w:spacing w:val="-2"/>
        </w:rPr>
        <w:t>Dispositions uniformes concernant l’homologation des véhicules en ce qui concerne leur comportement lors des essais de choc latéral contre un poteau</w:t>
      </w:r>
    </w:p>
    <w:p w:rsidR="00D5218B" w:rsidRDefault="001D3393" w:rsidP="005711A6">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5711A6">
        <w:rPr>
          <w:lang w:val="en-GB" w:eastAsia="en-GB"/>
        </w:rPr>
        <w:t>54.</w:t>
      </w:r>
    </w:p>
    <w:p w:rsidR="005711A6" w:rsidRPr="005711A6" w:rsidRDefault="00DD1ED8" w:rsidP="005711A6">
      <w:pPr>
        <w:pStyle w:val="SingleTxtG"/>
      </w:pPr>
      <w:r>
        <w:br w:type="page"/>
      </w:r>
      <w:r w:rsidR="005711A6" w:rsidRPr="005711A6">
        <w:rPr>
          <w:i/>
          <w:iCs/>
        </w:rPr>
        <w:lastRenderedPageBreak/>
        <w:t>Paragraphe 1.1</w:t>
      </w:r>
      <w:r w:rsidR="005711A6" w:rsidRPr="005711A6">
        <w:t xml:space="preserve">, </w:t>
      </w:r>
      <w:proofErr w:type="gramStart"/>
      <w:r w:rsidR="005711A6" w:rsidRPr="005711A6">
        <w:t>modifier</w:t>
      </w:r>
      <w:proofErr w:type="gramEnd"/>
      <w:r w:rsidR="005711A6" w:rsidRPr="005711A6">
        <w:t xml:space="preserve"> comme suit:</w:t>
      </w:r>
    </w:p>
    <w:p w:rsidR="005711A6" w:rsidRPr="005711A6" w:rsidRDefault="005711A6" w:rsidP="005711A6">
      <w:pPr>
        <w:keepNext/>
        <w:kinsoku w:val="0"/>
        <w:overflowPunct w:val="0"/>
        <w:autoSpaceDE w:val="0"/>
        <w:autoSpaceDN w:val="0"/>
        <w:adjustRightInd w:val="0"/>
        <w:snapToGrid w:val="0"/>
        <w:spacing w:after="120"/>
        <w:ind w:left="2268" w:right="1134" w:hanging="1134"/>
        <w:jc w:val="both"/>
      </w:pPr>
      <w:r w:rsidRPr="005711A6">
        <w:rPr>
          <w:lang w:eastAsia="de-DE"/>
        </w:rPr>
        <w:t>«</w:t>
      </w:r>
      <w:r w:rsidRPr="005711A6">
        <w:t>1.1</w:t>
      </w:r>
      <w:r w:rsidRPr="005711A6">
        <w:tab/>
        <w:t>Le présent Règlement s’applique:</w:t>
      </w:r>
    </w:p>
    <w:p w:rsidR="005711A6" w:rsidRPr="005711A6" w:rsidRDefault="005711A6" w:rsidP="005711A6">
      <w:pPr>
        <w:kinsoku w:val="0"/>
        <w:overflowPunct w:val="0"/>
        <w:autoSpaceDE w:val="0"/>
        <w:autoSpaceDN w:val="0"/>
        <w:adjustRightInd w:val="0"/>
        <w:snapToGrid w:val="0"/>
        <w:spacing w:after="120"/>
        <w:ind w:left="2835" w:right="1134" w:hanging="567"/>
        <w:jc w:val="both"/>
      </w:pPr>
      <w:r w:rsidRPr="005711A6">
        <w:t>a)</w:t>
      </w:r>
      <w:r w:rsidRPr="005711A6">
        <w:tab/>
        <w:t>Aux véhicules de la catégorie M</w:t>
      </w:r>
      <w:r w:rsidRPr="005711A6">
        <w:rPr>
          <w:vertAlign w:val="subscript"/>
        </w:rPr>
        <w:t xml:space="preserve">1 </w:t>
      </w:r>
      <w:r w:rsidRPr="005711A6">
        <w:t>dont le poids total en charge ne dépasse pas 3 500 kg; et</w:t>
      </w:r>
    </w:p>
    <w:p w:rsidR="005711A6" w:rsidRPr="005711A6" w:rsidRDefault="005711A6" w:rsidP="005711A6">
      <w:pPr>
        <w:kinsoku w:val="0"/>
        <w:overflowPunct w:val="0"/>
        <w:autoSpaceDE w:val="0"/>
        <w:autoSpaceDN w:val="0"/>
        <w:adjustRightInd w:val="0"/>
        <w:snapToGrid w:val="0"/>
        <w:spacing w:after="120"/>
        <w:ind w:left="2835" w:right="1134" w:hanging="567"/>
        <w:jc w:val="both"/>
        <w:rPr>
          <w:szCs w:val="24"/>
        </w:rPr>
      </w:pPr>
      <w:r w:rsidRPr="005711A6">
        <w:rPr>
          <w:szCs w:val="24"/>
        </w:rPr>
        <w:t>b)</w:t>
      </w:r>
      <w:r w:rsidRPr="005711A6">
        <w:rPr>
          <w:szCs w:val="24"/>
        </w:rPr>
        <w:tab/>
        <w:t>Aux véhicules de la catégorie N</w:t>
      </w:r>
      <w:r w:rsidRPr="005711A6">
        <w:rPr>
          <w:szCs w:val="24"/>
          <w:vertAlign w:val="subscript"/>
        </w:rPr>
        <w:t>1</w:t>
      </w:r>
      <w:r w:rsidRPr="005711A6">
        <w:rPr>
          <w:szCs w:val="24"/>
        </w:rPr>
        <w:t xml:space="preserve"> sur lesquels l’angle aigu alpha (α), mesuré entre un plan horizontal passant par le centre de l’essieu avant et un plan transversal angulaire passant par le centre de l’essieu avant et le point R du siège du conducteur, comme indiqué ci-dessous, est inférieur à 22°, ou sur lesquels le rapport entre la distance séparant le point R du conducteur du centre de l’essieu arrière (L101-L114) et le centre de l’essieu avant et le point R du conducteur est inférieur à 1,30</w:t>
      </w:r>
      <w:r w:rsidRPr="005711A6">
        <w:rPr>
          <w:sz w:val="18"/>
          <w:szCs w:val="24"/>
          <w:vertAlign w:val="superscript"/>
        </w:rPr>
        <w:footnoteReference w:id="2"/>
      </w:r>
      <w:r w:rsidRPr="005711A6">
        <w:rPr>
          <w:szCs w:val="24"/>
        </w:rPr>
        <w:t>.</w:t>
      </w:r>
    </w:p>
    <w:p w:rsidR="005711A6" w:rsidRPr="005711A6" w:rsidRDefault="008F798B" w:rsidP="005711A6">
      <w:pPr>
        <w:kinsoku w:val="0"/>
        <w:overflowPunct w:val="0"/>
        <w:autoSpaceDE w:val="0"/>
        <w:autoSpaceDN w:val="0"/>
        <w:adjustRightInd w:val="0"/>
        <w:snapToGrid w:val="0"/>
        <w:spacing w:after="120"/>
        <w:ind w:left="1134" w:right="1134"/>
        <w:jc w:val="right"/>
        <w:rPr>
          <w:vertAlign w:val="superscript"/>
        </w:rPr>
      </w:pPr>
      <w:r>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style="width:309.6pt;height:166.8pt;visibility:visible;mso-wrap-style:square">
            <v:imagedata r:id="rId8" o:title="" croptop="1719f" cropbottom="4122f" cropleft="908f" cropright="2756f"/>
          </v:shape>
        </w:pict>
      </w:r>
    </w:p>
    <w:p w:rsidR="005711A6" w:rsidRPr="005711A6" w:rsidRDefault="005711A6" w:rsidP="005711A6">
      <w:pPr>
        <w:kinsoku w:val="0"/>
        <w:overflowPunct w:val="0"/>
        <w:autoSpaceDE w:val="0"/>
        <w:autoSpaceDN w:val="0"/>
        <w:adjustRightInd w:val="0"/>
        <w:snapToGrid w:val="0"/>
        <w:spacing w:after="120"/>
        <w:ind w:left="1134" w:right="1134"/>
        <w:jc w:val="right"/>
      </w:pPr>
      <w:r w:rsidRPr="005711A6">
        <w:t>».</w:t>
      </w:r>
    </w:p>
    <w:p w:rsidR="005711A6" w:rsidRPr="005711A6" w:rsidRDefault="005711A6" w:rsidP="005711A6">
      <w:pPr>
        <w:kinsoku w:val="0"/>
        <w:overflowPunct w:val="0"/>
        <w:autoSpaceDE w:val="0"/>
        <w:autoSpaceDN w:val="0"/>
        <w:adjustRightInd w:val="0"/>
        <w:snapToGrid w:val="0"/>
        <w:spacing w:before="240"/>
        <w:ind w:left="1134" w:right="1134"/>
        <w:jc w:val="center"/>
        <w:rPr>
          <w:u w:val="single"/>
        </w:rPr>
      </w:pPr>
      <w:r w:rsidRPr="005711A6">
        <w:rPr>
          <w:u w:val="single"/>
        </w:rPr>
        <w:tab/>
      </w:r>
      <w:r w:rsidRPr="005711A6">
        <w:rPr>
          <w:u w:val="single"/>
        </w:rPr>
        <w:tab/>
      </w:r>
      <w:r w:rsidRPr="005711A6">
        <w:rPr>
          <w:u w:val="single"/>
        </w:rPr>
        <w:tab/>
      </w:r>
    </w:p>
    <w:p w:rsidR="00FC2CA9" w:rsidRPr="00972C55" w:rsidRDefault="00FC2CA9" w:rsidP="00EF5EBC">
      <w:pPr>
        <w:pStyle w:val="SingleTxtG"/>
        <w:rPr>
          <w:u w:val="single"/>
        </w:rPr>
      </w:pPr>
    </w:p>
    <w:sectPr w:rsidR="00FC2CA9" w:rsidRPr="00972C55" w:rsidSect="000314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9A" w:rsidRDefault="00811F9A"/>
  </w:endnote>
  <w:endnote w:type="continuationSeparator" w:id="0">
    <w:p w:rsidR="00811F9A" w:rsidRDefault="00811F9A">
      <w:pPr>
        <w:pStyle w:val="Footer"/>
      </w:pPr>
    </w:p>
  </w:endnote>
  <w:endnote w:type="continuationNotice" w:id="1">
    <w:p w:rsidR="00811F9A" w:rsidRPr="00C451B9" w:rsidRDefault="00811F9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8F798B">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8F798B"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1.2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9A" w:rsidRPr="00D27D5E" w:rsidRDefault="00811F9A" w:rsidP="00D27D5E">
      <w:pPr>
        <w:tabs>
          <w:tab w:val="right" w:pos="2155"/>
        </w:tabs>
        <w:spacing w:after="80"/>
        <w:ind w:left="680"/>
        <w:rPr>
          <w:u w:val="single"/>
        </w:rPr>
      </w:pPr>
      <w:r>
        <w:rPr>
          <w:u w:val="single"/>
        </w:rPr>
        <w:tab/>
      </w:r>
    </w:p>
  </w:footnote>
  <w:footnote w:type="continuationSeparator" w:id="0">
    <w:p w:rsidR="00811F9A" w:rsidRPr="00D171D4" w:rsidRDefault="00811F9A" w:rsidP="00D171D4">
      <w:pPr>
        <w:tabs>
          <w:tab w:val="right" w:pos="2155"/>
        </w:tabs>
        <w:spacing w:after="80"/>
        <w:ind w:left="680"/>
        <w:rPr>
          <w:u w:val="single"/>
        </w:rPr>
      </w:pPr>
      <w:r w:rsidRPr="00D171D4">
        <w:rPr>
          <w:u w:val="single"/>
        </w:rPr>
        <w:tab/>
      </w:r>
    </w:p>
  </w:footnote>
  <w:footnote w:type="continuationNotice" w:id="1">
    <w:p w:rsidR="00811F9A" w:rsidRPr="00C451B9" w:rsidRDefault="00811F9A" w:rsidP="00C451B9">
      <w:pPr>
        <w:spacing w:line="240" w:lineRule="auto"/>
        <w:rPr>
          <w:sz w:val="2"/>
          <w:szCs w:val="2"/>
        </w:rPr>
      </w:pPr>
    </w:p>
  </w:footnote>
  <w:footnote w:id="2">
    <w:p w:rsidR="005711A6" w:rsidRPr="003E0896" w:rsidRDefault="005711A6" w:rsidP="005711A6">
      <w:pPr>
        <w:pStyle w:val="FootnoteText"/>
      </w:pPr>
      <w:r>
        <w:tab/>
      </w:r>
      <w:r>
        <w:rPr>
          <w:rStyle w:val="FootnoteReference"/>
        </w:rPr>
        <w:footnoteRef/>
      </w:r>
      <w:r w:rsidRPr="00037B48">
        <w:tab/>
      </w:r>
      <w:r w:rsidRPr="003E0896">
        <w:t>Selon la définition de la Résolution d’ensemble sur la construction des véhicules (R.E.3), document</w:t>
      </w:r>
      <w:r>
        <w:t> </w:t>
      </w:r>
      <w:proofErr w:type="spellStart"/>
      <w:r w:rsidRPr="003E0896">
        <w:t>ECE</w:t>
      </w:r>
      <w:proofErr w:type="spellEnd"/>
      <w:r w:rsidRPr="003E0896">
        <w:t>/TRANS/WP.29/78/Rev.3, par.</w:t>
      </w:r>
      <w:r>
        <w:t> </w:t>
      </w:r>
      <w:r w:rsidRPr="003E0896">
        <w:t xml:space="preserve">2 </w:t>
      </w:r>
      <w:r>
        <w:t xml:space="preserve">− </w:t>
      </w:r>
      <w:hyperlink r:id="rId1" w:history="1">
        <w:r w:rsidRPr="00AE252F">
          <w:rPr>
            <w:rStyle w:val="Hyperlink"/>
          </w:rPr>
          <w:t>www.unece.org/trans/main/wp29/wp29wgs/</w:t>
        </w:r>
        <w:r>
          <w:rPr>
            <w:rStyle w:val="Hyperlink"/>
          </w:rPr>
          <w:t xml:space="preserve"> </w:t>
        </w:r>
        <w:r w:rsidRPr="00AE252F">
          <w:rPr>
            <w:rStyle w:val="Hyperlink"/>
          </w:rPr>
          <w:t>wp29gen/wp29resolutions.html</w:t>
        </w:r>
      </w:hyperlink>
      <w:r w:rsidRPr="003E089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5711A6">
    <w:pPr>
      <w:pStyle w:val="Header"/>
    </w:pPr>
    <w:r w:rsidRPr="00D623A7">
      <w:t>E/</w:t>
    </w:r>
    <w:proofErr w:type="spellStart"/>
    <w:r w:rsidRPr="00D623A7">
      <w:t>ECE</w:t>
    </w:r>
    <w:proofErr w:type="spellEnd"/>
    <w:r w:rsidRPr="00D623A7">
      <w:t>/324</w:t>
    </w:r>
    <w:r>
      <w:t>/Rev.2/Add.134/Amend.1</w:t>
    </w:r>
    <w:r>
      <w:br/>
    </w:r>
    <w:r w:rsidRPr="00D623A7">
      <w:t>E/</w:t>
    </w:r>
    <w:proofErr w:type="spellStart"/>
    <w:r w:rsidRPr="00D623A7">
      <w:t>ECE</w:t>
    </w:r>
    <w:proofErr w:type="spellEnd"/>
    <w:r w:rsidRPr="00D623A7">
      <w:t>/TRANS/505</w:t>
    </w:r>
    <w:r>
      <w:t>/Rev.2/Add.134/Amend.1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F" w:rsidRPr="000F56FF" w:rsidRDefault="000F56FF" w:rsidP="000F56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F9A"/>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0F56FF"/>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76DFF"/>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1A6"/>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1F9A"/>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8F798B"/>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1A63"/>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TPS\FRA\DATA\COMMON\F15F0\www.unece.org\trans\main\wp29\wp29wgs\wp29gen\%20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30</TotalTime>
  <Pages>2</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2016-02-04T15:03:00Z</cp:lastPrinted>
  <dcterms:created xsi:type="dcterms:W3CDTF">2015-09-24T12:51:00Z</dcterms:created>
  <dcterms:modified xsi:type="dcterms:W3CDTF">2016-02-04T15:28:00Z</dcterms:modified>
</cp:coreProperties>
</file>