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95671F" w:rsidP="002C5B16">
            <w:pPr>
              <w:jc w:val="right"/>
            </w:pPr>
            <w:r w:rsidRPr="00014D07">
              <w:rPr>
                <w:sz w:val="40"/>
              </w:rPr>
              <w:t>E</w:t>
            </w:r>
            <w:r>
              <w:t>/ECE/324/Rev.2/Add.100/Rev.3/Amend.4−</w:t>
            </w:r>
            <w:r w:rsidRPr="00014D07">
              <w:rPr>
                <w:sz w:val="40"/>
              </w:rPr>
              <w:t>E</w:t>
            </w:r>
            <w:r>
              <w:t>/ECE/TRANS/505/Rev.2/Add.100/Rev.3/Amend.4</w:t>
            </w:r>
          </w:p>
        </w:tc>
      </w:tr>
      <w:tr w:rsidR="00421A10" w:rsidRPr="00DB58B5" w:rsidTr="0095671F">
        <w:trPr>
          <w:trHeight w:hRule="exact" w:val="2696"/>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461CF0" w:rsidRPr="00DB58B5" w:rsidRDefault="00461CF0" w:rsidP="00495A7B">
            <w:pPr>
              <w:spacing w:before="480" w:line="240" w:lineRule="exact"/>
            </w:pPr>
            <w:r w:rsidRPr="00461CF0">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95671F">
        <w:t>100</w:t>
      </w:r>
      <w:r w:rsidR="00421A10" w:rsidRPr="006549FF">
        <w:t>: Règlement</w:t>
      </w:r>
      <w:r w:rsidR="00421A10">
        <w:t xml:space="preserve"> </w:t>
      </w:r>
      <w:r w:rsidR="00421A10" w:rsidRPr="00B371BF">
        <w:t>n</w:t>
      </w:r>
      <w:r w:rsidR="00421A10" w:rsidRPr="00B371BF">
        <w:rPr>
          <w:vertAlign w:val="superscript"/>
        </w:rPr>
        <w:t>o</w:t>
      </w:r>
      <w:r w:rsidR="00421A10">
        <w:t> </w:t>
      </w:r>
      <w:r w:rsidR="0095671F">
        <w:t>101</w:t>
      </w:r>
    </w:p>
    <w:p w:rsidR="00421A10" w:rsidRPr="006549FF" w:rsidRDefault="0029791D" w:rsidP="00242268">
      <w:pPr>
        <w:pStyle w:val="H1G"/>
        <w:spacing w:before="220" w:after="100" w:line="240" w:lineRule="exact"/>
      </w:pPr>
      <w:r>
        <w:tab/>
      </w:r>
      <w:r>
        <w:tab/>
      </w:r>
      <w:r w:rsidR="00421A10" w:rsidRPr="006549FF">
        <w:t xml:space="preserve">Révision </w:t>
      </w:r>
      <w:r w:rsidR="0095671F">
        <w:t>3</w:t>
      </w:r>
      <w:r w:rsidR="000314C7">
        <w:t xml:space="preserve"> − Amendement </w:t>
      </w:r>
      <w:r w:rsidR="0095671F">
        <w:t>4</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95671F">
        <w:rPr>
          <w:spacing w:val="-2"/>
        </w:rPr>
        <w:t>5</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95671F">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95671F" w:rsidRPr="0095671F">
        <w:rPr>
          <w:spacing w:val="-2"/>
        </w:rPr>
        <w:t>20 janvier 2016</w:t>
      </w:r>
    </w:p>
    <w:p w:rsidR="00DD1ED8" w:rsidRPr="0095671F" w:rsidRDefault="00DD1ED8" w:rsidP="00242268">
      <w:pPr>
        <w:pStyle w:val="H1G"/>
        <w:spacing w:line="260" w:lineRule="exact"/>
        <w:rPr>
          <w:spacing w:val="-2"/>
          <w:szCs w:val="24"/>
        </w:rPr>
      </w:pPr>
      <w:r w:rsidRPr="0095671F">
        <w:rPr>
          <w:spacing w:val="-2"/>
        </w:rPr>
        <w:tab/>
      </w:r>
      <w:r w:rsidRPr="0095671F">
        <w:rPr>
          <w:spacing w:val="-2"/>
        </w:rPr>
        <w:tab/>
      </w:r>
      <w:r w:rsidR="00794D29" w:rsidRPr="0095671F">
        <w:rPr>
          <w:spacing w:val="-2"/>
          <w:szCs w:val="24"/>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00794D29" w:rsidRPr="0095671F">
        <w:rPr>
          <w:spacing w:val="-2"/>
          <w:szCs w:val="24"/>
          <w:vertAlign w:val="subscript"/>
          <w:lang w:val="fr-FR"/>
        </w:rPr>
        <w:t>1</w:t>
      </w:r>
      <w:r w:rsidR="00794D29" w:rsidRPr="0095671F">
        <w:rPr>
          <w:spacing w:val="-2"/>
          <w:szCs w:val="24"/>
          <w:lang w:val="fr-FR"/>
        </w:rPr>
        <w:t xml:space="preserve"> et N</w:t>
      </w:r>
      <w:r w:rsidR="00794D29" w:rsidRPr="0095671F">
        <w:rPr>
          <w:spacing w:val="-2"/>
          <w:szCs w:val="24"/>
          <w:vertAlign w:val="subscript"/>
          <w:lang w:val="fr-FR"/>
        </w:rPr>
        <w:t>1</w:t>
      </w:r>
      <w:r w:rsidR="00794D29" w:rsidRPr="0095671F">
        <w:rPr>
          <w:spacing w:val="-2"/>
          <w:szCs w:val="24"/>
          <w:lang w:val="fr-FR"/>
        </w:rPr>
        <w:t xml:space="preserve"> mus uniquement par une chaîne de traction électrique en ce qui concerne la mesure de la consommation d’énergie électrique et de l’autonomie</w:t>
      </w:r>
    </w:p>
    <w:p w:rsidR="00D5218B" w:rsidRDefault="001D3393" w:rsidP="0095671F">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95671F">
        <w:rPr>
          <w:lang w:val="en-GB" w:eastAsia="en-GB"/>
        </w:rPr>
        <w:t>58.</w:t>
      </w:r>
    </w:p>
    <w:p w:rsidR="0095671F" w:rsidRPr="0095671F" w:rsidRDefault="0095671F" w:rsidP="0095671F">
      <w:pPr>
        <w:kinsoku w:val="0"/>
        <w:overflowPunct w:val="0"/>
        <w:autoSpaceDE w:val="0"/>
        <w:autoSpaceDN w:val="0"/>
        <w:adjustRightInd w:val="0"/>
        <w:snapToGrid w:val="0"/>
        <w:spacing w:after="120"/>
        <w:ind w:left="1134" w:right="1134"/>
        <w:jc w:val="both"/>
        <w:rPr>
          <w:lang w:val="fr-FR"/>
        </w:rPr>
      </w:pPr>
      <w:r w:rsidRPr="0095671F">
        <w:rPr>
          <w:i/>
          <w:lang w:val="fr-FR"/>
        </w:rPr>
        <w:lastRenderedPageBreak/>
        <w:t>Paragraphes 13 à 13.4</w:t>
      </w:r>
      <w:r w:rsidRPr="0095671F">
        <w:rPr>
          <w:lang w:val="fr-FR"/>
        </w:rPr>
        <w:t xml:space="preserve">, </w:t>
      </w:r>
      <w:proofErr w:type="gramStart"/>
      <w:r w:rsidRPr="0095671F">
        <w:rPr>
          <w:lang w:val="fr-FR"/>
        </w:rPr>
        <w:t>modifier</w:t>
      </w:r>
      <w:proofErr w:type="gramEnd"/>
      <w:r w:rsidRPr="0095671F">
        <w:rPr>
          <w:lang w:val="fr-FR"/>
        </w:rPr>
        <w:t xml:space="preserve"> comme suit:</w:t>
      </w:r>
    </w:p>
    <w:p w:rsidR="0095671F" w:rsidRPr="0095671F" w:rsidRDefault="0095671F" w:rsidP="0095671F">
      <w:pPr>
        <w:kinsoku w:val="0"/>
        <w:overflowPunct w:val="0"/>
        <w:autoSpaceDE w:val="0"/>
        <w:autoSpaceDN w:val="0"/>
        <w:adjustRightInd w:val="0"/>
        <w:snapToGrid w:val="0"/>
        <w:spacing w:after="120"/>
        <w:ind w:left="2268" w:right="1134" w:hanging="1134"/>
        <w:jc w:val="both"/>
        <w:rPr>
          <w:lang w:val="fr-FR"/>
        </w:rPr>
      </w:pPr>
      <w:r w:rsidRPr="0095671F">
        <w:rPr>
          <w:lang w:val="fr-FR"/>
        </w:rPr>
        <w:t>«13.</w:t>
      </w:r>
      <w:r w:rsidRPr="0095671F">
        <w:rPr>
          <w:lang w:val="fr-FR"/>
        </w:rPr>
        <w:tab/>
        <w:t>Dispositions transitoires</w:t>
      </w:r>
    </w:p>
    <w:p w:rsidR="0095671F" w:rsidRPr="0095671F" w:rsidRDefault="0095671F" w:rsidP="0095671F">
      <w:pPr>
        <w:kinsoku w:val="0"/>
        <w:overflowPunct w:val="0"/>
        <w:autoSpaceDE w:val="0"/>
        <w:autoSpaceDN w:val="0"/>
        <w:adjustRightInd w:val="0"/>
        <w:snapToGrid w:val="0"/>
        <w:spacing w:after="120"/>
        <w:ind w:left="2268" w:right="1134" w:hanging="1134"/>
        <w:jc w:val="both"/>
        <w:rPr>
          <w:szCs w:val="24"/>
          <w:lang w:val="fr-FR" w:eastAsia="ja-JP"/>
        </w:rPr>
      </w:pPr>
      <w:r w:rsidRPr="0095671F">
        <w:rPr>
          <w:szCs w:val="24"/>
          <w:lang w:val="fr-FR"/>
        </w:rPr>
        <w:t>13.1</w:t>
      </w:r>
      <w:r w:rsidRPr="0095671F">
        <w:rPr>
          <w:szCs w:val="24"/>
          <w:lang w:val="fr-FR"/>
        </w:rPr>
        <w:tab/>
        <w:t xml:space="preserve">À compter de la date officielle d’entrée en vigueur du complément 4 à la série 01 d’amendements au Règlement </w:t>
      </w:r>
      <w:r w:rsidRPr="0095671F">
        <w:rPr>
          <w:rFonts w:eastAsia="MS Mincho"/>
          <w:szCs w:val="24"/>
          <w:lang w:val="fr-FR"/>
        </w:rPr>
        <w:t>n</w:t>
      </w:r>
      <w:r w:rsidRPr="0095671F">
        <w:rPr>
          <w:rFonts w:eastAsia="MS Mincho"/>
          <w:szCs w:val="24"/>
          <w:vertAlign w:val="superscript"/>
          <w:lang w:val="fr-FR"/>
        </w:rPr>
        <w:t>o</w:t>
      </w:r>
      <w:r w:rsidRPr="0095671F">
        <w:rPr>
          <w:szCs w:val="24"/>
          <w:lang w:val="fr-FR"/>
        </w:rPr>
        <w:t> 101, aucune Partie contractante appliquant ledit Règlement ne peut refuser de délivrer ni d’accepter une homologation de type de l’ONU en application du Règlement tel qu’il est modifié par le complément 4 à la série 01 d’amendements.</w:t>
      </w:r>
    </w:p>
    <w:p w:rsidR="0095671F" w:rsidRPr="0095671F" w:rsidRDefault="0095671F" w:rsidP="0095671F">
      <w:pPr>
        <w:kinsoku w:val="0"/>
        <w:overflowPunct w:val="0"/>
        <w:autoSpaceDE w:val="0"/>
        <w:autoSpaceDN w:val="0"/>
        <w:adjustRightInd w:val="0"/>
        <w:snapToGrid w:val="0"/>
        <w:spacing w:after="120"/>
        <w:ind w:left="2268" w:right="1134" w:hanging="1134"/>
        <w:jc w:val="both"/>
        <w:rPr>
          <w:rFonts w:eastAsia="HGMaruGothicMPRO"/>
          <w:szCs w:val="24"/>
          <w:lang w:val="fr-FR" w:eastAsia="ja-JP"/>
        </w:rPr>
      </w:pPr>
      <w:r w:rsidRPr="0095671F">
        <w:rPr>
          <w:szCs w:val="24"/>
          <w:lang w:val="fr-FR"/>
        </w:rPr>
        <w:t>13.2</w:t>
      </w:r>
      <w:r w:rsidRPr="0095671F">
        <w:rPr>
          <w:szCs w:val="24"/>
          <w:lang w:val="fr-FR"/>
        </w:rPr>
        <w:tab/>
        <w:t xml:space="preserve">Les Parties contractantes appliquant le présent Règlement ne peuvent refuser d’accorder des extensions d’homologation de type de l’ONU aux véhicules qui ont été homologués conformément </w:t>
      </w:r>
      <w:r w:rsidRPr="0095671F">
        <w:rPr>
          <w:rFonts w:eastAsia="HGMaruGothicMPRO"/>
          <w:szCs w:val="24"/>
          <w:lang w:val="fr-FR" w:eastAsia="ja-JP"/>
        </w:rPr>
        <w:t>audit Règlement indépendamment de sa version.</w:t>
      </w:r>
    </w:p>
    <w:p w:rsidR="0095671F" w:rsidRPr="0095671F" w:rsidRDefault="0095671F" w:rsidP="0095671F">
      <w:pPr>
        <w:kinsoku w:val="0"/>
        <w:overflowPunct w:val="0"/>
        <w:autoSpaceDE w:val="0"/>
        <w:autoSpaceDN w:val="0"/>
        <w:adjustRightInd w:val="0"/>
        <w:snapToGrid w:val="0"/>
        <w:spacing w:after="120"/>
        <w:ind w:left="2268" w:right="1134" w:hanging="1134"/>
        <w:jc w:val="both"/>
        <w:rPr>
          <w:szCs w:val="24"/>
          <w:lang w:val="fr-FR" w:eastAsia="ja-JP"/>
        </w:rPr>
      </w:pPr>
      <w:r w:rsidRPr="0095671F">
        <w:rPr>
          <w:szCs w:val="24"/>
          <w:lang w:val="fr-FR" w:eastAsia="ja-JP"/>
        </w:rPr>
        <w:t>13.3</w:t>
      </w:r>
      <w:r w:rsidRPr="0095671F">
        <w:rPr>
          <w:szCs w:val="24"/>
          <w:lang w:val="fr-FR" w:eastAsia="ja-JP"/>
        </w:rPr>
        <w:tab/>
      </w:r>
      <w:r w:rsidRPr="0095671F">
        <w:rPr>
          <w:szCs w:val="24"/>
          <w:lang w:val="fr-FR"/>
        </w:rPr>
        <w:t>Les Parties contractantes appliquant le présent Règlement peuvent continuer d’accorder des homologations de type de l’ONU aux véhicules qui satisfont aux prescriptions dudit Règlement, quelle qu’en soit la version, à condition que lesdits véhicules soient homologués ou soient destinés à l’être en vertu d’une série d’amendements antérieure à la série </w:t>
      </w:r>
      <w:r w:rsidRPr="0095671F">
        <w:rPr>
          <w:bCs/>
          <w:szCs w:val="24"/>
          <w:lang w:val="fr-FR"/>
        </w:rPr>
        <w:t xml:space="preserve">07 </w:t>
      </w:r>
      <w:r w:rsidRPr="0095671F">
        <w:rPr>
          <w:szCs w:val="24"/>
          <w:lang w:val="fr-FR"/>
        </w:rPr>
        <w:t xml:space="preserve">d’amendements au Règlement </w:t>
      </w:r>
      <w:r w:rsidRPr="0095671F">
        <w:rPr>
          <w:rFonts w:eastAsia="MS Mincho"/>
          <w:szCs w:val="24"/>
          <w:lang w:val="fr-FR"/>
        </w:rPr>
        <w:t>n</w:t>
      </w:r>
      <w:r w:rsidRPr="0095671F">
        <w:rPr>
          <w:rFonts w:eastAsia="MS Mincho"/>
          <w:szCs w:val="24"/>
          <w:vertAlign w:val="superscript"/>
          <w:lang w:val="fr-FR"/>
        </w:rPr>
        <w:t>o</w:t>
      </w:r>
      <w:r w:rsidRPr="0095671F">
        <w:rPr>
          <w:szCs w:val="24"/>
          <w:lang w:val="fr-FR"/>
        </w:rPr>
        <w:t> 83.</w:t>
      </w:r>
    </w:p>
    <w:p w:rsidR="0095671F" w:rsidRPr="0095671F" w:rsidRDefault="0095671F" w:rsidP="0095671F">
      <w:pPr>
        <w:kinsoku w:val="0"/>
        <w:overflowPunct w:val="0"/>
        <w:autoSpaceDE w:val="0"/>
        <w:autoSpaceDN w:val="0"/>
        <w:adjustRightInd w:val="0"/>
        <w:snapToGrid w:val="0"/>
        <w:spacing w:after="120"/>
        <w:ind w:left="2268" w:right="1134" w:hanging="1134"/>
        <w:jc w:val="both"/>
        <w:rPr>
          <w:szCs w:val="24"/>
          <w:lang w:val="fr-FR"/>
        </w:rPr>
      </w:pPr>
      <w:r w:rsidRPr="0095671F">
        <w:rPr>
          <w:szCs w:val="24"/>
          <w:lang w:val="fr-FR" w:eastAsia="ja-JP"/>
        </w:rPr>
        <w:t>13.4</w:t>
      </w:r>
      <w:r w:rsidRPr="0095671F">
        <w:rPr>
          <w:szCs w:val="24"/>
          <w:lang w:val="fr-FR" w:eastAsia="ja-JP"/>
        </w:rPr>
        <w:tab/>
      </w:r>
      <w:r w:rsidRPr="0095671F">
        <w:rPr>
          <w:szCs w:val="24"/>
          <w:lang w:val="fr-FR"/>
        </w:rPr>
        <w:t xml:space="preserve">Une fois le complément 4 à la série 01 d’amendements au présent Règlement </w:t>
      </w:r>
      <w:proofErr w:type="spellStart"/>
      <w:r w:rsidRPr="0095671F">
        <w:rPr>
          <w:szCs w:val="24"/>
          <w:lang w:val="fr-FR"/>
        </w:rPr>
        <w:t>entré</w:t>
      </w:r>
      <w:proofErr w:type="spellEnd"/>
      <w:r w:rsidRPr="0095671F">
        <w:rPr>
          <w:szCs w:val="24"/>
          <w:lang w:val="fr-FR"/>
        </w:rPr>
        <w:t xml:space="preserve"> en vigueur, les Parties contractantes appliquant le Règlement ne sont pas tenues d’accepter, aux fins d’une homologation de type nationale ou régionale, un type de véhicule homologué conformément audit Règlement, quelle qu’en soit la version, à moins qu’elles n’acceptent les véhicules homologués conformément à une série d’amendements antérieure à la série </w:t>
      </w:r>
      <w:r w:rsidRPr="0095671F">
        <w:rPr>
          <w:bCs/>
          <w:szCs w:val="24"/>
          <w:lang w:val="fr-FR"/>
        </w:rPr>
        <w:t xml:space="preserve">07 </w:t>
      </w:r>
      <w:r w:rsidRPr="0095671F">
        <w:rPr>
          <w:szCs w:val="24"/>
          <w:lang w:val="fr-FR"/>
        </w:rPr>
        <w:t xml:space="preserve">d’amendements au Règlement </w:t>
      </w:r>
      <w:r w:rsidRPr="0095671F">
        <w:rPr>
          <w:rFonts w:eastAsia="MS Mincho"/>
          <w:szCs w:val="24"/>
          <w:lang w:val="fr-FR"/>
        </w:rPr>
        <w:t>n</w:t>
      </w:r>
      <w:r w:rsidRPr="0095671F">
        <w:rPr>
          <w:rFonts w:eastAsia="MS Mincho"/>
          <w:szCs w:val="24"/>
          <w:vertAlign w:val="superscript"/>
          <w:lang w:val="fr-FR"/>
        </w:rPr>
        <w:t>o</w:t>
      </w:r>
      <w:r w:rsidRPr="0095671F">
        <w:rPr>
          <w:szCs w:val="24"/>
          <w:lang w:val="fr-FR"/>
        </w:rPr>
        <w:t> 83.».</w:t>
      </w:r>
    </w:p>
    <w:p w:rsidR="0095671F" w:rsidRPr="0095671F" w:rsidRDefault="0095671F" w:rsidP="0095671F">
      <w:pPr>
        <w:kinsoku w:val="0"/>
        <w:overflowPunct w:val="0"/>
        <w:autoSpaceDE w:val="0"/>
        <w:autoSpaceDN w:val="0"/>
        <w:adjustRightInd w:val="0"/>
        <w:snapToGrid w:val="0"/>
        <w:spacing w:before="240"/>
        <w:ind w:left="1134" w:right="1134"/>
        <w:jc w:val="center"/>
        <w:rPr>
          <w:u w:val="single"/>
          <w:lang w:val="fr-FR"/>
        </w:rPr>
      </w:pPr>
      <w:r w:rsidRPr="0095671F">
        <w:rPr>
          <w:u w:val="single"/>
          <w:lang w:val="fr-FR"/>
        </w:rPr>
        <w:tab/>
      </w:r>
      <w:r w:rsidRPr="0095671F">
        <w:rPr>
          <w:u w:val="single"/>
          <w:lang w:val="fr-FR"/>
        </w:rPr>
        <w:tab/>
      </w:r>
      <w:r w:rsidRPr="0095671F">
        <w:rPr>
          <w:u w:val="single"/>
          <w:lang w:val="fr-FR"/>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32" w:rsidRDefault="00900932"/>
  </w:endnote>
  <w:endnote w:type="continuationSeparator" w:id="0">
    <w:p w:rsidR="00900932" w:rsidRDefault="00900932">
      <w:pPr>
        <w:pStyle w:val="Footer"/>
      </w:pPr>
    </w:p>
  </w:endnote>
  <w:endnote w:type="continuationNotice" w:id="1">
    <w:p w:rsidR="00900932" w:rsidRPr="00C451B9" w:rsidRDefault="0090093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HG丸ｺﾞｼｯｸM-PRO"/>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A54F80">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95671F">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461CF0"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32" w:rsidRPr="00D27D5E" w:rsidRDefault="00900932" w:rsidP="00D27D5E">
      <w:pPr>
        <w:tabs>
          <w:tab w:val="right" w:pos="2155"/>
        </w:tabs>
        <w:spacing w:after="80"/>
        <w:ind w:left="680"/>
        <w:rPr>
          <w:u w:val="single"/>
        </w:rPr>
      </w:pPr>
      <w:r>
        <w:rPr>
          <w:u w:val="single"/>
        </w:rPr>
        <w:tab/>
      </w:r>
    </w:p>
  </w:footnote>
  <w:footnote w:type="continuationSeparator" w:id="0">
    <w:p w:rsidR="00900932" w:rsidRPr="00D171D4" w:rsidRDefault="00900932" w:rsidP="00D171D4">
      <w:pPr>
        <w:tabs>
          <w:tab w:val="right" w:pos="2155"/>
        </w:tabs>
        <w:spacing w:after="80"/>
        <w:ind w:left="680"/>
        <w:rPr>
          <w:u w:val="single"/>
        </w:rPr>
      </w:pPr>
      <w:r w:rsidRPr="00D171D4">
        <w:rPr>
          <w:u w:val="single"/>
        </w:rPr>
        <w:tab/>
      </w:r>
    </w:p>
  </w:footnote>
  <w:footnote w:type="continuationNotice" w:id="1">
    <w:p w:rsidR="00900932" w:rsidRPr="00C451B9" w:rsidRDefault="00900932"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95671F">
    <w:pPr>
      <w:pStyle w:val="Header"/>
    </w:pPr>
    <w:r w:rsidRPr="00D623A7">
      <w:t>E/</w:t>
    </w:r>
    <w:proofErr w:type="spellStart"/>
    <w:r w:rsidRPr="00D623A7">
      <w:t>ECE</w:t>
    </w:r>
    <w:proofErr w:type="spellEnd"/>
    <w:r w:rsidRPr="00D623A7">
      <w:t>/324</w:t>
    </w:r>
    <w:r>
      <w:t>/Rev.2/Add.100/Rev.3/Amend.4</w:t>
    </w:r>
    <w:r>
      <w:br/>
    </w:r>
    <w:r w:rsidRPr="00D623A7">
      <w:t>E/</w:t>
    </w:r>
    <w:proofErr w:type="spellStart"/>
    <w:r w:rsidRPr="00D623A7">
      <w:t>ECE</w:t>
    </w:r>
    <w:proofErr w:type="spellEnd"/>
    <w:r w:rsidRPr="00D623A7">
      <w:t>/TRANS/505</w:t>
    </w:r>
    <w:r>
      <w:t>/Rev.2/Add.100/Rev.3/Amend.4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7C" w:rsidRPr="003C657C" w:rsidRDefault="003C657C" w:rsidP="003C65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932"/>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C657C"/>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1CF0"/>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4D29"/>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00932"/>
    <w:rsid w:val="00911BF7"/>
    <w:rsid w:val="0091594A"/>
    <w:rsid w:val="009230F1"/>
    <w:rsid w:val="00926925"/>
    <w:rsid w:val="00935490"/>
    <w:rsid w:val="009418DE"/>
    <w:rsid w:val="009516B7"/>
    <w:rsid w:val="009545F1"/>
    <w:rsid w:val="0095671F"/>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4F8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E2BBD"/>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13</TotalTime>
  <Pages>2</Pages>
  <Words>431</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4</cp:revision>
  <cp:lastPrinted>2016-02-04T15:01:00Z</cp:lastPrinted>
  <dcterms:created xsi:type="dcterms:W3CDTF">2015-09-24T08:38:00Z</dcterms:created>
  <dcterms:modified xsi:type="dcterms:W3CDTF">2016-02-04T15:28:00Z</dcterms:modified>
</cp:coreProperties>
</file>