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FB24ACF" w14:textId="77777777" w:rsidTr="00165E82">
        <w:trPr>
          <w:cantSplit/>
          <w:trHeight w:hRule="exact" w:val="851"/>
        </w:trPr>
        <w:tc>
          <w:tcPr>
            <w:tcW w:w="1276" w:type="dxa"/>
            <w:tcBorders>
              <w:bottom w:val="single" w:sz="4" w:space="0" w:color="auto"/>
            </w:tcBorders>
            <w:vAlign w:val="bottom"/>
          </w:tcPr>
          <w:p w14:paraId="2B56953F" w14:textId="77777777" w:rsidR="0064636E" w:rsidRDefault="0064636E" w:rsidP="003C3936"/>
        </w:tc>
        <w:tc>
          <w:tcPr>
            <w:tcW w:w="8363" w:type="dxa"/>
            <w:gridSpan w:val="2"/>
            <w:tcBorders>
              <w:bottom w:val="single" w:sz="4" w:space="0" w:color="auto"/>
            </w:tcBorders>
            <w:vAlign w:val="bottom"/>
          </w:tcPr>
          <w:p w14:paraId="33A86EE0" w14:textId="77777777" w:rsidR="0064636E" w:rsidRPr="00D47EEA" w:rsidRDefault="0064636E" w:rsidP="009C6753">
            <w:pPr>
              <w:jc w:val="right"/>
            </w:pPr>
            <w:r w:rsidRPr="00014D07">
              <w:rPr>
                <w:sz w:val="40"/>
              </w:rPr>
              <w:t>E</w:t>
            </w:r>
            <w:r>
              <w:t>/ECE/324/</w:t>
            </w:r>
            <w:r w:rsidR="00841EB5">
              <w:t>Rev.</w:t>
            </w:r>
            <w:r w:rsidR="009C6753">
              <w:t>1</w:t>
            </w:r>
            <w:r w:rsidR="00841EB5">
              <w:t>/</w:t>
            </w:r>
            <w:r>
              <w:t>Add.</w:t>
            </w:r>
            <w:r w:rsidR="009C6753">
              <w:t>97</w:t>
            </w:r>
            <w:r>
              <w:t>/Rev.</w:t>
            </w:r>
            <w:r w:rsidR="009C6753">
              <w:t>3</w:t>
            </w:r>
            <w:r>
              <w:t>/</w:t>
            </w:r>
            <w:r w:rsidR="00D623A7">
              <w:t>Amend.</w:t>
            </w:r>
            <w:r w:rsidR="009C6753">
              <w:t>6</w:t>
            </w:r>
            <w:r>
              <w:t>−</w:t>
            </w:r>
            <w:r w:rsidRPr="00014D07">
              <w:rPr>
                <w:sz w:val="40"/>
              </w:rPr>
              <w:t>E</w:t>
            </w:r>
            <w:r>
              <w:t>/ECE/TRANS/505</w:t>
            </w:r>
            <w:r w:rsidR="009C6753">
              <w:t>/Rev.1/Add.97/Rev.3/Amend.6</w:t>
            </w:r>
          </w:p>
        </w:tc>
      </w:tr>
      <w:tr w:rsidR="003C3936" w14:paraId="7055E200" w14:textId="77777777" w:rsidTr="00A41529">
        <w:trPr>
          <w:cantSplit/>
          <w:trHeight w:hRule="exact" w:val="2413"/>
        </w:trPr>
        <w:tc>
          <w:tcPr>
            <w:tcW w:w="1276" w:type="dxa"/>
            <w:tcBorders>
              <w:top w:val="single" w:sz="4" w:space="0" w:color="auto"/>
              <w:bottom w:val="single" w:sz="12" w:space="0" w:color="auto"/>
            </w:tcBorders>
          </w:tcPr>
          <w:p w14:paraId="55ECD352" w14:textId="77777777" w:rsidR="003C3936" w:rsidRDefault="003C3936" w:rsidP="003C3936">
            <w:pPr>
              <w:spacing w:before="120"/>
            </w:pPr>
          </w:p>
        </w:tc>
        <w:tc>
          <w:tcPr>
            <w:tcW w:w="5528" w:type="dxa"/>
            <w:tcBorders>
              <w:top w:val="single" w:sz="4" w:space="0" w:color="auto"/>
              <w:bottom w:val="single" w:sz="12" w:space="0" w:color="auto"/>
            </w:tcBorders>
          </w:tcPr>
          <w:p w14:paraId="7973CEBF"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6ACF6D0B" w14:textId="77777777" w:rsidR="003C3936" w:rsidRDefault="003C3936" w:rsidP="003C3936">
            <w:pPr>
              <w:spacing w:before="120"/>
            </w:pPr>
          </w:p>
          <w:p w14:paraId="32974259" w14:textId="77777777" w:rsidR="00D623A7" w:rsidRDefault="00D623A7" w:rsidP="003C3936">
            <w:pPr>
              <w:spacing w:before="120"/>
            </w:pPr>
          </w:p>
          <w:p w14:paraId="75DB1231" w14:textId="06E12E76" w:rsidR="00C84414" w:rsidRDefault="00684969" w:rsidP="003C3936">
            <w:pPr>
              <w:spacing w:before="120"/>
            </w:pPr>
            <w:r>
              <w:t>11</w:t>
            </w:r>
            <w:bookmarkStart w:id="0" w:name="_GoBack"/>
            <w:bookmarkEnd w:id="0"/>
            <w:r w:rsidR="00474072">
              <w:t xml:space="preserve"> </w:t>
            </w:r>
            <w:r w:rsidR="0070281D">
              <w:t>July 2016</w:t>
            </w:r>
          </w:p>
        </w:tc>
      </w:tr>
    </w:tbl>
    <w:p w14:paraId="29CC121D"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14DF9C9C" w14:textId="77777777" w:rsidR="00C711C7" w:rsidRPr="00392A12" w:rsidRDefault="00C711C7" w:rsidP="002667F3">
      <w:pPr>
        <w:pStyle w:val="H1G"/>
      </w:pPr>
      <w:r w:rsidRPr="00F173C4">
        <w:rPr>
          <w:rStyle w:val="H1GChar"/>
        </w:rPr>
        <w:tab/>
      </w:r>
      <w:r w:rsidRPr="00F173C4">
        <w:rPr>
          <w:rStyle w:val="H1GChar"/>
        </w:rPr>
        <w:tab/>
      </w:r>
      <w:r w:rsidRPr="006A6FBE">
        <w:t xml:space="preserve">Concerning the Adoption of </w:t>
      </w:r>
      <w:r w:rsidRPr="002667F3">
        <w:t>Uniform</w:t>
      </w:r>
      <w:r w:rsidRPr="006A6FBE">
        <w:t xml:space="preserve">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6187B761" w14:textId="77777777" w:rsidR="00C711C7" w:rsidRPr="00392A12" w:rsidRDefault="00C711C7" w:rsidP="00C711C7">
      <w:pPr>
        <w:pStyle w:val="SingleTxtG"/>
        <w:spacing w:before="120"/>
      </w:pPr>
      <w:r w:rsidRPr="00392A12">
        <w:t>(Revision 2, including the amendments which entered into force on 16 October 1995)</w:t>
      </w:r>
    </w:p>
    <w:p w14:paraId="2E92F29C" w14:textId="77777777" w:rsidR="0064636E" w:rsidRDefault="00C711C7" w:rsidP="00B32121">
      <w:pPr>
        <w:pStyle w:val="H1G"/>
        <w:spacing w:before="120"/>
        <w:ind w:left="0" w:right="0" w:firstLine="0"/>
        <w:jc w:val="center"/>
      </w:pPr>
      <w:r>
        <w:t>_________</w:t>
      </w:r>
    </w:p>
    <w:p w14:paraId="56721380" w14:textId="77777777" w:rsidR="0064636E" w:rsidRDefault="0064636E" w:rsidP="002667F3">
      <w:pPr>
        <w:pStyle w:val="H1G"/>
      </w:pPr>
      <w:r>
        <w:tab/>
      </w:r>
      <w:r>
        <w:tab/>
        <w:t xml:space="preserve">Addendum </w:t>
      </w:r>
      <w:r w:rsidR="009C6753">
        <w:t>97</w:t>
      </w:r>
      <w:r>
        <w:t xml:space="preserve"> – </w:t>
      </w:r>
      <w:r w:rsidRPr="002667F3">
        <w:t>Regulation</w:t>
      </w:r>
      <w:r>
        <w:t xml:space="preserve"> No.</w:t>
      </w:r>
      <w:r w:rsidR="00271A7F">
        <w:t xml:space="preserve"> </w:t>
      </w:r>
      <w:r w:rsidR="009C6753">
        <w:t>98</w:t>
      </w:r>
    </w:p>
    <w:p w14:paraId="7163049E" w14:textId="77777777" w:rsidR="0064636E" w:rsidRPr="00014D07" w:rsidRDefault="0064636E" w:rsidP="002667F3">
      <w:pPr>
        <w:pStyle w:val="H1G"/>
      </w:pPr>
      <w:r>
        <w:tab/>
      </w:r>
      <w:r>
        <w:tab/>
      </w:r>
      <w:r w:rsidRPr="00014D07">
        <w:t xml:space="preserve">Revision </w:t>
      </w:r>
      <w:r w:rsidR="009C6753">
        <w:t>3</w:t>
      </w:r>
      <w:r w:rsidRPr="00014D07">
        <w:t xml:space="preserve"> - </w:t>
      </w:r>
      <w:r w:rsidR="00D623A7" w:rsidRPr="002667F3">
        <w:t>Amendment</w:t>
      </w:r>
      <w:r w:rsidRPr="00014D07">
        <w:t xml:space="preserve"> </w:t>
      </w:r>
      <w:r w:rsidR="009C6753">
        <w:t>6</w:t>
      </w:r>
    </w:p>
    <w:p w14:paraId="7EB5098C" w14:textId="21D9BF23" w:rsidR="0064636E" w:rsidRPr="00272880" w:rsidRDefault="00D623A7" w:rsidP="0064636E">
      <w:pPr>
        <w:pStyle w:val="SingleTxtG"/>
        <w:spacing w:after="360"/>
        <w:rPr>
          <w:spacing w:val="-2"/>
        </w:rPr>
      </w:pPr>
      <w:r>
        <w:rPr>
          <w:spacing w:val="-2"/>
        </w:rPr>
        <w:t xml:space="preserve">Supplement </w:t>
      </w:r>
      <w:r w:rsidR="009C6753">
        <w:rPr>
          <w:spacing w:val="-2"/>
        </w:rPr>
        <w:t>7</w:t>
      </w:r>
      <w:r>
        <w:rPr>
          <w:spacing w:val="-2"/>
        </w:rPr>
        <w:t xml:space="preserve"> to </w:t>
      </w:r>
      <w:r w:rsidR="00271A7F">
        <w:rPr>
          <w:spacing w:val="-2"/>
        </w:rPr>
        <w:t xml:space="preserve">the </w:t>
      </w:r>
      <w:r w:rsidR="009C6753">
        <w:rPr>
          <w:spacing w:val="-2"/>
        </w:rPr>
        <w:t>01</w:t>
      </w:r>
      <w:r>
        <w:rPr>
          <w:spacing w:val="-2"/>
        </w:rPr>
        <w:t xml:space="preserve"> series of amendments</w:t>
      </w:r>
      <w:r w:rsidR="0064636E" w:rsidRPr="00272880">
        <w:rPr>
          <w:spacing w:val="-2"/>
        </w:rPr>
        <w:t xml:space="preserve"> – Date of entry into force: </w:t>
      </w:r>
      <w:r w:rsidR="002667F3">
        <w:t>18 June 2016</w:t>
      </w:r>
    </w:p>
    <w:p w14:paraId="023C2C49" w14:textId="77777777" w:rsidR="0064636E" w:rsidRDefault="0064636E" w:rsidP="002667F3">
      <w:pPr>
        <w:pStyle w:val="H1G"/>
        <w:rPr>
          <w:lang w:val="en-US"/>
        </w:rPr>
      </w:pPr>
      <w:r>
        <w:rPr>
          <w:lang w:val="en-US"/>
        </w:rPr>
        <w:tab/>
      </w:r>
      <w:r>
        <w:rPr>
          <w:lang w:val="en-US"/>
        </w:rPr>
        <w:tab/>
      </w:r>
      <w:r w:rsidR="009C6753" w:rsidRPr="009C6753">
        <w:rPr>
          <w:lang w:val="en-US"/>
        </w:rPr>
        <w:t>Uniform provisions concerning the approval of motor vehicle headlamps equipped with gas-discharge light sources</w:t>
      </w:r>
    </w:p>
    <w:p w14:paraId="597B99B3" w14:textId="77777777" w:rsidR="00A41529" w:rsidRDefault="00B32121" w:rsidP="009C6753">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ECE/TRANS/WP.29/2015/</w:t>
      </w:r>
      <w:r w:rsidR="009C6753">
        <w:rPr>
          <w:spacing w:val="-6"/>
          <w:lang w:eastAsia="en-GB"/>
        </w:rPr>
        <w:t>80.</w:t>
      </w:r>
    </w:p>
    <w:p w14:paraId="75C4562C" w14:textId="434BF5D3" w:rsidR="000D3A4F" w:rsidRPr="000D3A4F" w:rsidRDefault="00F603BE"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281AF5B1" wp14:editId="273F527B">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82AC748" w14:textId="77777777" w:rsidR="000D3A4F" w:rsidRPr="000D3A4F" w:rsidRDefault="000D3A4F" w:rsidP="00A41529">
      <w:pPr>
        <w:suppressAutoHyphens w:val="0"/>
        <w:spacing w:line="100" w:lineRule="atLeast"/>
        <w:rPr>
          <w:b/>
          <w:sz w:val="24"/>
        </w:rPr>
      </w:pPr>
    </w:p>
    <w:p w14:paraId="6C2BBAD8" w14:textId="77777777" w:rsidR="000D3A4F" w:rsidRPr="000D3A4F" w:rsidRDefault="000D3A4F" w:rsidP="00A41529">
      <w:pPr>
        <w:suppressAutoHyphens w:val="0"/>
        <w:spacing w:line="240" w:lineRule="auto"/>
        <w:jc w:val="center"/>
        <w:rPr>
          <w:b/>
          <w:sz w:val="24"/>
        </w:rPr>
      </w:pPr>
      <w:r w:rsidRPr="000D3A4F">
        <w:rPr>
          <w:b/>
          <w:sz w:val="24"/>
        </w:rPr>
        <w:t>UNITED NATIONS</w:t>
      </w:r>
    </w:p>
    <w:p w14:paraId="64ABD851" w14:textId="77777777" w:rsidR="00D623A7" w:rsidRDefault="00D623A7">
      <w:pPr>
        <w:suppressAutoHyphens w:val="0"/>
        <w:spacing w:line="240" w:lineRule="auto"/>
      </w:pPr>
    </w:p>
    <w:p w14:paraId="2F969257" w14:textId="77777777" w:rsidR="00713BD8" w:rsidRDefault="00713BD8">
      <w:pPr>
        <w:suppressAutoHyphens w:val="0"/>
        <w:spacing w:line="240" w:lineRule="auto"/>
      </w:pPr>
    </w:p>
    <w:p w14:paraId="2670349B" w14:textId="39865CC2" w:rsidR="009C6753" w:rsidRPr="002667F3" w:rsidRDefault="00D5540C" w:rsidP="002667F3">
      <w:pPr>
        <w:pStyle w:val="SingleTxtG"/>
        <w:ind w:right="-40"/>
        <w:rPr>
          <w:lang w:val="en-US"/>
        </w:rPr>
      </w:pPr>
      <w:r>
        <w:br w:type="page"/>
      </w:r>
      <w:r w:rsidR="009C6753" w:rsidRPr="002667F3">
        <w:rPr>
          <w:i/>
          <w:iCs/>
          <w:lang w:val="en-US"/>
        </w:rPr>
        <w:lastRenderedPageBreak/>
        <w:t>Paragraph 2.1.5.</w:t>
      </w:r>
      <w:r w:rsidR="009C6753" w:rsidRPr="002667F3">
        <w:rPr>
          <w:lang w:val="en-US"/>
        </w:rPr>
        <w:t>, amend to read:</w:t>
      </w:r>
    </w:p>
    <w:p w14:paraId="399ED262" w14:textId="77777777" w:rsidR="009C6753" w:rsidRPr="009C6753" w:rsidRDefault="009C6753" w:rsidP="009C6753">
      <w:pPr>
        <w:spacing w:after="120"/>
        <w:ind w:left="2268" w:right="1134" w:hanging="1134"/>
        <w:jc w:val="both"/>
        <w:rPr>
          <w:rFonts w:eastAsia="MS Mincho"/>
          <w:lang w:val="en-US"/>
        </w:rPr>
      </w:pPr>
      <w:r w:rsidRPr="009C6753">
        <w:rPr>
          <w:rFonts w:eastAsia="MS Mincho"/>
          <w:lang w:val="en-US"/>
        </w:rPr>
        <w:t>"2.1.5.</w:t>
      </w:r>
      <w:r w:rsidRPr="009C6753">
        <w:rPr>
          <w:rFonts w:eastAsia="MS Mincho"/>
          <w:lang w:val="en-US"/>
        </w:rPr>
        <w:tab/>
        <w:t>Which light sources are energized when the various beam combinations are used and, in case of a light source category with more than one objective luminous flux value, which objective luminous flux value is used;"</w:t>
      </w:r>
    </w:p>
    <w:p w14:paraId="1CF9DCA9" w14:textId="77777777" w:rsidR="009C6753" w:rsidRPr="009C6753" w:rsidRDefault="009C6753" w:rsidP="009C6753">
      <w:pPr>
        <w:spacing w:after="120"/>
        <w:ind w:left="1134" w:right="-40"/>
        <w:jc w:val="both"/>
        <w:rPr>
          <w:lang w:val="en-US"/>
        </w:rPr>
      </w:pPr>
      <w:r w:rsidRPr="009C6753">
        <w:rPr>
          <w:i/>
          <w:iCs/>
          <w:lang w:val="en-US"/>
        </w:rPr>
        <w:t>Paragraph 2.1.6.</w:t>
      </w:r>
      <w:r w:rsidRPr="009C6753">
        <w:rPr>
          <w:lang w:val="en-US"/>
        </w:rPr>
        <w:t>, amend to read:</w:t>
      </w:r>
    </w:p>
    <w:p w14:paraId="3892F7D1" w14:textId="591CEBDE" w:rsidR="009C6753" w:rsidRPr="009C6753" w:rsidRDefault="009C6753" w:rsidP="009C6753">
      <w:pPr>
        <w:spacing w:after="120"/>
        <w:ind w:left="2268" w:right="1134" w:hanging="1134"/>
        <w:jc w:val="both"/>
        <w:rPr>
          <w:rFonts w:eastAsia="MS Mincho"/>
          <w:lang w:val="en-US"/>
        </w:rPr>
      </w:pPr>
      <w:r w:rsidRPr="009C6753">
        <w:rPr>
          <w:rFonts w:eastAsia="MS Mincho"/>
          <w:lang w:val="en-US"/>
        </w:rPr>
        <w:t>"2.1.6.</w:t>
      </w:r>
      <w:r w:rsidRPr="009C6753">
        <w:rPr>
          <w:rFonts w:eastAsia="MS Mincho"/>
          <w:lang w:val="en-US"/>
        </w:rPr>
        <w:tab/>
        <w:t xml:space="preserve">The category of light source as listed in Regulations Nos. 37 or 99 and their series of amendments in force at the time of application for type approval and, in case of a light source category with more than one objective luminous flux value, which objective luminous flux value is used for </w:t>
      </w:r>
      <w:r w:rsidR="00BE4D6F" w:rsidRPr="009C6753">
        <w:rPr>
          <w:rFonts w:eastAsia="MS Mincho"/>
          <w:lang w:val="en-US"/>
        </w:rPr>
        <w:t>passing</w:t>
      </w:r>
      <w:r w:rsidR="00392650">
        <w:rPr>
          <w:rFonts w:eastAsia="MS Mincho"/>
          <w:lang w:val="en-US"/>
        </w:rPr>
        <w:t xml:space="preserve"> </w:t>
      </w:r>
      <w:r w:rsidRPr="009C6753">
        <w:rPr>
          <w:rFonts w:eastAsia="MS Mincho"/>
          <w:lang w:val="en-US"/>
        </w:rPr>
        <w:t xml:space="preserve">beam and for </w:t>
      </w:r>
      <w:r w:rsidR="00BE4D6F" w:rsidRPr="009C6753">
        <w:rPr>
          <w:rFonts w:eastAsia="MS Mincho"/>
          <w:lang w:val="en-US"/>
        </w:rPr>
        <w:t>driving</w:t>
      </w:r>
      <w:r w:rsidR="00392650">
        <w:rPr>
          <w:rFonts w:eastAsia="MS Mincho"/>
          <w:lang w:val="en-US"/>
        </w:rPr>
        <w:t xml:space="preserve"> </w:t>
      </w:r>
      <w:r w:rsidRPr="009C6753">
        <w:rPr>
          <w:rFonts w:eastAsia="MS Mincho"/>
          <w:lang w:val="en-US"/>
        </w:rPr>
        <w:t>beam;"</w:t>
      </w:r>
    </w:p>
    <w:p w14:paraId="7939DE25" w14:textId="77777777" w:rsidR="009C6753" w:rsidRPr="009C6753" w:rsidRDefault="009C6753" w:rsidP="009C6753">
      <w:pPr>
        <w:spacing w:after="120"/>
        <w:ind w:left="1134" w:right="-40"/>
        <w:jc w:val="both"/>
        <w:rPr>
          <w:lang w:val="en-US"/>
        </w:rPr>
      </w:pPr>
      <w:r w:rsidRPr="009C6753">
        <w:rPr>
          <w:i/>
          <w:iCs/>
          <w:lang w:val="en-US"/>
        </w:rPr>
        <w:t>Paragraph 6.1.3.</w:t>
      </w:r>
      <w:r w:rsidRPr="009C6753">
        <w:rPr>
          <w:lang w:val="en-US"/>
        </w:rPr>
        <w:t>, amend to read:</w:t>
      </w:r>
    </w:p>
    <w:p w14:paraId="3C0C2DBF" w14:textId="77777777" w:rsidR="009C6753" w:rsidRPr="009C6753" w:rsidRDefault="009C6753" w:rsidP="009C6753">
      <w:pPr>
        <w:spacing w:after="120"/>
        <w:ind w:left="2268" w:right="1134" w:hanging="1134"/>
        <w:jc w:val="both"/>
        <w:rPr>
          <w:rFonts w:eastAsia="MS Mincho"/>
          <w:lang w:val="en-US"/>
        </w:rPr>
      </w:pPr>
      <w:r w:rsidRPr="009C6753">
        <w:rPr>
          <w:rFonts w:eastAsia="MS Mincho"/>
          <w:lang w:val="en-US"/>
        </w:rPr>
        <w:t>"6.1.3.</w:t>
      </w:r>
      <w:r w:rsidRPr="009C6753">
        <w:rPr>
          <w:rFonts w:eastAsia="MS Mincho"/>
          <w:lang w:val="en-US"/>
        </w:rPr>
        <w:tab/>
        <w:t>The headlamp shall be deemed satisfactory if the photometric requirements set in the present paragraph 6. are met with one light source, which has been aged during at least 15 cycles, in accordance with Annex 4, paragraph 4. of Regulation No. 99.</w:t>
      </w:r>
    </w:p>
    <w:p w14:paraId="3A43DF6A" w14:textId="77777777" w:rsidR="009C6753" w:rsidRPr="009C6753" w:rsidRDefault="009C6753" w:rsidP="009C6753">
      <w:pPr>
        <w:spacing w:after="120" w:line="240" w:lineRule="auto"/>
        <w:ind w:left="2268" w:right="1133"/>
        <w:jc w:val="both"/>
        <w:rPr>
          <w:lang w:val="en-US"/>
        </w:rPr>
      </w:pPr>
      <w:r w:rsidRPr="009C6753">
        <w:rPr>
          <w:lang w:val="en-US"/>
        </w:rPr>
        <w:t>It shall be a standard (</w:t>
      </w:r>
      <w:proofErr w:type="spellStart"/>
      <w:r w:rsidRPr="009C6753">
        <w:rPr>
          <w:lang w:val="en-US"/>
        </w:rPr>
        <w:t>étalon</w:t>
      </w:r>
      <w:proofErr w:type="spellEnd"/>
      <w:r w:rsidRPr="009C6753">
        <w:rPr>
          <w:lang w:val="en-US"/>
        </w:rPr>
        <w:t xml:space="preserve">) light-source approved according to Regulation No. 99 and its luminous flux may differ from the objective luminous flux specified in Regulation No. 99. In this case, the luminous intensities shall be corrected accordingly. </w:t>
      </w:r>
    </w:p>
    <w:p w14:paraId="58DEB5FB" w14:textId="38D9D230" w:rsidR="009C6753" w:rsidRPr="009C6753" w:rsidRDefault="009C6753" w:rsidP="009C6753">
      <w:pPr>
        <w:spacing w:after="120"/>
        <w:ind w:left="2268" w:right="1134" w:hanging="1134"/>
        <w:jc w:val="both"/>
        <w:rPr>
          <w:rFonts w:eastAsia="MS Mincho"/>
          <w:lang w:val="en-US"/>
        </w:rPr>
      </w:pPr>
      <w:r w:rsidRPr="009C6753">
        <w:rPr>
          <w:rFonts w:eastAsia="MS Mincho"/>
          <w:lang w:val="en-US"/>
        </w:rPr>
        <w:tab/>
        <w:t xml:space="preserve">If a gas-discharge light source category is used with more than one objective luminous flux value, the applicant shall choose one of the objective luminous flux values as indicated in the relevant data sheet of Regulation No. 99 and a reference stating which objective flux was chosen for type approval shall be made in items 9.4.1. and 9.4.2. </w:t>
      </w:r>
      <w:r w:rsidR="00BE4D6F">
        <w:rPr>
          <w:rFonts w:eastAsia="MS Mincho"/>
          <w:lang w:val="en-US"/>
        </w:rPr>
        <w:t>of</w:t>
      </w:r>
      <w:r w:rsidR="00BE4D6F" w:rsidRPr="009C6753">
        <w:rPr>
          <w:rFonts w:eastAsia="MS Mincho"/>
          <w:lang w:val="en-US"/>
        </w:rPr>
        <w:t xml:space="preserve"> </w:t>
      </w:r>
      <w:r w:rsidRPr="009C6753">
        <w:rPr>
          <w:rFonts w:eastAsia="MS Mincho"/>
          <w:lang w:val="en-US"/>
        </w:rPr>
        <w:t>the communication form of Annex 1."</w:t>
      </w:r>
    </w:p>
    <w:p w14:paraId="72F83B2B" w14:textId="77777777" w:rsidR="00BE4D6F" w:rsidRDefault="009C6753" w:rsidP="009C6753">
      <w:pPr>
        <w:tabs>
          <w:tab w:val="left" w:pos="8505"/>
        </w:tabs>
        <w:spacing w:after="120"/>
        <w:ind w:left="1134" w:right="1134"/>
        <w:jc w:val="both"/>
        <w:rPr>
          <w:lang w:val="en-US"/>
        </w:rPr>
      </w:pPr>
      <w:r w:rsidRPr="009C6753">
        <w:rPr>
          <w:i/>
          <w:lang w:val="en-US"/>
        </w:rPr>
        <w:t>Annex 1</w:t>
      </w:r>
      <w:r w:rsidRPr="009C6753">
        <w:rPr>
          <w:lang w:val="en-US"/>
        </w:rPr>
        <w:t xml:space="preserve">, </w:t>
      </w:r>
    </w:p>
    <w:p w14:paraId="3802CA6C" w14:textId="17614AB7" w:rsidR="009C6753" w:rsidRPr="009C6753" w:rsidRDefault="00BE4D6F" w:rsidP="009C6753">
      <w:pPr>
        <w:tabs>
          <w:tab w:val="left" w:pos="8505"/>
        </w:tabs>
        <w:spacing w:after="120"/>
        <w:ind w:left="1134" w:right="1134"/>
        <w:jc w:val="both"/>
        <w:rPr>
          <w:lang w:val="en-US"/>
        </w:rPr>
      </w:pPr>
      <w:r>
        <w:rPr>
          <w:i/>
          <w:lang w:val="en-US"/>
        </w:rPr>
        <w:t>I</w:t>
      </w:r>
      <w:r w:rsidR="009C6753" w:rsidRPr="009C6753">
        <w:rPr>
          <w:lang w:val="en-US"/>
        </w:rPr>
        <w:t>nsert new items 9.4.1. and 9.4.2. to read:</w:t>
      </w:r>
    </w:p>
    <w:p w14:paraId="5E1C56FE" w14:textId="52B6C246" w:rsidR="009C6753" w:rsidRPr="009C6753" w:rsidRDefault="009C6753" w:rsidP="009C6753">
      <w:pPr>
        <w:tabs>
          <w:tab w:val="right" w:leader="dot" w:pos="8505"/>
        </w:tabs>
        <w:suppressAutoHyphens w:val="0"/>
        <w:spacing w:after="120"/>
        <w:ind w:left="2268" w:right="1134" w:hanging="1134"/>
        <w:rPr>
          <w:lang w:val="en-US" w:eastAsia="it-IT"/>
        </w:rPr>
      </w:pPr>
      <w:r w:rsidRPr="009C6753">
        <w:rPr>
          <w:lang w:val="en-US" w:eastAsia="it-IT"/>
        </w:rPr>
        <w:t>"9.4.1.</w:t>
      </w:r>
      <w:r w:rsidRPr="009C6753">
        <w:rPr>
          <w:lang w:val="en-US" w:eastAsia="it-IT"/>
        </w:rPr>
        <w:tab/>
        <w:t xml:space="preserve">If more than one objective luminous flux value is specified: Objective luminous flux value used for the principal </w:t>
      </w:r>
      <w:r w:rsidR="00964742" w:rsidRPr="009C6753">
        <w:rPr>
          <w:lang w:val="en-US" w:eastAsia="it-IT"/>
        </w:rPr>
        <w:t>passing</w:t>
      </w:r>
      <w:r w:rsidR="00392650">
        <w:rPr>
          <w:lang w:val="en-US" w:eastAsia="it-IT"/>
        </w:rPr>
        <w:t xml:space="preserve"> </w:t>
      </w:r>
      <w:r w:rsidRPr="009C6753">
        <w:rPr>
          <w:lang w:val="en-US" w:eastAsia="it-IT"/>
        </w:rPr>
        <w:t>beam</w:t>
      </w:r>
      <w:r w:rsidRPr="009C6753">
        <w:rPr>
          <w:lang w:val="en-US" w:eastAsia="it-IT"/>
        </w:rPr>
        <w:tab/>
        <w:t>[lm]</w:t>
      </w:r>
    </w:p>
    <w:p w14:paraId="00422C3D" w14:textId="58414CE9" w:rsidR="009C6753" w:rsidRPr="009C6753" w:rsidRDefault="009C6753" w:rsidP="009C6753">
      <w:pPr>
        <w:tabs>
          <w:tab w:val="right" w:leader="dot" w:pos="8505"/>
        </w:tabs>
        <w:suppressAutoHyphens w:val="0"/>
        <w:spacing w:after="120"/>
        <w:ind w:left="2268" w:right="1134" w:hanging="1134"/>
        <w:rPr>
          <w:sz w:val="24"/>
          <w:szCs w:val="24"/>
          <w:lang w:val="en-US" w:eastAsia="it-IT"/>
        </w:rPr>
      </w:pPr>
      <w:r w:rsidRPr="009C6753">
        <w:rPr>
          <w:lang w:val="en-US" w:eastAsia="it-IT"/>
        </w:rPr>
        <w:t>9.4.2.</w:t>
      </w:r>
      <w:r w:rsidRPr="009C6753">
        <w:rPr>
          <w:lang w:val="en-US" w:eastAsia="it-IT"/>
        </w:rPr>
        <w:tab/>
        <w:t xml:space="preserve">If more than one objective luminous flux value is specified: Objective luminous flux value used for the </w:t>
      </w:r>
      <w:r w:rsidR="00964742" w:rsidRPr="009C6753">
        <w:rPr>
          <w:lang w:val="en-US" w:eastAsia="it-IT"/>
        </w:rPr>
        <w:t>driving</w:t>
      </w:r>
      <w:r w:rsidR="00392650">
        <w:rPr>
          <w:lang w:val="en-US" w:eastAsia="it-IT"/>
        </w:rPr>
        <w:t xml:space="preserve"> </w:t>
      </w:r>
      <w:r w:rsidRPr="009C6753">
        <w:rPr>
          <w:lang w:val="en-US" w:eastAsia="it-IT"/>
        </w:rPr>
        <w:t>beam</w:t>
      </w:r>
      <w:proofErr w:type="gramStart"/>
      <w:r w:rsidRPr="009C6753">
        <w:rPr>
          <w:lang w:val="en-US" w:eastAsia="it-IT"/>
        </w:rPr>
        <w:tab/>
        <w:t>.[</w:t>
      </w:r>
      <w:proofErr w:type="gramEnd"/>
      <w:r w:rsidRPr="009C6753">
        <w:rPr>
          <w:lang w:val="en-US" w:eastAsia="it-IT"/>
        </w:rPr>
        <w:t>lm]"</w:t>
      </w:r>
    </w:p>
    <w:p w14:paraId="05A7CB19" w14:textId="77777777" w:rsidR="009C6753" w:rsidRPr="009C6753" w:rsidRDefault="009C6753" w:rsidP="009C6753">
      <w:pPr>
        <w:spacing w:before="240"/>
        <w:ind w:left="1134" w:right="1134"/>
        <w:jc w:val="center"/>
        <w:rPr>
          <w:u w:val="single"/>
        </w:rPr>
      </w:pPr>
      <w:r w:rsidRPr="009C6753">
        <w:rPr>
          <w:u w:val="single"/>
        </w:rPr>
        <w:tab/>
      </w:r>
      <w:r w:rsidRPr="009C6753">
        <w:rPr>
          <w:u w:val="single"/>
        </w:rPr>
        <w:tab/>
      </w:r>
      <w:r w:rsidRPr="009C6753">
        <w:rPr>
          <w:u w:val="single"/>
        </w:rPr>
        <w:tab/>
      </w:r>
    </w:p>
    <w:p w14:paraId="112734A2" w14:textId="77777777" w:rsidR="00776D12" w:rsidRDefault="00776D12" w:rsidP="00C711C7">
      <w:pPr>
        <w:jc w:val="center"/>
      </w:pPr>
    </w:p>
    <w:sectPr w:rsidR="00776D12" w:rsidSect="008311A3">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1C86E" w14:textId="77777777" w:rsidR="009C6753" w:rsidRDefault="009C6753"/>
  </w:endnote>
  <w:endnote w:type="continuationSeparator" w:id="0">
    <w:p w14:paraId="68661B16" w14:textId="77777777" w:rsidR="009C6753" w:rsidRDefault="009C6753"/>
  </w:endnote>
  <w:endnote w:type="continuationNotice" w:id="1">
    <w:p w14:paraId="5A6D9E51" w14:textId="77777777" w:rsidR="009C6753" w:rsidRDefault="009C6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9F657" w14:textId="7F3D4423"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84969">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304AB" w14:textId="145BD3D1"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0281D">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0E66B" w14:textId="77777777" w:rsidR="009C6753" w:rsidRPr="000B175B" w:rsidRDefault="009C6753" w:rsidP="000B175B">
      <w:pPr>
        <w:tabs>
          <w:tab w:val="right" w:pos="2155"/>
        </w:tabs>
        <w:spacing w:after="80"/>
        <w:ind w:left="680"/>
        <w:rPr>
          <w:u w:val="single"/>
        </w:rPr>
      </w:pPr>
      <w:r>
        <w:rPr>
          <w:u w:val="single"/>
        </w:rPr>
        <w:tab/>
      </w:r>
    </w:p>
  </w:footnote>
  <w:footnote w:type="continuationSeparator" w:id="0">
    <w:p w14:paraId="67755F1F" w14:textId="77777777" w:rsidR="009C6753" w:rsidRPr="00FC68B7" w:rsidRDefault="009C6753" w:rsidP="00FC68B7">
      <w:pPr>
        <w:tabs>
          <w:tab w:val="left" w:pos="2155"/>
        </w:tabs>
        <w:spacing w:after="80"/>
        <w:ind w:left="680"/>
        <w:rPr>
          <w:u w:val="single"/>
        </w:rPr>
      </w:pPr>
      <w:r>
        <w:rPr>
          <w:u w:val="single"/>
        </w:rPr>
        <w:tab/>
      </w:r>
    </w:p>
  </w:footnote>
  <w:footnote w:type="continuationNotice" w:id="1">
    <w:p w14:paraId="511F7C9C" w14:textId="77777777" w:rsidR="009C6753" w:rsidRDefault="009C6753"/>
  </w:footnote>
  <w:footnote w:id="2">
    <w:p w14:paraId="2AAD2F96" w14:textId="77777777" w:rsidR="00B701B3" w:rsidRPr="002667F3" w:rsidRDefault="00B701B3" w:rsidP="00C711C7">
      <w:pPr>
        <w:pStyle w:val="FootnoteText"/>
        <w:rPr>
          <w:lang w:val="en-US"/>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61462" w14:textId="77777777" w:rsidR="00BF4A36" w:rsidRPr="00BF4A36" w:rsidRDefault="00B701B3" w:rsidP="009C6753">
    <w:pPr>
      <w:pStyle w:val="Header"/>
    </w:pPr>
    <w:r w:rsidRPr="00D623A7">
      <w:t>E/ECE/324</w:t>
    </w:r>
    <w:r w:rsidR="009C6753">
      <w:t>/Rev.1/Add.97/Rev.3/Amend.6</w:t>
    </w:r>
    <w:r>
      <w:br/>
    </w:r>
    <w:r w:rsidRPr="00D623A7">
      <w:t>E/ECE/TRANS/505</w:t>
    </w:r>
    <w:r w:rsidR="009C6753">
      <w:t>/Rev.1/Add.97/Rev.3/Amend.6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4E5FF" w14:textId="77777777" w:rsidR="00B701B3" w:rsidRDefault="00B701B3" w:rsidP="00776D12">
    <w:pPr>
      <w:pStyle w:val="Header"/>
      <w:jc w:val="right"/>
    </w:pPr>
    <w:r w:rsidRPr="00D623A7">
      <w:t>E/ECE/324/</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r>
      <w:br/>
    </w:r>
    <w:r w:rsidRPr="00D623A7">
      <w:t>E/ECE/TRANS/505/</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p>
  <w:p w14:paraId="7B58309D"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53"/>
    <w:rsid w:val="00050F6B"/>
    <w:rsid w:val="00072C8C"/>
    <w:rsid w:val="000931C0"/>
    <w:rsid w:val="000B175B"/>
    <w:rsid w:val="000B3A0F"/>
    <w:rsid w:val="000D3A4F"/>
    <w:rsid w:val="000E0415"/>
    <w:rsid w:val="001220B8"/>
    <w:rsid w:val="00134B40"/>
    <w:rsid w:val="001352D9"/>
    <w:rsid w:val="00165E82"/>
    <w:rsid w:val="001B4B04"/>
    <w:rsid w:val="001C6663"/>
    <w:rsid w:val="001C7895"/>
    <w:rsid w:val="001D26DF"/>
    <w:rsid w:val="00211E0B"/>
    <w:rsid w:val="002405A7"/>
    <w:rsid w:val="002667F3"/>
    <w:rsid w:val="00271A7F"/>
    <w:rsid w:val="002A1E3A"/>
    <w:rsid w:val="003107FA"/>
    <w:rsid w:val="00312E48"/>
    <w:rsid w:val="003229D8"/>
    <w:rsid w:val="0033745A"/>
    <w:rsid w:val="003852F5"/>
    <w:rsid w:val="00392650"/>
    <w:rsid w:val="0039277A"/>
    <w:rsid w:val="003972E0"/>
    <w:rsid w:val="003C2CC4"/>
    <w:rsid w:val="003C3936"/>
    <w:rsid w:val="003D4B23"/>
    <w:rsid w:val="003F1ED3"/>
    <w:rsid w:val="004325CB"/>
    <w:rsid w:val="00440758"/>
    <w:rsid w:val="00445C26"/>
    <w:rsid w:val="00446DE4"/>
    <w:rsid w:val="00474072"/>
    <w:rsid w:val="004A41CA"/>
    <w:rsid w:val="004E3FEB"/>
    <w:rsid w:val="00503228"/>
    <w:rsid w:val="00505384"/>
    <w:rsid w:val="005420F2"/>
    <w:rsid w:val="0054561B"/>
    <w:rsid w:val="00582B38"/>
    <w:rsid w:val="005B3DB3"/>
    <w:rsid w:val="005E1409"/>
    <w:rsid w:val="00611FC4"/>
    <w:rsid w:val="006176FB"/>
    <w:rsid w:val="00627ED0"/>
    <w:rsid w:val="00640B26"/>
    <w:rsid w:val="0064636E"/>
    <w:rsid w:val="00665595"/>
    <w:rsid w:val="00684969"/>
    <w:rsid w:val="0069341E"/>
    <w:rsid w:val="006A7392"/>
    <w:rsid w:val="006E564B"/>
    <w:rsid w:val="0070281D"/>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71FD5"/>
    <w:rsid w:val="008979B1"/>
    <w:rsid w:val="008A6B25"/>
    <w:rsid w:val="008A6C4F"/>
    <w:rsid w:val="008C3804"/>
    <w:rsid w:val="008E0E46"/>
    <w:rsid w:val="00907AD2"/>
    <w:rsid w:val="00963CBA"/>
    <w:rsid w:val="00964742"/>
    <w:rsid w:val="00974A8D"/>
    <w:rsid w:val="00991261"/>
    <w:rsid w:val="009C6753"/>
    <w:rsid w:val="009F3A17"/>
    <w:rsid w:val="00A1427D"/>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D6F"/>
    <w:rsid w:val="00BE4F74"/>
    <w:rsid w:val="00BE618E"/>
    <w:rsid w:val="00BF4A36"/>
    <w:rsid w:val="00C17699"/>
    <w:rsid w:val="00C41A28"/>
    <w:rsid w:val="00C463DD"/>
    <w:rsid w:val="00C711C7"/>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506F0"/>
    <w:rsid w:val="00E66705"/>
    <w:rsid w:val="00E7260F"/>
    <w:rsid w:val="00E87921"/>
    <w:rsid w:val="00E96630"/>
    <w:rsid w:val="00EA0ED6"/>
    <w:rsid w:val="00EA264E"/>
    <w:rsid w:val="00ED7A2A"/>
    <w:rsid w:val="00EF1D7F"/>
    <w:rsid w:val="00F53EDA"/>
    <w:rsid w:val="00F603BE"/>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28D25B"/>
  <w15:docId w15:val="{E5DE7BE0-401B-4B7C-8F90-3D83744B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uiPriority w:val="99"/>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4</TotalTime>
  <Pages>2</Pages>
  <Words>411</Words>
  <Characters>2345</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Caillot</cp:lastModifiedBy>
  <cp:revision>6</cp:revision>
  <cp:lastPrinted>2015-11-20T10:00:00Z</cp:lastPrinted>
  <dcterms:created xsi:type="dcterms:W3CDTF">2016-06-29T14:58:00Z</dcterms:created>
  <dcterms:modified xsi:type="dcterms:W3CDTF">2016-07-11T09:55:00Z</dcterms:modified>
</cp:coreProperties>
</file>