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5528"/>
        <w:gridCol w:w="2835"/>
      </w:tblGrid>
      <w:tr w:rsidR="0064636E" w:rsidTr="00165E82">
        <w:trPr>
          <w:cantSplit/>
          <w:trHeight w:hRule="exact" w:val="851"/>
        </w:trPr>
        <w:tc>
          <w:tcPr>
            <w:tcW w:w="1276" w:type="dxa"/>
            <w:tcBorders>
              <w:bottom w:val="single" w:sz="4" w:space="0" w:color="auto"/>
            </w:tcBorders>
            <w:vAlign w:val="bottom"/>
          </w:tcPr>
          <w:p w:rsidR="0064636E" w:rsidRDefault="0064636E" w:rsidP="003C3936"/>
        </w:tc>
        <w:tc>
          <w:tcPr>
            <w:tcW w:w="8363" w:type="dxa"/>
            <w:gridSpan w:val="2"/>
            <w:tcBorders>
              <w:bottom w:val="single" w:sz="4" w:space="0" w:color="auto"/>
            </w:tcBorders>
            <w:vAlign w:val="bottom"/>
          </w:tcPr>
          <w:p w:rsidR="0064636E" w:rsidRPr="00D47EEA" w:rsidRDefault="0064636E" w:rsidP="0002785B">
            <w:pPr>
              <w:jc w:val="right"/>
            </w:pPr>
            <w:r w:rsidRPr="00014D07">
              <w:rPr>
                <w:sz w:val="40"/>
              </w:rPr>
              <w:t>E</w:t>
            </w:r>
            <w:r>
              <w:t>/ECE/324/</w:t>
            </w:r>
            <w:r w:rsidR="00841EB5">
              <w:t>Rev.</w:t>
            </w:r>
            <w:r w:rsidR="00D11406">
              <w:t>1</w:t>
            </w:r>
            <w:r w:rsidR="00841EB5">
              <w:t>/</w:t>
            </w:r>
            <w:r>
              <w:t>Add.</w:t>
            </w:r>
            <w:r w:rsidR="00D11406">
              <w:t>82</w:t>
            </w:r>
            <w:r>
              <w:t>/Rev.</w:t>
            </w:r>
            <w:r w:rsidR="0002785B">
              <w:t>5</w:t>
            </w:r>
            <w:r>
              <w:t>/</w:t>
            </w:r>
            <w:r w:rsidR="00D623A7">
              <w:t>Amend.</w:t>
            </w:r>
            <w:r w:rsidR="0002785B">
              <w:t>1</w:t>
            </w:r>
            <w:r>
              <w:t>−</w:t>
            </w:r>
            <w:r w:rsidRPr="00014D07">
              <w:rPr>
                <w:sz w:val="40"/>
              </w:rPr>
              <w:t>E</w:t>
            </w:r>
            <w:r>
              <w:t>/ECE/TRANS/505</w:t>
            </w:r>
            <w:r w:rsidR="0002785B">
              <w:t>/Rev.1/Add.82/Rev.5/Amend.1</w:t>
            </w:r>
          </w:p>
        </w:tc>
      </w:tr>
      <w:tr w:rsidR="003C3936" w:rsidTr="00A41529">
        <w:trPr>
          <w:cantSplit/>
          <w:trHeight w:hRule="exact" w:val="2413"/>
        </w:trPr>
        <w:tc>
          <w:tcPr>
            <w:tcW w:w="1276" w:type="dxa"/>
            <w:tcBorders>
              <w:top w:val="single" w:sz="4" w:space="0" w:color="auto"/>
              <w:bottom w:val="single" w:sz="12" w:space="0" w:color="auto"/>
            </w:tcBorders>
          </w:tcPr>
          <w:p w:rsidR="003C3936" w:rsidRDefault="003C3936" w:rsidP="003C3936">
            <w:pPr>
              <w:spacing w:before="120"/>
            </w:pPr>
          </w:p>
        </w:tc>
        <w:tc>
          <w:tcPr>
            <w:tcW w:w="5528" w:type="dxa"/>
            <w:tcBorders>
              <w:top w:val="single" w:sz="4" w:space="0" w:color="auto"/>
              <w:bottom w:val="single" w:sz="12" w:space="0" w:color="auto"/>
            </w:tcBorders>
          </w:tcPr>
          <w:p w:rsidR="003C3936" w:rsidRPr="00D773DF" w:rsidRDefault="003C3936" w:rsidP="003C3936">
            <w:pPr>
              <w:spacing w:before="120"/>
            </w:pPr>
          </w:p>
        </w:tc>
        <w:tc>
          <w:tcPr>
            <w:tcW w:w="2835" w:type="dxa"/>
            <w:tcBorders>
              <w:top w:val="single" w:sz="4" w:space="0" w:color="auto"/>
              <w:bottom w:val="single" w:sz="12" w:space="0" w:color="auto"/>
            </w:tcBorders>
          </w:tcPr>
          <w:p w:rsidR="003C3936" w:rsidRDefault="003C3936" w:rsidP="003C3936">
            <w:pPr>
              <w:spacing w:before="120"/>
            </w:pPr>
          </w:p>
          <w:p w:rsidR="00D623A7" w:rsidRDefault="00D623A7" w:rsidP="003C3936">
            <w:pPr>
              <w:spacing w:before="120"/>
            </w:pPr>
          </w:p>
          <w:p w:rsidR="00C84414" w:rsidRDefault="00C84414" w:rsidP="003C3936">
            <w:pPr>
              <w:spacing w:before="120"/>
            </w:pPr>
          </w:p>
          <w:p w:rsidR="00C84414" w:rsidRDefault="004C5DCF" w:rsidP="003C3936">
            <w:pPr>
              <w:spacing w:before="120"/>
            </w:pPr>
            <w:r>
              <w:t>5 February 2016</w:t>
            </w:r>
            <w:bookmarkStart w:id="0" w:name="_GoBack"/>
            <w:bookmarkEnd w:id="0"/>
          </w:p>
        </w:tc>
      </w:tr>
    </w:tbl>
    <w:p w:rsidR="00C711C7" w:rsidRPr="00392A12" w:rsidRDefault="00C711C7" w:rsidP="00A41529">
      <w:pPr>
        <w:pStyle w:val="HChG"/>
        <w:spacing w:before="240" w:after="120"/>
      </w:pPr>
      <w:r w:rsidRPr="00392A12">
        <w:tab/>
      </w:r>
      <w:r w:rsidRPr="00392A12">
        <w:tab/>
      </w:r>
      <w:bookmarkStart w:id="1" w:name="_Toc340666199"/>
      <w:bookmarkStart w:id="2" w:name="_Toc340745062"/>
      <w:r w:rsidRPr="00392A12">
        <w:t>Agreement</w:t>
      </w:r>
      <w:bookmarkEnd w:id="1"/>
      <w:bookmarkEnd w:id="2"/>
    </w:p>
    <w:p w:rsidR="00C711C7" w:rsidRPr="00392A12" w:rsidRDefault="00C711C7" w:rsidP="00A41529">
      <w:pPr>
        <w:pStyle w:val="H1G"/>
        <w:spacing w:before="240"/>
      </w:pPr>
      <w:r w:rsidRPr="00F173C4">
        <w:rPr>
          <w:rStyle w:val="H1GChar"/>
        </w:rPr>
        <w:tab/>
      </w:r>
      <w:r w:rsidRPr="00F173C4">
        <w:rPr>
          <w:rStyle w:val="H1GChar"/>
        </w:rPr>
        <w:tab/>
      </w:r>
      <w:r w:rsidRPr="006A6FBE">
        <w:t xml:space="preserve">Concerning the Adoption of Uniform Technical Prescriptions for Wheeled Vehicles, Equipment and Parts which can be </w:t>
      </w:r>
      <w:proofErr w:type="gramStart"/>
      <w:r w:rsidR="00EA0ED6">
        <w:t>F</w:t>
      </w:r>
      <w:r w:rsidRPr="006A6FBE">
        <w:t>itted</w:t>
      </w:r>
      <w:proofErr w:type="gramEnd"/>
      <w:r w:rsidRPr="006A6FBE">
        <w:t xml:space="preserve"> and/or be </w:t>
      </w:r>
      <w:r w:rsidR="00EA0ED6">
        <w:t>U</w:t>
      </w:r>
      <w:r w:rsidRPr="006A6FBE">
        <w:t>sed on Wheeled Vehicles and the Conditions for Reciprocal Recognition of Approvals Granted on the Basis of these Prescriptions</w:t>
      </w:r>
      <w:r w:rsidRPr="009E5D87">
        <w:rPr>
          <w:rStyle w:val="FootnoteReference"/>
          <w:b w:val="0"/>
          <w:sz w:val="20"/>
          <w:vertAlign w:val="baseline"/>
        </w:rPr>
        <w:footnoteReference w:customMarkFollows="1" w:id="2"/>
        <w:t>*</w:t>
      </w:r>
    </w:p>
    <w:p w:rsidR="00C711C7" w:rsidRPr="00392A12" w:rsidRDefault="00C711C7" w:rsidP="00C711C7">
      <w:pPr>
        <w:pStyle w:val="SingleTxtG"/>
        <w:spacing w:before="120"/>
      </w:pPr>
      <w:r w:rsidRPr="00392A12">
        <w:t>(Revision 2, including the amendments which entered into force on 16 October 1995)</w:t>
      </w:r>
    </w:p>
    <w:p w:rsidR="0064636E" w:rsidRDefault="00C711C7" w:rsidP="00B32121">
      <w:pPr>
        <w:pStyle w:val="H1G"/>
        <w:spacing w:before="120"/>
        <w:ind w:left="0" w:right="0" w:firstLine="0"/>
        <w:jc w:val="center"/>
      </w:pPr>
      <w:r>
        <w:t>_________</w:t>
      </w:r>
    </w:p>
    <w:p w:rsidR="0064636E" w:rsidRDefault="0064636E" w:rsidP="00A41529">
      <w:pPr>
        <w:pStyle w:val="H1G"/>
        <w:spacing w:before="240" w:after="120"/>
      </w:pPr>
      <w:r>
        <w:tab/>
      </w:r>
      <w:r>
        <w:tab/>
        <w:t xml:space="preserve">Addendum </w:t>
      </w:r>
      <w:r w:rsidR="00D11406">
        <w:t>82</w:t>
      </w:r>
      <w:r>
        <w:t xml:space="preserve"> – Regulation No.</w:t>
      </w:r>
      <w:r w:rsidR="00271A7F">
        <w:t xml:space="preserve"> </w:t>
      </w:r>
      <w:r w:rsidR="00D11406">
        <w:t>83</w:t>
      </w:r>
    </w:p>
    <w:p w:rsidR="0064636E" w:rsidRPr="00014D07" w:rsidRDefault="0064636E" w:rsidP="00A41529">
      <w:pPr>
        <w:pStyle w:val="H1G"/>
        <w:spacing w:before="240"/>
      </w:pPr>
      <w:r>
        <w:tab/>
      </w:r>
      <w:r>
        <w:tab/>
      </w:r>
      <w:r w:rsidRPr="00014D07">
        <w:t xml:space="preserve">Revision </w:t>
      </w:r>
      <w:r w:rsidR="0002785B">
        <w:t>5</w:t>
      </w:r>
      <w:r w:rsidRPr="00014D07">
        <w:t xml:space="preserve"> - </w:t>
      </w:r>
      <w:r w:rsidR="00D623A7">
        <w:t>Amendment</w:t>
      </w:r>
      <w:r w:rsidRPr="00014D07">
        <w:t xml:space="preserve"> </w:t>
      </w:r>
      <w:r w:rsidR="0002785B">
        <w:t>1</w:t>
      </w:r>
    </w:p>
    <w:p w:rsidR="0064636E" w:rsidRPr="00272880" w:rsidRDefault="00D623A7" w:rsidP="0064636E">
      <w:pPr>
        <w:pStyle w:val="SingleTxtG"/>
        <w:spacing w:after="360"/>
        <w:rPr>
          <w:spacing w:val="-2"/>
        </w:rPr>
      </w:pPr>
      <w:r>
        <w:rPr>
          <w:spacing w:val="-2"/>
        </w:rPr>
        <w:t xml:space="preserve">Supplement </w:t>
      </w:r>
      <w:r w:rsidR="0002785B">
        <w:rPr>
          <w:spacing w:val="-2"/>
        </w:rPr>
        <w:t>1</w:t>
      </w:r>
      <w:r>
        <w:rPr>
          <w:spacing w:val="-2"/>
        </w:rPr>
        <w:t xml:space="preserve"> to </w:t>
      </w:r>
      <w:r w:rsidR="00271A7F">
        <w:rPr>
          <w:spacing w:val="-2"/>
        </w:rPr>
        <w:t xml:space="preserve">the </w:t>
      </w:r>
      <w:r w:rsidR="00D11406">
        <w:rPr>
          <w:spacing w:val="-2"/>
        </w:rPr>
        <w:t>0</w:t>
      </w:r>
      <w:r w:rsidR="0002785B">
        <w:rPr>
          <w:spacing w:val="-2"/>
        </w:rPr>
        <w:t>7</w:t>
      </w:r>
      <w:r>
        <w:rPr>
          <w:spacing w:val="-2"/>
        </w:rPr>
        <w:t xml:space="preserve"> series of amendments</w:t>
      </w:r>
      <w:r w:rsidR="0064636E" w:rsidRPr="00272880">
        <w:rPr>
          <w:spacing w:val="-2"/>
        </w:rPr>
        <w:t xml:space="preserve"> – Date of entry into force: </w:t>
      </w:r>
      <w:r w:rsidR="00D11406">
        <w:t>29 January 2016</w:t>
      </w:r>
    </w:p>
    <w:p w:rsidR="0064636E" w:rsidRDefault="0064636E" w:rsidP="00A41529">
      <w:pPr>
        <w:pStyle w:val="H1G"/>
        <w:spacing w:before="120" w:after="120" w:line="240" w:lineRule="exact"/>
        <w:rPr>
          <w:lang w:val="en-US"/>
        </w:rPr>
      </w:pPr>
      <w:r>
        <w:rPr>
          <w:lang w:val="en-US"/>
        </w:rPr>
        <w:tab/>
      </w:r>
      <w:r>
        <w:rPr>
          <w:lang w:val="en-US"/>
        </w:rPr>
        <w:tab/>
      </w:r>
      <w:r w:rsidR="00D11406" w:rsidRPr="00D11406">
        <w:rPr>
          <w:lang w:val="en-US"/>
        </w:rPr>
        <w:t>Uniform provisions concerning the approval of vehicles with regard to the emission of pollutants according to engine fuel requirements</w:t>
      </w:r>
    </w:p>
    <w:p w:rsidR="00B32121" w:rsidRDefault="00B32121" w:rsidP="00A41529">
      <w:pPr>
        <w:pStyle w:val="SingleTxtG"/>
        <w:spacing w:after="40"/>
        <w:rPr>
          <w:lang w:eastAsia="en-GB"/>
        </w:rPr>
      </w:pPr>
      <w:r w:rsidRPr="00B32121">
        <w:rPr>
          <w:spacing w:val="-4"/>
          <w:lang w:eastAsia="en-GB"/>
        </w:rPr>
        <w:t>This document is meant purely as documentation tool. The authentic and legal binding text is:</w:t>
      </w:r>
      <w:r>
        <w:rPr>
          <w:lang w:eastAsia="en-GB"/>
        </w:rPr>
        <w:t xml:space="preserve"> </w:t>
      </w:r>
      <w:proofErr w:type="spellStart"/>
      <w:r>
        <w:rPr>
          <w:spacing w:val="-6"/>
          <w:lang w:eastAsia="en-GB"/>
        </w:rPr>
        <w:t>ECE</w:t>
      </w:r>
      <w:proofErr w:type="spellEnd"/>
      <w:r>
        <w:rPr>
          <w:spacing w:val="-6"/>
          <w:lang w:eastAsia="en-GB"/>
        </w:rPr>
        <w:t>/TRANS/WP.29/2015/</w:t>
      </w:r>
      <w:r w:rsidR="00D11406">
        <w:rPr>
          <w:spacing w:val="-6"/>
          <w:lang w:eastAsia="en-GB"/>
        </w:rPr>
        <w:t>5</w:t>
      </w:r>
      <w:r w:rsidR="0002785B">
        <w:rPr>
          <w:spacing w:val="-6"/>
          <w:lang w:eastAsia="en-GB"/>
        </w:rPr>
        <w:t>7</w:t>
      </w:r>
      <w:r w:rsidR="00A41529">
        <w:rPr>
          <w:spacing w:val="-6"/>
          <w:lang w:eastAsia="en-GB"/>
        </w:rPr>
        <w:t xml:space="preserve"> </w:t>
      </w:r>
      <w:r>
        <w:rPr>
          <w:spacing w:val="-6"/>
          <w:lang w:eastAsia="en-GB"/>
        </w:rPr>
        <w:t>(as amended by paragraph</w:t>
      </w:r>
      <w:r w:rsidR="0002785B">
        <w:rPr>
          <w:spacing w:val="-6"/>
          <w:lang w:eastAsia="en-GB"/>
        </w:rPr>
        <w:t>s 63 and</w:t>
      </w:r>
      <w:r>
        <w:rPr>
          <w:spacing w:val="-6"/>
          <w:lang w:eastAsia="en-GB"/>
        </w:rPr>
        <w:t xml:space="preserve"> </w:t>
      </w:r>
      <w:r w:rsidR="00D11406">
        <w:rPr>
          <w:spacing w:val="-6"/>
          <w:lang w:eastAsia="en-GB"/>
        </w:rPr>
        <w:t>64</w:t>
      </w:r>
      <w:r>
        <w:rPr>
          <w:spacing w:val="-6"/>
          <w:lang w:eastAsia="en-GB"/>
        </w:rPr>
        <w:t xml:space="preserve"> of the report </w:t>
      </w:r>
      <w:proofErr w:type="spellStart"/>
      <w:r w:rsidRPr="00B32121">
        <w:rPr>
          <w:lang w:eastAsia="en-GB"/>
        </w:rPr>
        <w:t>ECE</w:t>
      </w:r>
      <w:proofErr w:type="spellEnd"/>
      <w:r w:rsidRPr="00B32121">
        <w:rPr>
          <w:lang w:eastAsia="en-GB"/>
        </w:rPr>
        <w:t>/TRANS/WP.29/</w:t>
      </w:r>
      <w:r w:rsidR="00D11406">
        <w:rPr>
          <w:lang w:eastAsia="en-GB"/>
        </w:rPr>
        <w:t>1116</w:t>
      </w:r>
      <w:r w:rsidR="00A41529">
        <w:rPr>
          <w:lang w:eastAsia="en-GB"/>
        </w:rPr>
        <w:t>)</w:t>
      </w:r>
      <w:r w:rsidR="00D11406">
        <w:rPr>
          <w:lang w:eastAsia="en-GB"/>
        </w:rPr>
        <w:t>.</w:t>
      </w:r>
    </w:p>
    <w:p w:rsidR="000D3A4F" w:rsidRPr="000D3A4F" w:rsidRDefault="004C5DCF" w:rsidP="00A41529">
      <w:pPr>
        <w:suppressAutoHyphens w:val="0"/>
        <w:spacing w:line="240" w:lineRule="auto"/>
        <w:jc w:val="center"/>
        <w:rPr>
          <w:b/>
          <w:sz w:val="24"/>
        </w:rPr>
      </w:pPr>
      <w:r>
        <w:rPr>
          <w:b/>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8" type="#_x0000_t75" style="position:absolute;left:0;text-align:left;margin-left:200pt;margin-top:17.6pt;width:81pt;height:65.1pt;z-index:251657728;visibility:visible;mso-wrap-distance-bottom:10.8pt">
            <v:imagedata r:id="rId9" o:title="" cropleft="-4983f" cropright="-4983f"/>
            <w10:wrap type="topAndBottom"/>
          </v:shape>
        </w:pict>
      </w:r>
      <w:r w:rsidR="000D3A4F" w:rsidRPr="000D3A4F">
        <w:rPr>
          <w:b/>
          <w:sz w:val="24"/>
        </w:rPr>
        <w:t>_________</w:t>
      </w:r>
    </w:p>
    <w:p w:rsidR="000D3A4F" w:rsidRPr="000D3A4F" w:rsidRDefault="000D3A4F" w:rsidP="00A41529">
      <w:pPr>
        <w:suppressAutoHyphens w:val="0"/>
        <w:spacing w:line="100" w:lineRule="atLeast"/>
        <w:rPr>
          <w:b/>
          <w:sz w:val="24"/>
        </w:rPr>
      </w:pPr>
    </w:p>
    <w:p w:rsidR="000D3A4F" w:rsidRPr="000D3A4F" w:rsidRDefault="000D3A4F" w:rsidP="00A41529">
      <w:pPr>
        <w:suppressAutoHyphens w:val="0"/>
        <w:spacing w:line="240" w:lineRule="auto"/>
        <w:jc w:val="center"/>
        <w:rPr>
          <w:b/>
          <w:sz w:val="24"/>
        </w:rPr>
      </w:pPr>
      <w:r w:rsidRPr="000D3A4F">
        <w:rPr>
          <w:b/>
          <w:sz w:val="24"/>
        </w:rPr>
        <w:t>UNITED NATIONS</w:t>
      </w:r>
    </w:p>
    <w:p w:rsidR="00D623A7" w:rsidRDefault="00D623A7">
      <w:pPr>
        <w:suppressAutoHyphens w:val="0"/>
        <w:spacing w:line="240" w:lineRule="auto"/>
      </w:pPr>
    </w:p>
    <w:p w:rsidR="00713BD8" w:rsidRDefault="00713BD8">
      <w:pPr>
        <w:suppressAutoHyphens w:val="0"/>
        <w:spacing w:line="240" w:lineRule="auto"/>
      </w:pPr>
    </w:p>
    <w:p w:rsidR="00C711C7" w:rsidRDefault="00C711C7" w:rsidP="00C711C7">
      <w:pPr>
        <w:jc w:val="center"/>
      </w:pPr>
    </w:p>
    <w:p w:rsidR="0002785B" w:rsidRPr="0002785B" w:rsidRDefault="00D5540C" w:rsidP="0002785B">
      <w:pPr>
        <w:pStyle w:val="SingleTxtG"/>
        <w:rPr>
          <w:noProof/>
        </w:rPr>
      </w:pPr>
      <w:r>
        <w:br w:type="page"/>
      </w:r>
      <w:r w:rsidR="0002785B" w:rsidRPr="0002785B">
        <w:rPr>
          <w:i/>
          <w:noProof/>
        </w:rPr>
        <w:lastRenderedPageBreak/>
        <w:t xml:space="preserve">Paragraph 2.26., </w:t>
      </w:r>
      <w:r w:rsidR="0002785B" w:rsidRPr="0002785B">
        <w:rPr>
          <w:noProof/>
        </w:rPr>
        <w:t>shall be deleted</w:t>
      </w:r>
      <w:r w:rsidR="00F11B62">
        <w:rPr>
          <w:noProof/>
        </w:rPr>
        <w:t>.</w:t>
      </w:r>
    </w:p>
    <w:p w:rsidR="00F11B62" w:rsidRDefault="00F11B62" w:rsidP="0002785B">
      <w:pPr>
        <w:spacing w:after="120"/>
        <w:ind w:left="1134" w:right="1134"/>
        <w:jc w:val="both"/>
        <w:rPr>
          <w:i/>
          <w:noProof/>
        </w:rPr>
      </w:pPr>
      <w:proofErr w:type="gramStart"/>
      <w:r>
        <w:rPr>
          <w:i/>
          <w:iCs/>
        </w:rPr>
        <w:t>P</w:t>
      </w:r>
      <w:proofErr w:type="spellStart"/>
      <w:r w:rsidRPr="0002785B">
        <w:rPr>
          <w:i/>
          <w:iCs/>
          <w:lang w:val="en-US"/>
        </w:rPr>
        <w:t>aragraph</w:t>
      </w:r>
      <w:r>
        <w:rPr>
          <w:i/>
          <w:iCs/>
          <w:lang w:val="en-US"/>
        </w:rPr>
        <w:t>s</w:t>
      </w:r>
      <w:proofErr w:type="spellEnd"/>
      <w:r w:rsidRPr="0002785B">
        <w:rPr>
          <w:i/>
          <w:noProof/>
        </w:rPr>
        <w:t xml:space="preserve"> </w:t>
      </w:r>
      <w:r>
        <w:rPr>
          <w:i/>
          <w:noProof/>
        </w:rPr>
        <w:t>2.27.</w:t>
      </w:r>
      <w:proofErr w:type="gramEnd"/>
      <w:r>
        <w:rPr>
          <w:i/>
          <w:noProof/>
        </w:rPr>
        <w:t xml:space="preserve"> to 2.35. (former), renumber as paragraphs 2.26. to 2.34.</w:t>
      </w:r>
    </w:p>
    <w:p w:rsidR="0002785B" w:rsidRPr="0002785B" w:rsidRDefault="00470E78" w:rsidP="0002785B">
      <w:pPr>
        <w:spacing w:after="120"/>
        <w:ind w:left="1134" w:right="1134"/>
        <w:jc w:val="both"/>
        <w:rPr>
          <w:rFonts w:eastAsia="MS Gothic"/>
          <w:i/>
        </w:rPr>
      </w:pPr>
      <w:r>
        <w:rPr>
          <w:i/>
          <w:noProof/>
        </w:rPr>
        <w:t>Text of f</w:t>
      </w:r>
      <w:r w:rsidR="0002785B" w:rsidRPr="0002785B">
        <w:rPr>
          <w:i/>
          <w:noProof/>
        </w:rPr>
        <w:t>ootnote 3,</w:t>
      </w:r>
      <w:r w:rsidR="0002785B" w:rsidRPr="0002785B">
        <w:rPr>
          <w:noProof/>
        </w:rPr>
        <w:t xml:space="preserve"> shall be deleted</w:t>
      </w:r>
      <w:r w:rsidR="00F11B62">
        <w:rPr>
          <w:noProof/>
        </w:rPr>
        <w:t>.</w:t>
      </w:r>
    </w:p>
    <w:p w:rsidR="00B22F96" w:rsidRPr="0002785B" w:rsidRDefault="00B22F96" w:rsidP="00B22F96">
      <w:pPr>
        <w:keepNext/>
        <w:keepLines/>
        <w:kinsoku w:val="0"/>
        <w:overflowPunct w:val="0"/>
        <w:spacing w:after="120"/>
        <w:ind w:left="1134" w:right="1134"/>
        <w:jc w:val="both"/>
        <w:textAlignment w:val="baseline"/>
      </w:pPr>
      <w:r>
        <w:rPr>
          <w:i/>
          <w:iCs/>
        </w:rPr>
        <w:t>P</w:t>
      </w:r>
      <w:proofErr w:type="spellStart"/>
      <w:r w:rsidRPr="0002785B">
        <w:rPr>
          <w:i/>
          <w:iCs/>
          <w:lang w:val="en-US"/>
        </w:rPr>
        <w:t>aragraph</w:t>
      </w:r>
      <w:proofErr w:type="spellEnd"/>
      <w:r w:rsidRPr="0002785B">
        <w:rPr>
          <w:i/>
          <w:iCs/>
          <w:lang w:val="en-US"/>
        </w:rPr>
        <w:t xml:space="preserve"> 9.3.5.2.,</w:t>
      </w:r>
      <w:r w:rsidRPr="0002785B">
        <w:rPr>
          <w:iCs/>
          <w:lang w:val="en-US"/>
        </w:rPr>
        <w:t xml:space="preserve"> amend to read:</w:t>
      </w:r>
    </w:p>
    <w:p w:rsidR="00B22F96" w:rsidRPr="0002785B" w:rsidRDefault="00B22F96" w:rsidP="00B22F96">
      <w:pPr>
        <w:tabs>
          <w:tab w:val="left" w:pos="1134"/>
          <w:tab w:val="left" w:pos="1701"/>
        </w:tabs>
        <w:spacing w:after="120"/>
        <w:ind w:left="2268" w:right="1134" w:hanging="1134"/>
        <w:jc w:val="both"/>
        <w:rPr>
          <w:lang w:val="en-US"/>
        </w:rPr>
      </w:pPr>
      <w:r w:rsidRPr="0002785B">
        <w:t>"</w:t>
      </w:r>
      <w:r w:rsidRPr="0002785B">
        <w:rPr>
          <w:lang w:val="en-US"/>
        </w:rPr>
        <w:t>9.3.5.2.</w:t>
      </w:r>
      <w:r w:rsidRPr="0002785B">
        <w:rPr>
          <w:lang w:val="en-US"/>
        </w:rPr>
        <w:tab/>
        <w:t xml:space="preserve">For </w:t>
      </w:r>
      <w:proofErr w:type="spellStart"/>
      <w:r w:rsidRPr="0002785B">
        <w:rPr>
          <w:lang w:val="en-US"/>
        </w:rPr>
        <w:t>IUPR</w:t>
      </w:r>
      <w:proofErr w:type="spellEnd"/>
      <w:r w:rsidRPr="0002785B">
        <w:rPr>
          <w:lang w:val="en-US"/>
        </w:rPr>
        <w:t xml:space="preserve">, the number of sample lots to be taken is described in Table 4 and is based on the number of vehicles of an </w:t>
      </w:r>
      <w:proofErr w:type="spellStart"/>
      <w:r w:rsidRPr="0002785B">
        <w:rPr>
          <w:lang w:val="en-US"/>
        </w:rPr>
        <w:t>OBD</w:t>
      </w:r>
      <w:proofErr w:type="spellEnd"/>
      <w:r w:rsidRPr="0002785B">
        <w:rPr>
          <w:lang w:val="en-US"/>
        </w:rPr>
        <w:t xml:space="preserve"> family that are approved with </w:t>
      </w:r>
      <w:proofErr w:type="spellStart"/>
      <w:r w:rsidRPr="0002785B">
        <w:rPr>
          <w:lang w:val="en-US"/>
        </w:rPr>
        <w:t>IUPR</w:t>
      </w:r>
      <w:proofErr w:type="spellEnd"/>
      <w:r w:rsidRPr="0002785B">
        <w:rPr>
          <w:lang w:val="en-US"/>
        </w:rPr>
        <w:t xml:space="preserve"> (subject to sampling).</w:t>
      </w:r>
    </w:p>
    <w:p w:rsidR="00B22F96" w:rsidRPr="0002785B" w:rsidRDefault="00B22F96" w:rsidP="00B22F96">
      <w:pPr>
        <w:tabs>
          <w:tab w:val="left" w:pos="1134"/>
          <w:tab w:val="left" w:pos="1701"/>
        </w:tabs>
        <w:spacing w:after="120"/>
        <w:ind w:left="2268" w:right="1134" w:hanging="1134"/>
        <w:jc w:val="both"/>
        <w:rPr>
          <w:lang w:val="en-US"/>
        </w:rPr>
      </w:pPr>
      <w:r w:rsidRPr="0002785B">
        <w:rPr>
          <w:lang w:val="en-US"/>
        </w:rPr>
        <w:tab/>
      </w:r>
      <w:r w:rsidRPr="0002785B">
        <w:rPr>
          <w:lang w:val="en-US"/>
        </w:rPr>
        <w:tab/>
        <w:t xml:space="preserve">For the first sampling period of an </w:t>
      </w:r>
      <w:proofErr w:type="spellStart"/>
      <w:r w:rsidRPr="0002785B">
        <w:rPr>
          <w:lang w:val="en-US"/>
        </w:rPr>
        <w:t>OBD</w:t>
      </w:r>
      <w:proofErr w:type="spellEnd"/>
      <w:r w:rsidRPr="0002785B">
        <w:rPr>
          <w:lang w:val="en-US"/>
        </w:rPr>
        <w:t xml:space="preserve"> family, all of the vehicle types in the family that are approved with </w:t>
      </w:r>
      <w:proofErr w:type="spellStart"/>
      <w:r w:rsidRPr="0002785B">
        <w:rPr>
          <w:lang w:val="en-US"/>
        </w:rPr>
        <w:t>IUPR</w:t>
      </w:r>
      <w:proofErr w:type="spellEnd"/>
      <w:r w:rsidRPr="0002785B">
        <w:rPr>
          <w:lang w:val="en-US"/>
        </w:rPr>
        <w:t xml:space="preserve"> shall be considered to be subject to sampling. For subsequent sampling periods, only vehicle types which have not been previously tested or are covered by emissions approvals that have been extended since the previous sampling period shall be considered to be subject to sampling.</w:t>
      </w:r>
    </w:p>
    <w:p w:rsidR="00B22F96" w:rsidRPr="0002785B" w:rsidRDefault="00B22F96" w:rsidP="00B22F96">
      <w:pPr>
        <w:tabs>
          <w:tab w:val="left" w:pos="1134"/>
          <w:tab w:val="left" w:pos="1701"/>
        </w:tabs>
        <w:spacing w:after="120"/>
        <w:ind w:left="2268" w:right="1134" w:hanging="1134"/>
        <w:jc w:val="both"/>
        <w:rPr>
          <w:lang w:val="en-US"/>
        </w:rPr>
      </w:pPr>
      <w:r w:rsidRPr="0002785B">
        <w:rPr>
          <w:lang w:val="en-US"/>
        </w:rPr>
        <w:tab/>
      </w:r>
      <w:r w:rsidRPr="0002785B">
        <w:rPr>
          <w:lang w:val="en-US"/>
        </w:rPr>
        <w:tab/>
        <w:t>For families consisting of fewer than 5,000 registrations that are subject to sampling within the sampling period, the minimum number of vehicles in a sample lot is six. For all other families, the minimum number of vehicles in a sample lot to be sampled is fifteen.</w:t>
      </w:r>
    </w:p>
    <w:p w:rsidR="00B22F96" w:rsidRPr="0002785B" w:rsidRDefault="00B22F96" w:rsidP="00B22F96">
      <w:pPr>
        <w:tabs>
          <w:tab w:val="left" w:pos="1134"/>
          <w:tab w:val="left" w:pos="1701"/>
        </w:tabs>
        <w:spacing w:after="120"/>
        <w:ind w:left="2268" w:right="1134" w:hanging="1134"/>
        <w:jc w:val="both"/>
        <w:rPr>
          <w:lang w:val="en-US"/>
        </w:rPr>
      </w:pPr>
      <w:r w:rsidRPr="0002785B">
        <w:rPr>
          <w:lang w:val="en-US"/>
        </w:rPr>
        <w:tab/>
      </w:r>
      <w:r w:rsidRPr="0002785B">
        <w:rPr>
          <w:lang w:val="en-US"/>
        </w:rPr>
        <w:tab/>
        <w:t>Each sample lot shall adequately represent the sales pattern, i.e. at least the high volume vehicle types (≥20 per cent of the family total) shall be represented.</w:t>
      </w:r>
    </w:p>
    <w:p w:rsidR="00B22F96" w:rsidRPr="0002785B" w:rsidRDefault="00B22F96" w:rsidP="00B22F96">
      <w:pPr>
        <w:tabs>
          <w:tab w:val="left" w:pos="1134"/>
          <w:tab w:val="left" w:pos="1701"/>
        </w:tabs>
        <w:spacing w:after="120"/>
        <w:ind w:left="2268" w:right="1134" w:hanging="1134"/>
        <w:jc w:val="both"/>
        <w:rPr>
          <w:lang w:val="en-US"/>
        </w:rPr>
      </w:pPr>
      <w:r w:rsidRPr="0002785B">
        <w:rPr>
          <w:lang w:val="en-US"/>
        </w:rPr>
        <w:tab/>
      </w:r>
      <w:r w:rsidRPr="0002785B">
        <w:rPr>
          <w:lang w:val="en-US"/>
        </w:rPr>
        <w:tab/>
      </w:r>
      <w:r w:rsidRPr="0002785B">
        <w:rPr>
          <w:bCs/>
          <w:lang w:val="en-US"/>
        </w:rPr>
        <w:t xml:space="preserve">Vehicles of small series productions with less than 1000 vehicles per </w:t>
      </w:r>
      <w:proofErr w:type="spellStart"/>
      <w:r w:rsidRPr="0002785B">
        <w:rPr>
          <w:bCs/>
          <w:lang w:val="en-US"/>
        </w:rPr>
        <w:t>OBD</w:t>
      </w:r>
      <w:proofErr w:type="spellEnd"/>
      <w:r w:rsidRPr="0002785B">
        <w:rPr>
          <w:bCs/>
          <w:lang w:val="en-US"/>
        </w:rPr>
        <w:t xml:space="preserve"> family are exempted from minimum </w:t>
      </w:r>
      <w:proofErr w:type="spellStart"/>
      <w:r w:rsidRPr="0002785B">
        <w:rPr>
          <w:bCs/>
          <w:lang w:val="en-US"/>
        </w:rPr>
        <w:t>IUPR</w:t>
      </w:r>
      <w:proofErr w:type="spellEnd"/>
      <w:r w:rsidRPr="0002785B">
        <w:rPr>
          <w:bCs/>
          <w:lang w:val="en-US"/>
        </w:rPr>
        <w:t xml:space="preserve"> requirements as well as the requirement to demonstrate these to the </w:t>
      </w:r>
      <w:r w:rsidR="00DB4587">
        <w:rPr>
          <w:bCs/>
          <w:lang w:val="en-US"/>
        </w:rPr>
        <w:t>Type A</w:t>
      </w:r>
      <w:r w:rsidRPr="0002785B">
        <w:rPr>
          <w:bCs/>
          <w:lang w:val="en-US"/>
        </w:rPr>
        <w:t xml:space="preserve">pproval </w:t>
      </w:r>
      <w:r w:rsidR="00DB4587">
        <w:rPr>
          <w:bCs/>
          <w:lang w:val="en-US"/>
        </w:rPr>
        <w:t>A</w:t>
      </w:r>
      <w:r w:rsidRPr="0002785B">
        <w:rPr>
          <w:bCs/>
          <w:lang w:val="en-US"/>
        </w:rPr>
        <w:t>uthority.</w:t>
      </w:r>
      <w:r w:rsidRPr="0002785B">
        <w:t>"</w:t>
      </w:r>
    </w:p>
    <w:p w:rsidR="0002785B" w:rsidRPr="0002785B" w:rsidRDefault="0002785B" w:rsidP="0002785B">
      <w:pPr>
        <w:spacing w:after="120"/>
        <w:ind w:left="1134" w:right="1134"/>
        <w:jc w:val="both"/>
      </w:pPr>
      <w:r w:rsidRPr="0002785B">
        <w:rPr>
          <w:i/>
        </w:rPr>
        <w:t>Paragraph 12.1.2.</w:t>
      </w:r>
      <w:r w:rsidRPr="0002785B">
        <w:t>, shall be deleted.</w:t>
      </w:r>
    </w:p>
    <w:p w:rsidR="0002785B" w:rsidRPr="0002785B" w:rsidRDefault="0002785B" w:rsidP="0002785B">
      <w:pPr>
        <w:spacing w:after="120"/>
        <w:ind w:left="1134" w:right="1134"/>
        <w:jc w:val="both"/>
      </w:pPr>
      <w:r w:rsidRPr="0002785B">
        <w:rPr>
          <w:i/>
        </w:rPr>
        <w:t>Paragraph 12.2.</w:t>
      </w:r>
      <w:r w:rsidRPr="0002785B">
        <w:t>, amend to read:</w:t>
      </w:r>
    </w:p>
    <w:p w:rsidR="0002785B" w:rsidRPr="0002785B" w:rsidRDefault="0002785B" w:rsidP="0002785B">
      <w:pPr>
        <w:spacing w:after="120"/>
        <w:ind w:left="1134" w:right="1134"/>
        <w:jc w:val="both"/>
        <w:rPr>
          <w:i/>
        </w:rPr>
      </w:pPr>
      <w:r w:rsidRPr="0002785B">
        <w:t xml:space="preserve">"12.2. </w:t>
      </w:r>
      <w:r w:rsidRPr="0002785B">
        <w:tab/>
      </w:r>
      <w:r w:rsidRPr="0002785B">
        <w:tab/>
        <w:t>Type</w:t>
      </w:r>
      <w:r>
        <w:t xml:space="preserve"> </w:t>
      </w:r>
      <w:r w:rsidRPr="0002785B">
        <w:t>approvals"</w:t>
      </w:r>
    </w:p>
    <w:p w:rsidR="0002785B" w:rsidRPr="0002785B" w:rsidRDefault="0002785B" w:rsidP="0002785B">
      <w:pPr>
        <w:tabs>
          <w:tab w:val="left" w:pos="1134"/>
        </w:tabs>
        <w:spacing w:after="120"/>
        <w:ind w:left="2268" w:right="1134" w:hanging="1134"/>
        <w:jc w:val="both"/>
        <w:rPr>
          <w:lang w:val="en-US"/>
        </w:rPr>
      </w:pPr>
      <w:r w:rsidRPr="0002785B">
        <w:rPr>
          <w:i/>
          <w:iCs/>
          <w:lang w:val="en-US"/>
        </w:rPr>
        <w:t>Paragraph 12.2.1.</w:t>
      </w:r>
      <w:r w:rsidRPr="0002785B">
        <w:rPr>
          <w:lang w:val="en-US"/>
        </w:rPr>
        <w:t>, amend to read:</w:t>
      </w:r>
    </w:p>
    <w:p w:rsidR="0002785B" w:rsidRPr="0002785B" w:rsidRDefault="0002785B" w:rsidP="0002785B">
      <w:pPr>
        <w:spacing w:after="120"/>
        <w:ind w:left="2268" w:right="1134" w:hanging="1134"/>
        <w:jc w:val="both"/>
        <w:rPr>
          <w:lang w:val="en-US"/>
        </w:rPr>
      </w:pPr>
      <w:r w:rsidRPr="0002785B">
        <w:t>"</w:t>
      </w:r>
      <w:r w:rsidRPr="0002785B">
        <w:rPr>
          <w:lang w:val="en-US"/>
        </w:rPr>
        <w:t>12.2.1.</w:t>
      </w:r>
      <w:r w:rsidRPr="0002785B">
        <w:rPr>
          <w:lang w:val="en-US"/>
        </w:rPr>
        <w:tab/>
      </w:r>
      <w:r w:rsidRPr="0002785B">
        <w:t xml:space="preserve">As from the official date of entry into force of the 07 series of amendments </w:t>
      </w:r>
      <w:r w:rsidRPr="0002785B">
        <w:rPr>
          <w:lang w:val="en-US"/>
        </w:rPr>
        <w:t>for vehicles of category M or N</w:t>
      </w:r>
      <w:r w:rsidRPr="0002785B">
        <w:rPr>
          <w:vertAlign w:val="subscript"/>
          <w:lang w:val="en-US"/>
        </w:rPr>
        <w:t>1</w:t>
      </w:r>
      <w:r w:rsidRPr="0002785B">
        <w:rPr>
          <w:lang w:val="en-US"/>
        </w:rPr>
        <w:t xml:space="preserve"> (Class I) and 1 September 2015 for vehicles of category N</w:t>
      </w:r>
      <w:r w:rsidRPr="0002785B">
        <w:rPr>
          <w:vertAlign w:val="subscript"/>
          <w:lang w:val="en-US"/>
        </w:rPr>
        <w:t>1</w:t>
      </w:r>
      <w:r w:rsidRPr="0002785B">
        <w:rPr>
          <w:lang w:val="en-US"/>
        </w:rPr>
        <w:t xml:space="preserve"> (Classes II or III) and category N</w:t>
      </w:r>
      <w:r w:rsidRPr="0002785B">
        <w:rPr>
          <w:vertAlign w:val="subscript"/>
          <w:lang w:val="en-US"/>
        </w:rPr>
        <w:t xml:space="preserve">2, </w:t>
      </w:r>
      <w:r w:rsidRPr="0002785B">
        <w:rPr>
          <w:lang w:val="en-US"/>
        </w:rPr>
        <w:t>Contracting Parties applying this Regulation shall grant an approval to new vehicle types only if they comply with:</w:t>
      </w:r>
    </w:p>
    <w:p w:rsidR="0002785B" w:rsidRPr="0002785B" w:rsidRDefault="0002785B" w:rsidP="0002785B">
      <w:pPr>
        <w:spacing w:after="120"/>
        <w:ind w:left="2835" w:right="1134" w:hanging="567"/>
        <w:jc w:val="both"/>
        <w:rPr>
          <w:lang w:val="en-US"/>
        </w:rPr>
      </w:pPr>
      <w:r w:rsidRPr="0002785B">
        <w:rPr>
          <w:lang w:val="en-US"/>
        </w:rPr>
        <w:t>(a)</w:t>
      </w:r>
      <w:r w:rsidRPr="0002785B">
        <w:rPr>
          <w:lang w:val="en-US"/>
        </w:rPr>
        <w:tab/>
        <w:t xml:space="preserve">The applicable limits for the Type I test in Table 1 specified in paragraph 5.3.1.4. </w:t>
      </w:r>
      <w:proofErr w:type="gramStart"/>
      <w:r w:rsidRPr="0002785B">
        <w:rPr>
          <w:lang w:val="en-US"/>
        </w:rPr>
        <w:t>of</w:t>
      </w:r>
      <w:proofErr w:type="gramEnd"/>
      <w:r w:rsidRPr="0002785B">
        <w:rPr>
          <w:lang w:val="en-US"/>
        </w:rPr>
        <w:t xml:space="preserve"> this Regulation; and</w:t>
      </w:r>
    </w:p>
    <w:p w:rsidR="0002785B" w:rsidRPr="0002785B" w:rsidRDefault="0002785B" w:rsidP="0002785B">
      <w:pPr>
        <w:spacing w:after="120"/>
        <w:ind w:left="2835" w:right="1134" w:hanging="567"/>
        <w:jc w:val="both"/>
        <w:rPr>
          <w:lang w:val="en-US"/>
        </w:rPr>
      </w:pPr>
      <w:r w:rsidRPr="0002785B">
        <w:rPr>
          <w:lang w:val="en-US"/>
        </w:rPr>
        <w:t>(b)</w:t>
      </w:r>
      <w:r w:rsidRPr="0002785B">
        <w:rPr>
          <w:lang w:val="en-US"/>
        </w:rPr>
        <w:tab/>
        <w:t xml:space="preserve">The Preliminary </w:t>
      </w:r>
      <w:proofErr w:type="spellStart"/>
      <w:r w:rsidRPr="0002785B">
        <w:rPr>
          <w:lang w:val="en-US"/>
        </w:rPr>
        <w:t>OBD</w:t>
      </w:r>
      <w:proofErr w:type="spellEnd"/>
      <w:r w:rsidRPr="0002785B">
        <w:rPr>
          <w:lang w:val="en-US"/>
        </w:rPr>
        <w:t xml:space="preserve"> threshold limits in Table A11/2 specified in paragraph 3.3.2.2. </w:t>
      </w:r>
      <w:proofErr w:type="gramStart"/>
      <w:r w:rsidRPr="0002785B">
        <w:rPr>
          <w:lang w:val="en-US"/>
        </w:rPr>
        <w:t>of</w:t>
      </w:r>
      <w:proofErr w:type="gramEnd"/>
      <w:r w:rsidRPr="0002785B">
        <w:rPr>
          <w:lang w:val="en-US"/>
        </w:rPr>
        <w:t xml:space="preserve"> Annex 11 to this Regulation."</w:t>
      </w:r>
    </w:p>
    <w:p w:rsidR="0002785B" w:rsidRPr="0002785B" w:rsidRDefault="0002785B" w:rsidP="0002785B">
      <w:pPr>
        <w:tabs>
          <w:tab w:val="left" w:pos="1134"/>
        </w:tabs>
        <w:spacing w:after="120"/>
        <w:ind w:left="2268" w:right="1134" w:hanging="1134"/>
        <w:jc w:val="both"/>
        <w:rPr>
          <w:lang w:val="en-US"/>
        </w:rPr>
      </w:pPr>
      <w:r w:rsidRPr="0002785B">
        <w:rPr>
          <w:i/>
          <w:iCs/>
          <w:lang w:val="en-US"/>
        </w:rPr>
        <w:t>Paragraph 12.2.2.</w:t>
      </w:r>
      <w:r w:rsidRPr="0002785B">
        <w:rPr>
          <w:lang w:val="en-US"/>
        </w:rPr>
        <w:t>, amend to read:</w:t>
      </w:r>
    </w:p>
    <w:p w:rsidR="0002785B" w:rsidRPr="0002785B" w:rsidRDefault="0002785B" w:rsidP="0002785B">
      <w:pPr>
        <w:tabs>
          <w:tab w:val="left" w:pos="2268"/>
        </w:tabs>
        <w:spacing w:after="120"/>
        <w:ind w:left="2268" w:right="1134" w:hanging="1134"/>
        <w:jc w:val="both"/>
      </w:pPr>
      <w:r w:rsidRPr="0002785B">
        <w:t>"12.2.2.</w:t>
      </w:r>
      <w:r w:rsidRPr="0002785B">
        <w:tab/>
        <w:t>As</w:t>
      </w:r>
      <w:r w:rsidRPr="0002785B">
        <w:rPr>
          <w:color w:val="FF0000"/>
        </w:rPr>
        <w:t xml:space="preserve"> </w:t>
      </w:r>
      <w:r w:rsidRPr="0002785B">
        <w:t>from 1 September 2015 for vehicles of category M or N</w:t>
      </w:r>
      <w:r w:rsidRPr="0002785B">
        <w:rPr>
          <w:vertAlign w:val="subscript"/>
        </w:rPr>
        <w:t>1</w:t>
      </w:r>
      <w:r w:rsidRPr="0002785B">
        <w:t xml:space="preserve"> (Class I), and from 1 September 2016 for vehicles of category N</w:t>
      </w:r>
      <w:r w:rsidRPr="0002785B">
        <w:rPr>
          <w:vertAlign w:val="subscript"/>
        </w:rPr>
        <w:t>1</w:t>
      </w:r>
      <w:r w:rsidRPr="0002785B">
        <w:t xml:space="preserve"> (Classes II or III) and category N</w:t>
      </w:r>
      <w:r w:rsidRPr="0002785B">
        <w:rPr>
          <w:vertAlign w:val="subscript"/>
        </w:rPr>
        <w:t>2</w:t>
      </w:r>
      <w:r w:rsidRPr="0002785B">
        <w:t>, Contracting Parties applying this Regulation shall not be obliged to accept a type-approval which has not been granted in accordance with the 07 series of amendments</w:t>
      </w:r>
      <w:r w:rsidRPr="0002785B">
        <w:rPr>
          <w:color w:val="FF0000"/>
        </w:rPr>
        <w:t xml:space="preserve"> </w:t>
      </w:r>
      <w:r w:rsidRPr="0002785B">
        <w:t xml:space="preserve">to this Regulation which does not comply with: </w:t>
      </w:r>
    </w:p>
    <w:p w:rsidR="0002785B" w:rsidRPr="0002785B" w:rsidRDefault="0002785B" w:rsidP="0002785B">
      <w:pPr>
        <w:spacing w:after="120"/>
        <w:ind w:left="2835" w:right="1134" w:hanging="567"/>
        <w:jc w:val="both"/>
      </w:pPr>
      <w:r w:rsidRPr="0002785B">
        <w:lastRenderedPageBreak/>
        <w:t>(a)</w:t>
      </w:r>
      <w:r w:rsidRPr="0002785B">
        <w:tab/>
        <w:t xml:space="preserve">The applicable limits for the Type I test in Table 1 specified in paragraph 5.3.1.4. </w:t>
      </w:r>
      <w:proofErr w:type="gramStart"/>
      <w:r w:rsidRPr="0002785B">
        <w:t>of</w:t>
      </w:r>
      <w:proofErr w:type="gramEnd"/>
      <w:r w:rsidRPr="0002785B">
        <w:t xml:space="preserve"> this Regulation; and </w:t>
      </w:r>
    </w:p>
    <w:p w:rsidR="0002785B" w:rsidRPr="0002785B" w:rsidRDefault="0002785B" w:rsidP="0002785B">
      <w:pPr>
        <w:spacing w:after="120"/>
        <w:ind w:left="2835" w:right="1134" w:hanging="567"/>
        <w:jc w:val="both"/>
      </w:pPr>
      <w:r w:rsidRPr="0002785B">
        <w:t>(b)</w:t>
      </w:r>
      <w:r w:rsidRPr="0002785B">
        <w:tab/>
        <w:t xml:space="preserve">The Preliminary </w:t>
      </w:r>
      <w:proofErr w:type="spellStart"/>
      <w:r w:rsidRPr="0002785B">
        <w:t>OBD</w:t>
      </w:r>
      <w:proofErr w:type="spellEnd"/>
      <w:r w:rsidRPr="0002785B">
        <w:t xml:space="preserve"> threshold limits in Table A11/2 specified in paragraph 3.3.2.2. </w:t>
      </w:r>
      <w:proofErr w:type="gramStart"/>
      <w:r w:rsidRPr="0002785B">
        <w:t>of</w:t>
      </w:r>
      <w:proofErr w:type="gramEnd"/>
      <w:r w:rsidRPr="0002785B">
        <w:t xml:space="preserve"> Annex 11 to this Regulation."</w:t>
      </w:r>
    </w:p>
    <w:p w:rsidR="0002785B" w:rsidRPr="0002785B" w:rsidRDefault="0002785B" w:rsidP="0002785B">
      <w:pPr>
        <w:tabs>
          <w:tab w:val="left" w:pos="1134"/>
        </w:tabs>
        <w:spacing w:after="120"/>
        <w:ind w:left="2268" w:right="1134" w:hanging="1134"/>
        <w:jc w:val="both"/>
        <w:rPr>
          <w:lang w:val="en-US"/>
        </w:rPr>
      </w:pPr>
      <w:r w:rsidRPr="0002785B">
        <w:rPr>
          <w:i/>
          <w:iCs/>
          <w:lang w:val="en-US"/>
        </w:rPr>
        <w:t xml:space="preserve">Paragraph 12.2.3., </w:t>
      </w:r>
      <w:r w:rsidRPr="0002785B">
        <w:rPr>
          <w:lang w:val="en-US"/>
        </w:rPr>
        <w:t>amend to read:</w:t>
      </w:r>
    </w:p>
    <w:p w:rsidR="0002785B" w:rsidRPr="0002785B" w:rsidRDefault="0002785B" w:rsidP="0002785B">
      <w:pPr>
        <w:tabs>
          <w:tab w:val="left" w:pos="1134"/>
        </w:tabs>
        <w:spacing w:after="120"/>
        <w:ind w:left="2268" w:right="1134" w:hanging="1134"/>
        <w:jc w:val="both"/>
        <w:rPr>
          <w:lang w:val="en-US"/>
        </w:rPr>
      </w:pPr>
      <w:r w:rsidRPr="0002785B">
        <w:rPr>
          <w:lang w:val="en-US"/>
        </w:rPr>
        <w:t>"12.2.3.</w:t>
      </w:r>
      <w:r w:rsidRPr="0002785B">
        <w:rPr>
          <w:lang w:val="en-US"/>
        </w:rPr>
        <w:tab/>
        <w:t>As from 1 September 2017 for vehicles of category M or N</w:t>
      </w:r>
      <w:r w:rsidRPr="0002785B">
        <w:rPr>
          <w:vertAlign w:val="subscript"/>
          <w:lang w:val="en-US"/>
        </w:rPr>
        <w:t>1</w:t>
      </w:r>
      <w:r w:rsidRPr="0002785B">
        <w:rPr>
          <w:lang w:val="en-US"/>
        </w:rPr>
        <w:t xml:space="preserve"> (Class I) and 1 September 2018 for vehicles of category N</w:t>
      </w:r>
      <w:r w:rsidRPr="0002785B">
        <w:rPr>
          <w:vertAlign w:val="subscript"/>
          <w:lang w:val="en-US"/>
        </w:rPr>
        <w:t>1</w:t>
      </w:r>
      <w:r w:rsidRPr="0002785B">
        <w:rPr>
          <w:lang w:val="en-US"/>
        </w:rPr>
        <w:t xml:space="preserve"> (Classes II or III) and category N</w:t>
      </w:r>
      <w:r w:rsidRPr="0002785B">
        <w:rPr>
          <w:vertAlign w:val="subscript"/>
          <w:lang w:val="en-US"/>
        </w:rPr>
        <w:t xml:space="preserve">2, </w:t>
      </w:r>
      <w:r w:rsidRPr="0002785B">
        <w:rPr>
          <w:lang w:val="en-US"/>
        </w:rPr>
        <w:t xml:space="preserve">Contracting Parties applying this Regulation </w:t>
      </w:r>
      <w:r w:rsidRPr="0002785B">
        <w:t>as amended by the 07 series of amendments</w:t>
      </w:r>
      <w:r w:rsidRPr="0002785B">
        <w:rPr>
          <w:lang w:val="en-US"/>
        </w:rPr>
        <w:t xml:space="preserve"> shall grant an approval to new vehicle types only if they comply with:</w:t>
      </w:r>
    </w:p>
    <w:p w:rsidR="0002785B" w:rsidRPr="0002785B" w:rsidRDefault="0002785B" w:rsidP="0002785B">
      <w:pPr>
        <w:tabs>
          <w:tab w:val="left" w:pos="1134"/>
        </w:tabs>
        <w:spacing w:after="120"/>
        <w:ind w:left="2835" w:right="1134" w:hanging="567"/>
        <w:jc w:val="both"/>
        <w:rPr>
          <w:lang w:val="en-US"/>
        </w:rPr>
      </w:pPr>
      <w:r w:rsidRPr="0002785B">
        <w:rPr>
          <w:lang w:val="en-US"/>
        </w:rPr>
        <w:t>(a)</w:t>
      </w:r>
      <w:r w:rsidRPr="0002785B">
        <w:rPr>
          <w:lang w:val="en-US"/>
        </w:rPr>
        <w:tab/>
        <w:t>The applicable limits for the Type I test in Table 1 specified in paragraph 5.3.1.4.; and</w:t>
      </w:r>
    </w:p>
    <w:p w:rsidR="0002785B" w:rsidRPr="0002785B" w:rsidRDefault="0002785B" w:rsidP="0002785B">
      <w:pPr>
        <w:tabs>
          <w:tab w:val="left" w:pos="1134"/>
        </w:tabs>
        <w:spacing w:after="120"/>
        <w:ind w:left="2835" w:right="1134" w:hanging="567"/>
        <w:jc w:val="both"/>
        <w:rPr>
          <w:lang w:val="en-US"/>
        </w:rPr>
      </w:pPr>
      <w:r w:rsidRPr="0002785B">
        <w:rPr>
          <w:lang w:val="en-US"/>
        </w:rPr>
        <w:t>(b)</w:t>
      </w:r>
      <w:r w:rsidRPr="0002785B">
        <w:rPr>
          <w:lang w:val="en-US"/>
        </w:rPr>
        <w:tab/>
        <w:t xml:space="preserve">The Final </w:t>
      </w:r>
      <w:proofErr w:type="spellStart"/>
      <w:r w:rsidRPr="0002785B">
        <w:rPr>
          <w:lang w:val="en-US"/>
        </w:rPr>
        <w:t>OBD</w:t>
      </w:r>
      <w:proofErr w:type="spellEnd"/>
      <w:r w:rsidRPr="0002785B">
        <w:rPr>
          <w:lang w:val="en-US"/>
        </w:rPr>
        <w:t xml:space="preserve"> threshold limits in Table A11/1 specified in paragraph 3.3.2.1. </w:t>
      </w:r>
      <w:proofErr w:type="gramStart"/>
      <w:r w:rsidRPr="0002785B">
        <w:rPr>
          <w:lang w:val="en-US"/>
        </w:rPr>
        <w:t>of</w:t>
      </w:r>
      <w:proofErr w:type="gramEnd"/>
      <w:r w:rsidRPr="0002785B">
        <w:rPr>
          <w:lang w:val="en-US"/>
        </w:rPr>
        <w:t xml:space="preserve"> Annex 11 to this Regulation."</w:t>
      </w:r>
    </w:p>
    <w:p w:rsidR="0002785B" w:rsidRPr="0002785B" w:rsidRDefault="0002785B" w:rsidP="0002785B">
      <w:pPr>
        <w:tabs>
          <w:tab w:val="left" w:pos="1134"/>
        </w:tabs>
        <w:spacing w:after="120"/>
        <w:ind w:left="2268" w:right="1134" w:hanging="1134"/>
        <w:jc w:val="both"/>
        <w:rPr>
          <w:lang w:val="en-US"/>
        </w:rPr>
      </w:pPr>
      <w:r w:rsidRPr="0002785B">
        <w:rPr>
          <w:i/>
          <w:iCs/>
          <w:lang w:val="en-US"/>
        </w:rPr>
        <w:t>Paragraph 12.2.4.,</w:t>
      </w:r>
      <w:r w:rsidRPr="0002785B">
        <w:rPr>
          <w:lang w:val="en-US"/>
        </w:rPr>
        <w:t xml:space="preserve"> amend to read:</w:t>
      </w:r>
    </w:p>
    <w:p w:rsidR="0002785B" w:rsidRPr="0002785B" w:rsidRDefault="0002785B" w:rsidP="0002785B">
      <w:pPr>
        <w:tabs>
          <w:tab w:val="left" w:pos="2268"/>
        </w:tabs>
        <w:spacing w:after="120"/>
        <w:ind w:left="2268" w:right="1134" w:hanging="1134"/>
        <w:jc w:val="both"/>
      </w:pPr>
      <w:r w:rsidRPr="0002785B">
        <w:t>"12.2.4.</w:t>
      </w:r>
      <w:r w:rsidRPr="0002785B">
        <w:tab/>
      </w:r>
      <w:r w:rsidRPr="0002785B">
        <w:rPr>
          <w:lang w:val="en-US"/>
        </w:rPr>
        <w:t>As from 1 September 2018 for vehicles of category M or N</w:t>
      </w:r>
      <w:r w:rsidRPr="0002785B">
        <w:rPr>
          <w:vertAlign w:val="subscript"/>
          <w:lang w:val="en-US"/>
        </w:rPr>
        <w:t>1</w:t>
      </w:r>
      <w:r w:rsidRPr="0002785B">
        <w:rPr>
          <w:lang w:val="en-US"/>
        </w:rPr>
        <w:t xml:space="preserve"> (Class I), and from 1 September 2019 for vehicles of category N</w:t>
      </w:r>
      <w:r w:rsidRPr="0002785B">
        <w:rPr>
          <w:vertAlign w:val="subscript"/>
          <w:lang w:val="en-US"/>
        </w:rPr>
        <w:t>1</w:t>
      </w:r>
      <w:r w:rsidRPr="0002785B">
        <w:rPr>
          <w:lang w:val="en-US"/>
        </w:rPr>
        <w:t xml:space="preserve"> (Classes II or III) and category N</w:t>
      </w:r>
      <w:r w:rsidRPr="0002785B">
        <w:rPr>
          <w:vertAlign w:val="subscript"/>
          <w:lang w:val="en-US"/>
        </w:rPr>
        <w:t>2</w:t>
      </w:r>
      <w:r w:rsidRPr="0002785B">
        <w:rPr>
          <w:lang w:val="en-US"/>
        </w:rPr>
        <w:t xml:space="preserve">, Contracting Parties applying this Regulation shall not be obliged to accept a type-approval </w:t>
      </w:r>
      <w:r w:rsidRPr="0002785B">
        <w:t>which has not been granted in accordance with the 07 series of amendments</w:t>
      </w:r>
      <w:r w:rsidRPr="0002785B">
        <w:rPr>
          <w:color w:val="FF0000"/>
        </w:rPr>
        <w:t xml:space="preserve"> </w:t>
      </w:r>
      <w:r w:rsidRPr="0002785B">
        <w:rPr>
          <w:lang w:val="en-US"/>
        </w:rPr>
        <w:t>to this Regulation which does not comply with:</w:t>
      </w:r>
    </w:p>
    <w:p w:rsidR="0002785B" w:rsidRPr="0002785B" w:rsidRDefault="0002785B" w:rsidP="0002785B">
      <w:pPr>
        <w:spacing w:after="120"/>
        <w:ind w:left="2835" w:right="1134" w:hanging="567"/>
        <w:jc w:val="both"/>
        <w:rPr>
          <w:lang w:val="en-US"/>
        </w:rPr>
      </w:pPr>
      <w:r w:rsidRPr="0002785B">
        <w:rPr>
          <w:lang w:val="en-US"/>
        </w:rPr>
        <w:t>(a)</w:t>
      </w:r>
      <w:r w:rsidRPr="0002785B">
        <w:rPr>
          <w:lang w:val="en-US"/>
        </w:rPr>
        <w:tab/>
        <w:t xml:space="preserve">The applicable limits for the Type I test in Table 1 </w:t>
      </w:r>
      <w:r w:rsidRPr="0002785B">
        <w:t xml:space="preserve">specified in </w:t>
      </w:r>
      <w:r w:rsidRPr="0002785B">
        <w:rPr>
          <w:lang w:val="en-US"/>
        </w:rPr>
        <w:t xml:space="preserve">paragraph 5.3.1.4. </w:t>
      </w:r>
      <w:proofErr w:type="gramStart"/>
      <w:r w:rsidRPr="0002785B">
        <w:rPr>
          <w:lang w:val="en-US"/>
        </w:rPr>
        <w:t>of</w:t>
      </w:r>
      <w:proofErr w:type="gramEnd"/>
      <w:r w:rsidRPr="0002785B">
        <w:rPr>
          <w:lang w:val="en-US"/>
        </w:rPr>
        <w:t xml:space="preserve"> this Regulation; and </w:t>
      </w:r>
    </w:p>
    <w:p w:rsidR="0002785B" w:rsidRPr="0002785B" w:rsidRDefault="0002785B" w:rsidP="0002785B">
      <w:pPr>
        <w:spacing w:after="120" w:line="240" w:lineRule="auto"/>
        <w:ind w:left="2835" w:right="1134" w:hanging="567"/>
        <w:jc w:val="both"/>
        <w:rPr>
          <w:sz w:val="18"/>
        </w:rPr>
      </w:pPr>
      <w:r w:rsidRPr="0002785B">
        <w:rPr>
          <w:lang w:val="en-US"/>
        </w:rPr>
        <w:t>(b)</w:t>
      </w:r>
      <w:r w:rsidRPr="0002785B">
        <w:rPr>
          <w:lang w:val="en-US"/>
        </w:rPr>
        <w:tab/>
        <w:t xml:space="preserve">The Final </w:t>
      </w:r>
      <w:proofErr w:type="spellStart"/>
      <w:r w:rsidRPr="0002785B">
        <w:rPr>
          <w:lang w:val="en-US"/>
        </w:rPr>
        <w:t>OBD</w:t>
      </w:r>
      <w:proofErr w:type="spellEnd"/>
      <w:r w:rsidRPr="0002785B">
        <w:rPr>
          <w:lang w:val="en-US"/>
        </w:rPr>
        <w:t xml:space="preserve"> threshold limits in Table A11/1 </w:t>
      </w:r>
      <w:r w:rsidRPr="0002785B">
        <w:t xml:space="preserve">specified in </w:t>
      </w:r>
      <w:r w:rsidRPr="0002785B">
        <w:rPr>
          <w:lang w:val="en-US"/>
        </w:rPr>
        <w:t xml:space="preserve">paragraph 3.3.2.1. </w:t>
      </w:r>
      <w:proofErr w:type="gramStart"/>
      <w:r w:rsidRPr="0002785B">
        <w:rPr>
          <w:lang w:val="en-US"/>
        </w:rPr>
        <w:t>of</w:t>
      </w:r>
      <w:proofErr w:type="gramEnd"/>
      <w:r w:rsidRPr="0002785B">
        <w:rPr>
          <w:lang w:val="en-US"/>
        </w:rPr>
        <w:t xml:space="preserve"> Annex 11 to this Regulation.</w:t>
      </w:r>
      <w:r w:rsidRPr="0002785B">
        <w:t>"</w:t>
      </w:r>
    </w:p>
    <w:p w:rsidR="0002785B" w:rsidRDefault="0002785B" w:rsidP="0002785B">
      <w:pPr>
        <w:kinsoku w:val="0"/>
        <w:overflowPunct w:val="0"/>
        <w:spacing w:before="120" w:after="240"/>
        <w:ind w:left="2268" w:right="1134" w:hanging="1134"/>
        <w:jc w:val="both"/>
        <w:textAlignment w:val="baseline"/>
        <w:rPr>
          <w:i/>
          <w:iCs/>
          <w:lang w:val="en-US"/>
        </w:rPr>
      </w:pPr>
      <w:r w:rsidRPr="0002785B">
        <w:rPr>
          <w:i/>
          <w:iCs/>
          <w:lang w:val="en-US"/>
        </w:rPr>
        <w:t xml:space="preserve">Annex 1, </w:t>
      </w:r>
    </w:p>
    <w:p w:rsidR="0002785B" w:rsidRPr="0002785B" w:rsidRDefault="0002785B" w:rsidP="0002785B">
      <w:pPr>
        <w:kinsoku w:val="0"/>
        <w:overflowPunct w:val="0"/>
        <w:spacing w:before="120" w:after="240"/>
        <w:ind w:left="2268" w:right="1134" w:hanging="1134"/>
        <w:jc w:val="both"/>
        <w:textAlignment w:val="baseline"/>
      </w:pPr>
      <w:r>
        <w:rPr>
          <w:i/>
          <w:iCs/>
          <w:lang w:val="en-US"/>
        </w:rPr>
        <w:t>P</w:t>
      </w:r>
      <w:r w:rsidRPr="0002785B">
        <w:rPr>
          <w:i/>
          <w:iCs/>
          <w:lang w:val="en-US"/>
        </w:rPr>
        <w:t>aragraph 3.2.12.2.7.6.3.,</w:t>
      </w:r>
      <w:r w:rsidRPr="0002785B">
        <w:t xml:space="preserve"> amend to read</w:t>
      </w:r>
      <w:r w:rsidRPr="0002785B">
        <w:rPr>
          <w:iCs/>
        </w:rPr>
        <w:t>:</w:t>
      </w:r>
    </w:p>
    <w:p w:rsidR="0002785B" w:rsidRPr="0002785B" w:rsidRDefault="0002785B" w:rsidP="00DB4587">
      <w:pPr>
        <w:spacing w:before="120"/>
        <w:ind w:left="2268" w:right="1134" w:hanging="1134"/>
        <w:jc w:val="both"/>
      </w:pPr>
      <w:r w:rsidRPr="0002785B">
        <w:t>"3.2.12.2.7.6.3.</w:t>
      </w:r>
      <w:r w:rsidR="00DB4587">
        <w:t xml:space="preserve">  </w:t>
      </w:r>
      <w:r w:rsidRPr="0002785B">
        <w:t xml:space="preserve">A comprehensive document describing all sensed components with the strategy for fault detection and MI activation (fixed number of driving cycles or statistical method), including a list of relevant secondary sensed parameters for each component monitored by the </w:t>
      </w:r>
      <w:proofErr w:type="spellStart"/>
      <w:r w:rsidRPr="0002785B">
        <w:t>OBD</w:t>
      </w:r>
      <w:proofErr w:type="spellEnd"/>
      <w:r w:rsidRPr="0002785B">
        <w:t xml:space="preserve"> system. A list of all </w:t>
      </w:r>
      <w:proofErr w:type="spellStart"/>
      <w:r w:rsidRPr="0002785B">
        <w:t>OBD</w:t>
      </w:r>
      <w:proofErr w:type="spellEnd"/>
      <w:r w:rsidRPr="0002785B">
        <w:t xml:space="preserve"> output codes and format used (with an explanation of each) associated with individual emission related power-train components and individual non-emission related components, where monitoring of the component is used to determine MI activation. In particular, a comprehensive explanation for the data given in service $05 Test ID $21 to </w:t>
      </w:r>
      <w:proofErr w:type="spellStart"/>
      <w:r w:rsidRPr="0002785B">
        <w:t>FF</w:t>
      </w:r>
      <w:proofErr w:type="spellEnd"/>
      <w:r w:rsidRPr="0002785B">
        <w:t xml:space="preserve"> and the data given in service $06 shall be provided. In the case of vehicle types that use a communication link in accordance with </w:t>
      </w:r>
      <w:r w:rsidRPr="0002785B">
        <w:rPr>
          <w:bCs/>
        </w:rPr>
        <w:t>the standard listed in paragraph 6.5.3.1.(a) of Annex 11, Appendix 1 of this Regulation</w:t>
      </w:r>
      <w:r w:rsidRPr="0002785B">
        <w:t xml:space="preserve">, a comprehensive explanation for the data given in service $06 Test ID $00 to </w:t>
      </w:r>
      <w:proofErr w:type="spellStart"/>
      <w:r w:rsidRPr="0002785B">
        <w:t>FF</w:t>
      </w:r>
      <w:proofErr w:type="spellEnd"/>
      <w:r w:rsidRPr="0002785B">
        <w:t xml:space="preserve">, for each </w:t>
      </w:r>
      <w:proofErr w:type="spellStart"/>
      <w:r w:rsidRPr="0002785B">
        <w:t>OBD</w:t>
      </w:r>
      <w:proofErr w:type="spellEnd"/>
      <w:r w:rsidRPr="0002785B">
        <w:t xml:space="preserve"> monitor ID supported, shall be provided."</w:t>
      </w:r>
    </w:p>
    <w:p w:rsidR="0002785B" w:rsidRDefault="0002785B" w:rsidP="00470E78">
      <w:pPr>
        <w:keepNext/>
        <w:keepLines/>
        <w:tabs>
          <w:tab w:val="left" w:pos="1125"/>
        </w:tabs>
        <w:spacing w:before="120"/>
        <w:ind w:left="2268" w:right="1134" w:hanging="1134"/>
        <w:jc w:val="both"/>
        <w:rPr>
          <w:i/>
          <w:iCs/>
        </w:rPr>
      </w:pPr>
      <w:r w:rsidRPr="0002785B">
        <w:rPr>
          <w:i/>
          <w:iCs/>
        </w:rPr>
        <w:t xml:space="preserve">Annex 2, </w:t>
      </w:r>
    </w:p>
    <w:p w:rsidR="00470E78" w:rsidRDefault="0002785B" w:rsidP="00470E78">
      <w:pPr>
        <w:keepNext/>
        <w:keepLines/>
        <w:tabs>
          <w:tab w:val="left" w:pos="1125"/>
        </w:tabs>
        <w:spacing w:before="120"/>
        <w:ind w:left="2268" w:right="1134" w:hanging="1134"/>
        <w:jc w:val="both"/>
        <w:rPr>
          <w:i/>
          <w:iCs/>
        </w:rPr>
      </w:pPr>
      <w:r w:rsidRPr="0002785B">
        <w:rPr>
          <w:i/>
          <w:iCs/>
        </w:rPr>
        <w:t xml:space="preserve">Appendix 1, </w:t>
      </w:r>
    </w:p>
    <w:p w:rsidR="0002785B" w:rsidRPr="0002785B" w:rsidRDefault="00470E78" w:rsidP="00470E78">
      <w:pPr>
        <w:keepNext/>
        <w:keepLines/>
        <w:tabs>
          <w:tab w:val="left" w:pos="1125"/>
        </w:tabs>
        <w:spacing w:before="120"/>
        <w:ind w:left="2268" w:right="1134" w:hanging="1134"/>
        <w:jc w:val="both"/>
      </w:pPr>
      <w:r>
        <w:rPr>
          <w:i/>
          <w:iCs/>
        </w:rPr>
        <w:t>P</w:t>
      </w:r>
      <w:r w:rsidRPr="0002785B">
        <w:rPr>
          <w:i/>
          <w:iCs/>
        </w:rPr>
        <w:t xml:space="preserve">aragraph </w:t>
      </w:r>
      <w:proofErr w:type="gramStart"/>
      <w:r w:rsidR="0002785B" w:rsidRPr="0002785B">
        <w:rPr>
          <w:i/>
          <w:iCs/>
        </w:rPr>
        <w:t>3.,</w:t>
      </w:r>
      <w:proofErr w:type="gramEnd"/>
      <w:r w:rsidR="0002785B" w:rsidRPr="0002785B">
        <w:rPr>
          <w:iCs/>
        </w:rPr>
        <w:t xml:space="preserve"> amend </w:t>
      </w:r>
      <w:r w:rsidR="0002785B" w:rsidRPr="0002785B">
        <w:t>to read</w:t>
      </w:r>
      <w:r w:rsidR="0002785B" w:rsidRPr="0002785B">
        <w:rPr>
          <w:i/>
          <w:iCs/>
        </w:rPr>
        <w:t>:</w:t>
      </w:r>
    </w:p>
    <w:p w:rsidR="0002785B" w:rsidRPr="0002785B" w:rsidRDefault="0002785B" w:rsidP="00470E78">
      <w:pPr>
        <w:keepNext/>
        <w:keepLines/>
        <w:tabs>
          <w:tab w:val="left" w:pos="1125"/>
        </w:tabs>
        <w:spacing w:before="120"/>
        <w:ind w:left="2268" w:right="1134" w:hanging="1134"/>
        <w:jc w:val="both"/>
      </w:pPr>
      <w:r w:rsidRPr="0002785B">
        <w:t>"3.</w:t>
      </w:r>
      <w:r w:rsidRPr="0002785B">
        <w:tab/>
      </w:r>
      <w:r w:rsidRPr="0002785B">
        <w:tab/>
        <w:t xml:space="preserve">A comprehensive document describing all sensed components with the strategy for fault detection and MI activation (fixed number of driving cycles or statistical method), including a list of relevant secondary sensed parameters for each component monitored by the </w:t>
      </w:r>
      <w:proofErr w:type="spellStart"/>
      <w:r w:rsidRPr="0002785B">
        <w:t>OBD</w:t>
      </w:r>
      <w:proofErr w:type="spellEnd"/>
      <w:r w:rsidRPr="0002785B">
        <w:t xml:space="preserve"> system and a list of all </w:t>
      </w:r>
      <w:proofErr w:type="spellStart"/>
      <w:r w:rsidRPr="0002785B">
        <w:t>OBD</w:t>
      </w:r>
      <w:proofErr w:type="spellEnd"/>
      <w:r w:rsidRPr="0002785B">
        <w:t xml:space="preserve"> output codes and format used (with an explanation of each) associated with individual emission related power-train components and individual non-emission related components, where monitoring of the component is used to determine MI activation. In particular, a comprehensive explanation for the data given in service $05 Test ID $21 to </w:t>
      </w:r>
      <w:proofErr w:type="spellStart"/>
      <w:r w:rsidRPr="0002785B">
        <w:t>FF</w:t>
      </w:r>
      <w:proofErr w:type="spellEnd"/>
      <w:r w:rsidRPr="0002785B">
        <w:t xml:space="preserve"> and the data given in service $06 shall be provided. In the case of vehicle types that use a communication link in accordance with </w:t>
      </w:r>
      <w:r w:rsidRPr="0002785B">
        <w:rPr>
          <w:bCs/>
        </w:rPr>
        <w:t>the standard listed in paragraph 6.5.3.1.(a) of Annex 11, Appendix 1 of this Regulation</w:t>
      </w:r>
      <w:r w:rsidRPr="0002785B">
        <w:t xml:space="preserve">, a comprehensive explanation for the data given in service $06 Test ID $00 to </w:t>
      </w:r>
      <w:proofErr w:type="spellStart"/>
      <w:r w:rsidRPr="0002785B">
        <w:t>FF</w:t>
      </w:r>
      <w:proofErr w:type="spellEnd"/>
      <w:r w:rsidRPr="0002785B">
        <w:t xml:space="preserve">, for each </w:t>
      </w:r>
      <w:proofErr w:type="spellStart"/>
      <w:r w:rsidRPr="0002785B">
        <w:t>OBD</w:t>
      </w:r>
      <w:proofErr w:type="spellEnd"/>
      <w:r w:rsidRPr="0002785B">
        <w:t xml:space="preserve"> monitor ID supported, shall be provided."</w:t>
      </w:r>
    </w:p>
    <w:p w:rsidR="00E50DF9" w:rsidRDefault="0002785B" w:rsidP="0002785B">
      <w:pPr>
        <w:tabs>
          <w:tab w:val="left" w:pos="1125"/>
        </w:tabs>
        <w:spacing w:before="120"/>
        <w:ind w:left="2268" w:right="1134" w:hanging="1134"/>
        <w:jc w:val="both"/>
        <w:rPr>
          <w:i/>
          <w:iCs/>
        </w:rPr>
      </w:pPr>
      <w:r w:rsidRPr="0002785B">
        <w:rPr>
          <w:i/>
          <w:iCs/>
        </w:rPr>
        <w:t xml:space="preserve">Annex 11, </w:t>
      </w:r>
    </w:p>
    <w:p w:rsidR="000C7A42" w:rsidRPr="0002785B" w:rsidRDefault="000C7A42" w:rsidP="000C7A42">
      <w:pPr>
        <w:tabs>
          <w:tab w:val="left" w:pos="1125"/>
        </w:tabs>
        <w:spacing w:before="120"/>
        <w:ind w:left="2268" w:right="1134" w:hanging="1134"/>
        <w:jc w:val="both"/>
      </w:pPr>
      <w:r>
        <w:rPr>
          <w:i/>
          <w:iCs/>
          <w:lang w:val="en-US"/>
        </w:rPr>
        <w:t>P</w:t>
      </w:r>
      <w:r w:rsidRPr="0002785B">
        <w:rPr>
          <w:i/>
          <w:iCs/>
          <w:lang w:val="en-US"/>
        </w:rPr>
        <w:t xml:space="preserve">aragraph </w:t>
      </w:r>
      <w:proofErr w:type="gramStart"/>
      <w:r w:rsidRPr="0002785B">
        <w:rPr>
          <w:i/>
          <w:iCs/>
          <w:lang w:val="en-US"/>
        </w:rPr>
        <w:t>2.,</w:t>
      </w:r>
      <w:proofErr w:type="gramEnd"/>
      <w:r w:rsidRPr="0002785B">
        <w:rPr>
          <w:iCs/>
          <w:lang w:val="en-US"/>
        </w:rPr>
        <w:t xml:space="preserve"> amend to read:</w:t>
      </w:r>
      <w:r w:rsidRPr="0002785B">
        <w:rPr>
          <w:i/>
          <w:iCs/>
          <w:lang w:val="en-US"/>
        </w:rPr>
        <w:t xml:space="preserve"> </w:t>
      </w:r>
    </w:p>
    <w:p w:rsidR="000C7A42" w:rsidRPr="0002785B" w:rsidRDefault="000C7A42" w:rsidP="000C7A42">
      <w:pPr>
        <w:tabs>
          <w:tab w:val="left" w:pos="1125"/>
        </w:tabs>
        <w:spacing w:before="120"/>
        <w:ind w:left="2268" w:right="1134" w:hanging="1134"/>
        <w:jc w:val="both"/>
        <w:rPr>
          <w:lang w:val="en-US"/>
        </w:rPr>
      </w:pPr>
      <w:r w:rsidRPr="0002785B">
        <w:rPr>
          <w:lang w:val="en-US"/>
        </w:rPr>
        <w:t xml:space="preserve">"2. </w:t>
      </w:r>
      <w:r w:rsidRPr="0002785B">
        <w:rPr>
          <w:lang w:val="en-US"/>
        </w:rPr>
        <w:tab/>
        <w:t>…</w:t>
      </w:r>
    </w:p>
    <w:p w:rsidR="000C7A42" w:rsidRPr="0002785B" w:rsidRDefault="000C7A42" w:rsidP="000C7A42">
      <w:pPr>
        <w:tabs>
          <w:tab w:val="left" w:pos="1125"/>
        </w:tabs>
        <w:spacing w:before="120" w:after="120"/>
        <w:ind w:left="2276" w:right="1138" w:hanging="1138"/>
        <w:jc w:val="both"/>
        <w:rPr>
          <w:bCs/>
          <w:lang w:val="en-US"/>
        </w:rPr>
      </w:pPr>
      <w:r w:rsidRPr="0002785B">
        <w:rPr>
          <w:lang w:val="en-US"/>
        </w:rPr>
        <w:tab/>
        <w:t xml:space="preserve">For the purposes of this annex </w:t>
      </w:r>
      <w:r w:rsidRPr="0002785B">
        <w:rPr>
          <w:bCs/>
          <w:lang w:val="en-US"/>
        </w:rPr>
        <w:t>only:"</w:t>
      </w:r>
    </w:p>
    <w:p w:rsidR="000C7A42" w:rsidRPr="0002785B" w:rsidRDefault="000C7A42" w:rsidP="000C7A42">
      <w:pPr>
        <w:kinsoku w:val="0"/>
        <w:overflowPunct w:val="0"/>
        <w:spacing w:after="120"/>
        <w:ind w:left="1134" w:right="1134"/>
        <w:textAlignment w:val="baseline"/>
      </w:pPr>
      <w:r>
        <w:rPr>
          <w:i/>
          <w:iCs/>
          <w:lang w:val="en-US"/>
        </w:rPr>
        <w:t>P</w:t>
      </w:r>
      <w:r w:rsidRPr="0002785B">
        <w:rPr>
          <w:i/>
          <w:iCs/>
          <w:lang w:val="en-US"/>
        </w:rPr>
        <w:t xml:space="preserve">aragraph 2.10., </w:t>
      </w:r>
      <w:r w:rsidRPr="0002785B">
        <w:rPr>
          <w:iCs/>
          <w:lang w:val="en-US"/>
        </w:rPr>
        <w:t xml:space="preserve">amend to read: </w:t>
      </w:r>
    </w:p>
    <w:p w:rsidR="000C7A42" w:rsidRPr="0002785B" w:rsidRDefault="000C7A42" w:rsidP="00D13D92">
      <w:pPr>
        <w:kinsoku w:val="0"/>
        <w:overflowPunct w:val="0"/>
        <w:spacing w:after="120"/>
        <w:ind w:left="2259" w:right="1134" w:hanging="1125"/>
        <w:jc w:val="both"/>
        <w:textAlignment w:val="baseline"/>
      </w:pPr>
      <w:r w:rsidRPr="0002785B">
        <w:t xml:space="preserve">"2.10. </w:t>
      </w:r>
      <w:r w:rsidRPr="0002785B">
        <w:tab/>
      </w:r>
      <w:proofErr w:type="gramStart"/>
      <w:r w:rsidRPr="0002785B">
        <w:t>A</w:t>
      </w:r>
      <w:proofErr w:type="gramEnd"/>
      <w:r w:rsidRPr="0002785B">
        <w:t xml:space="preserve"> "</w:t>
      </w:r>
      <w:r w:rsidRPr="0002785B">
        <w:rPr>
          <w:i/>
          <w:iCs/>
        </w:rPr>
        <w:t>driving cycle</w:t>
      </w:r>
      <w:r w:rsidRPr="0002785B">
        <w:t>" consists of engine key-on, a driving mode where a malfunction would be detected if present, and engine key-off."</w:t>
      </w:r>
    </w:p>
    <w:p w:rsidR="000C7A42" w:rsidRPr="0002785B" w:rsidRDefault="000C7A42" w:rsidP="000C7A42">
      <w:pPr>
        <w:keepNext/>
        <w:keepLines/>
        <w:tabs>
          <w:tab w:val="right" w:pos="851"/>
        </w:tabs>
        <w:spacing w:after="120" w:line="240" w:lineRule="exact"/>
        <w:ind w:left="1134" w:right="1134"/>
        <w:jc w:val="both"/>
        <w:rPr>
          <w:bCs/>
          <w:lang w:val="en-US"/>
        </w:rPr>
      </w:pPr>
      <w:r>
        <w:rPr>
          <w:bCs/>
          <w:i/>
          <w:lang w:val="en-US"/>
        </w:rPr>
        <w:t>I</w:t>
      </w:r>
      <w:r w:rsidRPr="0002785B">
        <w:rPr>
          <w:bCs/>
          <w:i/>
          <w:lang w:val="en-US"/>
        </w:rPr>
        <w:t>nsert a new paragraph 3.2.3.,</w:t>
      </w:r>
      <w:r w:rsidRPr="0002785B">
        <w:rPr>
          <w:bCs/>
          <w:lang w:val="en-US"/>
        </w:rPr>
        <w:t xml:space="preserve"> to read:</w:t>
      </w:r>
    </w:p>
    <w:p w:rsidR="000C7A42" w:rsidRPr="0002785B" w:rsidRDefault="000C7A42" w:rsidP="000C7A42">
      <w:pPr>
        <w:keepNext/>
        <w:keepLines/>
        <w:tabs>
          <w:tab w:val="right" w:pos="2250"/>
        </w:tabs>
        <w:spacing w:after="120" w:line="240" w:lineRule="exact"/>
        <w:ind w:left="2250" w:right="1134" w:hanging="1116"/>
        <w:jc w:val="both"/>
        <w:rPr>
          <w:bCs/>
          <w:lang w:val="en-US"/>
        </w:rPr>
      </w:pPr>
      <w:r w:rsidRPr="0002785B">
        <w:rPr>
          <w:bCs/>
          <w:lang w:val="en-US"/>
        </w:rPr>
        <w:t>"3.2.3.</w:t>
      </w:r>
      <w:r w:rsidRPr="0002785B">
        <w:rPr>
          <w:bCs/>
          <w:lang w:val="en-US"/>
        </w:rPr>
        <w:tab/>
      </w:r>
      <w:r w:rsidRPr="0002785B">
        <w:rPr>
          <w:bCs/>
          <w:lang w:val="en-US"/>
        </w:rPr>
        <w:tab/>
        <w:t>Identification of deterioration or malfunctions may be also be done outside a driving cycle (e.g. after engine shutdown)."</w:t>
      </w:r>
    </w:p>
    <w:p w:rsidR="000C7A42" w:rsidRPr="0002785B" w:rsidRDefault="000C7A42" w:rsidP="000C7A42">
      <w:pPr>
        <w:keepNext/>
        <w:keepLines/>
        <w:tabs>
          <w:tab w:val="right" w:pos="851"/>
        </w:tabs>
        <w:spacing w:after="120" w:line="240" w:lineRule="exact"/>
        <w:ind w:left="1134" w:right="1134"/>
        <w:jc w:val="both"/>
        <w:rPr>
          <w:bCs/>
          <w:lang w:val="en-US"/>
        </w:rPr>
      </w:pPr>
      <w:r>
        <w:rPr>
          <w:bCs/>
          <w:i/>
          <w:lang w:val="en-US"/>
        </w:rPr>
        <w:t>D</w:t>
      </w:r>
      <w:r w:rsidRPr="0002785B">
        <w:rPr>
          <w:bCs/>
          <w:i/>
          <w:lang w:val="en-US"/>
        </w:rPr>
        <w:t xml:space="preserve">elete paragraphs 3.3.4.9. </w:t>
      </w:r>
      <w:proofErr w:type="gramStart"/>
      <w:r w:rsidRPr="0002785B">
        <w:rPr>
          <w:bCs/>
          <w:i/>
          <w:lang w:val="en-US"/>
        </w:rPr>
        <w:t>and</w:t>
      </w:r>
      <w:proofErr w:type="gramEnd"/>
      <w:r w:rsidRPr="0002785B">
        <w:rPr>
          <w:bCs/>
          <w:i/>
          <w:lang w:val="en-US"/>
        </w:rPr>
        <w:t xml:space="preserve"> 3.3.4.10.</w:t>
      </w:r>
    </w:p>
    <w:p w:rsidR="000C7A42" w:rsidRPr="0002785B" w:rsidRDefault="000C7A42" w:rsidP="000C7A42">
      <w:pPr>
        <w:keepNext/>
        <w:keepLines/>
        <w:tabs>
          <w:tab w:val="right" w:pos="851"/>
        </w:tabs>
        <w:spacing w:after="120" w:line="240" w:lineRule="exact"/>
        <w:ind w:left="1134" w:right="1134"/>
        <w:jc w:val="both"/>
        <w:rPr>
          <w:b/>
          <w:lang w:val="en-US"/>
        </w:rPr>
      </w:pPr>
      <w:r>
        <w:rPr>
          <w:bCs/>
          <w:i/>
          <w:lang w:val="en-US"/>
        </w:rPr>
        <w:t>I</w:t>
      </w:r>
      <w:r w:rsidRPr="0002785B">
        <w:rPr>
          <w:bCs/>
          <w:i/>
          <w:lang w:val="en-US"/>
        </w:rPr>
        <w:t xml:space="preserve">nsert new paragraphs 3.3.5.1. </w:t>
      </w:r>
      <w:proofErr w:type="gramStart"/>
      <w:r w:rsidRPr="0002785B">
        <w:rPr>
          <w:bCs/>
          <w:i/>
          <w:lang w:val="en-US"/>
        </w:rPr>
        <w:t>and</w:t>
      </w:r>
      <w:proofErr w:type="gramEnd"/>
      <w:r w:rsidRPr="0002785B">
        <w:rPr>
          <w:bCs/>
          <w:i/>
          <w:lang w:val="en-US"/>
        </w:rPr>
        <w:t xml:space="preserve"> 3.3.5.2., </w:t>
      </w:r>
      <w:r w:rsidRPr="0002785B">
        <w:rPr>
          <w:bCs/>
          <w:lang w:val="en-US"/>
        </w:rPr>
        <w:t>to read:</w:t>
      </w:r>
    </w:p>
    <w:p w:rsidR="000C7A42" w:rsidRPr="0002785B" w:rsidRDefault="000C7A42" w:rsidP="000C7A42">
      <w:pPr>
        <w:tabs>
          <w:tab w:val="left" w:pos="2250"/>
        </w:tabs>
        <w:spacing w:after="120"/>
        <w:ind w:left="2250" w:right="1089" w:hanging="1116"/>
        <w:jc w:val="both"/>
      </w:pPr>
      <w:r w:rsidRPr="0002785B">
        <w:rPr>
          <w:lang w:val="en-US"/>
        </w:rPr>
        <w:t xml:space="preserve">"3.3.5.1. </w:t>
      </w:r>
      <w:r w:rsidRPr="0002785B">
        <w:rPr>
          <w:lang w:val="en-US"/>
        </w:rPr>
        <w:tab/>
        <w:t xml:space="preserve">The following devices should however be monitored for total failure or removal (if removal would cause the applicable emission limits to be exceeded): </w:t>
      </w:r>
    </w:p>
    <w:p w:rsidR="000C7A42" w:rsidRPr="0002785B" w:rsidRDefault="000C7A42" w:rsidP="000C7A42">
      <w:pPr>
        <w:tabs>
          <w:tab w:val="left" w:pos="2790"/>
        </w:tabs>
        <w:spacing w:after="120"/>
        <w:ind w:left="2790" w:right="1089" w:hanging="540"/>
        <w:jc w:val="both"/>
      </w:pPr>
      <w:r w:rsidRPr="0002785B">
        <w:rPr>
          <w:lang w:val="en-US"/>
        </w:rPr>
        <w:t xml:space="preserve">(a) </w:t>
      </w:r>
      <w:r w:rsidRPr="0002785B">
        <w:rPr>
          <w:lang w:val="en-US"/>
        </w:rPr>
        <w:tab/>
        <w:t xml:space="preserve">A particulate trap fitted to compression ignition engines as a separate unit or integrated into a combined emission control device; </w:t>
      </w:r>
    </w:p>
    <w:p w:rsidR="000C7A42" w:rsidRPr="0002785B" w:rsidRDefault="000C7A42" w:rsidP="000C7A42">
      <w:pPr>
        <w:tabs>
          <w:tab w:val="left" w:pos="2790"/>
        </w:tabs>
        <w:spacing w:after="120"/>
        <w:ind w:left="2790" w:right="1089" w:hanging="540"/>
        <w:jc w:val="both"/>
      </w:pPr>
      <w:r w:rsidRPr="0002785B">
        <w:rPr>
          <w:lang w:val="en-US"/>
        </w:rPr>
        <w:t xml:space="preserve">(b) </w:t>
      </w:r>
      <w:r w:rsidRPr="0002785B">
        <w:rPr>
          <w:lang w:val="en-US"/>
        </w:rPr>
        <w:tab/>
        <w:t xml:space="preserve">A </w:t>
      </w:r>
      <w:proofErr w:type="spellStart"/>
      <w:r w:rsidRPr="0002785B">
        <w:rPr>
          <w:lang w:val="en-US"/>
        </w:rPr>
        <w:t>NO</w:t>
      </w:r>
      <w:r w:rsidRPr="0002785B">
        <w:rPr>
          <w:vertAlign w:val="subscript"/>
          <w:lang w:val="en-US"/>
        </w:rPr>
        <w:t>x</w:t>
      </w:r>
      <w:proofErr w:type="spellEnd"/>
      <w:r w:rsidRPr="0002785B">
        <w:rPr>
          <w:lang w:val="en-US"/>
        </w:rPr>
        <w:t xml:space="preserve"> after-treatment system fitted to compression ignition engines as a separate unit or integrated into a combined emission control device; </w:t>
      </w:r>
    </w:p>
    <w:p w:rsidR="000C7A42" w:rsidRPr="0002785B" w:rsidRDefault="000C7A42" w:rsidP="000C7A42">
      <w:pPr>
        <w:tabs>
          <w:tab w:val="left" w:pos="2790"/>
        </w:tabs>
        <w:spacing w:after="120"/>
        <w:ind w:left="2790" w:right="1089" w:hanging="540"/>
        <w:jc w:val="both"/>
      </w:pPr>
      <w:r w:rsidRPr="0002785B">
        <w:rPr>
          <w:lang w:val="en-US"/>
        </w:rPr>
        <w:t xml:space="preserve">(c) </w:t>
      </w:r>
      <w:r w:rsidRPr="0002785B">
        <w:rPr>
          <w:lang w:val="en-US"/>
        </w:rPr>
        <w:tab/>
        <w:t xml:space="preserve">A Diesel Oxidation Catalyst (DOC) fitted to compression ignition engines as a separate unit or integrated into a combined emission control device. </w:t>
      </w:r>
    </w:p>
    <w:p w:rsidR="000C7A42" w:rsidRPr="0002785B" w:rsidRDefault="000C7A42" w:rsidP="000C7A42">
      <w:pPr>
        <w:tabs>
          <w:tab w:val="left" w:pos="2268"/>
        </w:tabs>
        <w:spacing w:after="120"/>
        <w:ind w:left="2250" w:right="1089" w:hanging="1116"/>
        <w:jc w:val="both"/>
        <w:rPr>
          <w:lang w:val="en-US"/>
        </w:rPr>
      </w:pPr>
      <w:r w:rsidRPr="0002785B">
        <w:rPr>
          <w:lang w:val="en-US"/>
        </w:rPr>
        <w:t xml:space="preserve">3.3.5.2. </w:t>
      </w:r>
      <w:r w:rsidRPr="0002785B">
        <w:rPr>
          <w:lang w:val="en-US"/>
        </w:rPr>
        <w:tab/>
        <w:t xml:space="preserve">The devices referred to in paragraph 3.3.5.1. </w:t>
      </w:r>
      <w:proofErr w:type="gramStart"/>
      <w:r w:rsidRPr="0002785B">
        <w:rPr>
          <w:lang w:val="en-US"/>
        </w:rPr>
        <w:t>shall</w:t>
      </w:r>
      <w:proofErr w:type="gramEnd"/>
      <w:r w:rsidRPr="0002785B">
        <w:rPr>
          <w:lang w:val="en-US"/>
        </w:rPr>
        <w:t xml:space="preserve"> also be monitored for any failure that would result in exceeding the applicable </w:t>
      </w:r>
      <w:proofErr w:type="spellStart"/>
      <w:r w:rsidRPr="0002785B">
        <w:rPr>
          <w:lang w:val="en-US"/>
        </w:rPr>
        <w:t>OBD</w:t>
      </w:r>
      <w:proofErr w:type="spellEnd"/>
      <w:r w:rsidRPr="0002785B">
        <w:rPr>
          <w:lang w:val="en-US"/>
        </w:rPr>
        <w:t xml:space="preserve"> threshold limits."</w:t>
      </w:r>
    </w:p>
    <w:p w:rsidR="00152045" w:rsidRPr="0002785B" w:rsidRDefault="00152045" w:rsidP="00470E78">
      <w:pPr>
        <w:keepNext/>
        <w:keepLines/>
        <w:tabs>
          <w:tab w:val="left" w:pos="1125"/>
        </w:tabs>
        <w:spacing w:before="120"/>
        <w:ind w:left="2268" w:right="1134" w:hanging="1134"/>
        <w:jc w:val="both"/>
      </w:pPr>
      <w:r>
        <w:rPr>
          <w:i/>
          <w:iCs/>
        </w:rPr>
        <w:t>P</w:t>
      </w:r>
      <w:r w:rsidRPr="0002785B">
        <w:rPr>
          <w:i/>
          <w:iCs/>
        </w:rPr>
        <w:t xml:space="preserve">aragraph 3.8.1., </w:t>
      </w:r>
      <w:r w:rsidRPr="0002785B">
        <w:rPr>
          <w:iCs/>
        </w:rPr>
        <w:t>amend to read</w:t>
      </w:r>
      <w:r w:rsidRPr="0002785B">
        <w:rPr>
          <w:i/>
          <w:iCs/>
        </w:rPr>
        <w:t>:</w:t>
      </w:r>
    </w:p>
    <w:p w:rsidR="00152045" w:rsidRPr="0002785B" w:rsidRDefault="00152045" w:rsidP="00470E78">
      <w:pPr>
        <w:keepNext/>
        <w:keepLines/>
        <w:tabs>
          <w:tab w:val="left" w:pos="1125"/>
        </w:tabs>
        <w:spacing w:before="120"/>
        <w:ind w:left="2268" w:right="1134" w:hanging="1134"/>
        <w:jc w:val="both"/>
      </w:pPr>
      <w:r w:rsidRPr="0002785B">
        <w:t xml:space="preserve">"3.8.1. </w:t>
      </w:r>
      <w:r w:rsidRPr="0002785B">
        <w:tab/>
        <w:t xml:space="preserve">The </w:t>
      </w:r>
      <w:proofErr w:type="spellStart"/>
      <w:r w:rsidRPr="0002785B">
        <w:t>OBD</w:t>
      </w:r>
      <w:proofErr w:type="spellEnd"/>
      <w:r w:rsidRPr="0002785B">
        <w:t xml:space="preserve"> system may erase a fault code and the distance travelled and freeze-frame information if the same fault is not re-registered in at least 40 engine warm-up cycles</w:t>
      </w:r>
      <w:r w:rsidRPr="0002785B">
        <w:rPr>
          <w:bCs/>
        </w:rPr>
        <w:t xml:space="preserve"> or forty driving cycles with vehicle operation in which the criteria specified in sections 7.5.1.(a)–(c) of Annex 11, Appendix 1 are met.</w:t>
      </w:r>
      <w:r w:rsidRPr="0002785B">
        <w:t>"</w:t>
      </w:r>
    </w:p>
    <w:p w:rsidR="00152045" w:rsidRPr="0002785B" w:rsidRDefault="00152045" w:rsidP="00754E5F">
      <w:pPr>
        <w:keepNext/>
        <w:keepLines/>
        <w:tabs>
          <w:tab w:val="left" w:pos="1125"/>
        </w:tabs>
        <w:spacing w:before="120"/>
        <w:ind w:left="2268" w:right="1134" w:hanging="1134"/>
        <w:jc w:val="both"/>
      </w:pPr>
      <w:r>
        <w:rPr>
          <w:i/>
          <w:iCs/>
        </w:rPr>
        <w:t>P</w:t>
      </w:r>
      <w:r w:rsidRPr="0002785B">
        <w:rPr>
          <w:i/>
          <w:iCs/>
        </w:rPr>
        <w:t>aragraph 3.9.3.1.</w:t>
      </w:r>
      <w:r w:rsidRPr="0002785B">
        <w:t>, amend to read</w:t>
      </w:r>
      <w:r w:rsidRPr="0002785B">
        <w:rPr>
          <w:iCs/>
        </w:rPr>
        <w:t>:</w:t>
      </w:r>
    </w:p>
    <w:p w:rsidR="00152045" w:rsidRPr="0002785B" w:rsidRDefault="00152045" w:rsidP="00754E5F">
      <w:pPr>
        <w:keepNext/>
        <w:keepLines/>
        <w:tabs>
          <w:tab w:val="left" w:pos="1125"/>
        </w:tabs>
        <w:spacing w:before="120" w:after="120"/>
        <w:ind w:left="2268" w:right="1134" w:hanging="1134"/>
        <w:jc w:val="both"/>
      </w:pPr>
      <w:r w:rsidRPr="0002785B">
        <w:t xml:space="preserve">"3.9.3.1. </w:t>
      </w:r>
      <w:r w:rsidRPr="0002785B">
        <w:tab/>
      </w:r>
      <w:r w:rsidRPr="0002785B">
        <w:tab/>
        <w:t xml:space="preserve">On a request from a diagnostic scan tool, the diagnostic signals shall be transmitted on one or more source addresses. The use of source addresses is described in </w:t>
      </w:r>
      <w:r w:rsidRPr="0002785B">
        <w:rPr>
          <w:bCs/>
        </w:rPr>
        <w:t>the standard listed in paragraph 6.5.3.2</w:t>
      </w:r>
      <w:proofErr w:type="gramStart"/>
      <w:r w:rsidRPr="0002785B">
        <w:rPr>
          <w:bCs/>
        </w:rPr>
        <w:t>.(</w:t>
      </w:r>
      <w:proofErr w:type="gramEnd"/>
      <w:r w:rsidRPr="0002785B">
        <w:rPr>
          <w:bCs/>
        </w:rPr>
        <w:t>a) of Annex 11, Appendix 1 of this Regulation.</w:t>
      </w:r>
      <w:r w:rsidRPr="0002785B">
        <w:t>"</w:t>
      </w:r>
    </w:p>
    <w:p w:rsidR="00152045" w:rsidRPr="0002785B" w:rsidRDefault="00152045" w:rsidP="00152045">
      <w:pPr>
        <w:keepNext/>
        <w:keepLines/>
        <w:tabs>
          <w:tab w:val="right" w:pos="851"/>
        </w:tabs>
        <w:spacing w:after="120" w:line="240" w:lineRule="exact"/>
        <w:ind w:left="1138" w:right="1138"/>
        <w:jc w:val="both"/>
      </w:pPr>
      <w:r>
        <w:rPr>
          <w:i/>
        </w:rPr>
        <w:t>I</w:t>
      </w:r>
      <w:r w:rsidRPr="0002785B">
        <w:rPr>
          <w:i/>
        </w:rPr>
        <w:t>nsert a new paragraph 3.10</w:t>
      </w:r>
      <w:r w:rsidRPr="0002785B">
        <w:t>., to read:</w:t>
      </w:r>
    </w:p>
    <w:p w:rsidR="00152045" w:rsidRPr="0002785B" w:rsidRDefault="00152045" w:rsidP="00152045">
      <w:pPr>
        <w:tabs>
          <w:tab w:val="left" w:pos="2250"/>
        </w:tabs>
        <w:spacing w:after="120"/>
        <w:ind w:left="1166"/>
        <w:jc w:val="both"/>
        <w:rPr>
          <w:lang w:val="en-US"/>
        </w:rPr>
      </w:pPr>
      <w:r w:rsidRPr="0002785B">
        <w:rPr>
          <w:lang w:val="en-US"/>
        </w:rPr>
        <w:t>"3.</w:t>
      </w:r>
      <w:r w:rsidRPr="0002785B">
        <w:t>10</w:t>
      </w:r>
      <w:r w:rsidRPr="0002785B">
        <w:rPr>
          <w:lang w:val="en-US"/>
        </w:rPr>
        <w:t>.</w:t>
      </w:r>
      <w:r w:rsidRPr="0002785B">
        <w:rPr>
          <w:lang w:val="en-US"/>
        </w:rPr>
        <w:tab/>
      </w:r>
      <w:r w:rsidRPr="0002785B">
        <w:t>Additional</w:t>
      </w:r>
      <w:r w:rsidRPr="0002785B">
        <w:rPr>
          <w:lang w:val="en-US"/>
        </w:rPr>
        <w:t xml:space="preserve"> provisions for vehicles employing engine shut - off strategies.</w:t>
      </w:r>
    </w:p>
    <w:p w:rsidR="00152045" w:rsidRPr="0002785B" w:rsidRDefault="00152045" w:rsidP="00152045">
      <w:pPr>
        <w:spacing w:after="120"/>
        <w:ind w:left="1166"/>
        <w:jc w:val="both"/>
        <w:rPr>
          <w:lang w:val="en-US"/>
        </w:rPr>
      </w:pPr>
      <w:r w:rsidRPr="0002785B">
        <w:rPr>
          <w:lang w:val="en-US"/>
        </w:rPr>
        <w:t xml:space="preserve">3.10.1. </w:t>
      </w:r>
      <w:r w:rsidRPr="0002785B">
        <w:rPr>
          <w:lang w:val="en-US"/>
        </w:rPr>
        <w:tab/>
        <w:t xml:space="preserve">Driving cycle </w:t>
      </w:r>
    </w:p>
    <w:p w:rsidR="00152045" w:rsidRPr="0002785B" w:rsidRDefault="00152045" w:rsidP="00152045">
      <w:pPr>
        <w:tabs>
          <w:tab w:val="left" w:pos="2250"/>
        </w:tabs>
        <w:spacing w:after="120"/>
        <w:ind w:left="2250" w:right="999" w:hanging="1084"/>
        <w:jc w:val="both"/>
        <w:rPr>
          <w:lang w:val="en-US"/>
        </w:rPr>
      </w:pPr>
      <w:r w:rsidRPr="0002785B">
        <w:rPr>
          <w:lang w:val="en-US"/>
        </w:rPr>
        <w:t>3.10.1.1.</w:t>
      </w:r>
      <w:r w:rsidRPr="0002785B">
        <w:rPr>
          <w:lang w:val="en-US"/>
        </w:rPr>
        <w:tab/>
        <w:t>Autonomous engine restarts commanded by the engine control system following an engine stall may be considered a new driving cycle or a continuation of the existing driving cycle."</w:t>
      </w:r>
    </w:p>
    <w:p w:rsidR="000C7A42" w:rsidRDefault="0002785B" w:rsidP="00E50DF9">
      <w:pPr>
        <w:keepNext/>
        <w:keepLines/>
        <w:tabs>
          <w:tab w:val="left" w:pos="1125"/>
        </w:tabs>
        <w:spacing w:before="120"/>
        <w:ind w:left="2268" w:right="1134" w:hanging="1134"/>
        <w:jc w:val="both"/>
        <w:rPr>
          <w:i/>
          <w:iCs/>
        </w:rPr>
      </w:pPr>
      <w:r w:rsidRPr="0002785B">
        <w:rPr>
          <w:i/>
          <w:iCs/>
        </w:rPr>
        <w:t xml:space="preserve">Appendix 1, </w:t>
      </w:r>
    </w:p>
    <w:p w:rsidR="00047EFA" w:rsidRPr="0002785B" w:rsidRDefault="00047EFA" w:rsidP="00047EFA">
      <w:pPr>
        <w:tabs>
          <w:tab w:val="left" w:pos="1125"/>
        </w:tabs>
        <w:spacing w:before="120"/>
        <w:ind w:left="2268" w:right="1134" w:hanging="1134"/>
        <w:jc w:val="both"/>
      </w:pPr>
      <w:r>
        <w:rPr>
          <w:i/>
          <w:iCs/>
        </w:rPr>
        <w:t>P</w:t>
      </w:r>
      <w:r w:rsidRPr="0002785B">
        <w:rPr>
          <w:i/>
          <w:iCs/>
        </w:rPr>
        <w:t xml:space="preserve">aragraph </w:t>
      </w:r>
      <w:proofErr w:type="gramStart"/>
      <w:r w:rsidRPr="0002785B">
        <w:rPr>
          <w:i/>
          <w:iCs/>
        </w:rPr>
        <w:t>1.</w:t>
      </w:r>
      <w:r w:rsidRPr="0002785B">
        <w:t>,</w:t>
      </w:r>
      <w:proofErr w:type="gramEnd"/>
      <w:r w:rsidRPr="0002785B">
        <w:t xml:space="preserve"> amend to read</w:t>
      </w:r>
      <w:r w:rsidRPr="0002785B">
        <w:rPr>
          <w:i/>
          <w:iCs/>
        </w:rPr>
        <w:t>:</w:t>
      </w:r>
    </w:p>
    <w:p w:rsidR="00047EFA" w:rsidRPr="0002785B" w:rsidRDefault="00047EFA" w:rsidP="00047EFA">
      <w:pPr>
        <w:tabs>
          <w:tab w:val="left" w:pos="1125"/>
        </w:tabs>
        <w:spacing w:before="120"/>
        <w:ind w:left="2268" w:right="1134" w:hanging="1134"/>
        <w:jc w:val="both"/>
      </w:pPr>
      <w:r w:rsidRPr="0002785B">
        <w:t xml:space="preserve">"1. </w:t>
      </w:r>
      <w:r w:rsidRPr="0002785B">
        <w:tab/>
        <w:t>Introduction</w:t>
      </w:r>
    </w:p>
    <w:p w:rsidR="00047EFA" w:rsidRPr="0002785B" w:rsidRDefault="00047EFA" w:rsidP="00047EFA">
      <w:pPr>
        <w:tabs>
          <w:tab w:val="left" w:pos="1125"/>
        </w:tabs>
        <w:spacing w:before="120"/>
        <w:ind w:left="2268" w:right="1134"/>
        <w:jc w:val="both"/>
      </w:pPr>
      <w:r w:rsidRPr="0002785B">
        <w:tab/>
        <w:t xml:space="preserve">This appendix describes the procedure of the test according to paragraph 3. </w:t>
      </w:r>
      <w:proofErr w:type="gramStart"/>
      <w:r w:rsidRPr="0002785B">
        <w:t>of</w:t>
      </w:r>
      <w:proofErr w:type="gramEnd"/>
      <w:r w:rsidRPr="0002785B">
        <w:t xml:space="preserve"> this annex. The procedure describes a method for checking the function of the On-Board Diagnostic (</w:t>
      </w:r>
      <w:proofErr w:type="spellStart"/>
      <w:r w:rsidRPr="0002785B">
        <w:t>OBD</w:t>
      </w:r>
      <w:proofErr w:type="spellEnd"/>
      <w:r w:rsidRPr="0002785B">
        <w:t xml:space="preserve">) system installed on the vehicle by failure simulation of relevant systems in the engine management or emission control system. It also sets procedures for determining the durability of </w:t>
      </w:r>
      <w:proofErr w:type="spellStart"/>
      <w:r w:rsidRPr="0002785B">
        <w:t>OBD</w:t>
      </w:r>
      <w:proofErr w:type="spellEnd"/>
      <w:r w:rsidRPr="0002785B">
        <w:t xml:space="preserve"> systems.</w:t>
      </w:r>
    </w:p>
    <w:p w:rsidR="00047EFA" w:rsidRPr="0002785B" w:rsidRDefault="00047EFA" w:rsidP="00047EFA">
      <w:pPr>
        <w:tabs>
          <w:tab w:val="left" w:pos="1125"/>
        </w:tabs>
        <w:spacing w:before="120"/>
        <w:ind w:left="2268" w:right="1134"/>
        <w:jc w:val="both"/>
      </w:pPr>
      <w:r w:rsidRPr="0002785B">
        <w:t xml:space="preserve">The manufacturer shall make available the defective components and/or electrical devices which would be used to simulate failures. When measured over the Type I Test cycle, such defective components or devices shall not cause the vehicle emissions to exceed the limits of paragraph 3.3.2 by more than 20 per cent. </w:t>
      </w:r>
      <w:r w:rsidRPr="0002785B">
        <w:rPr>
          <w:bCs/>
        </w:rPr>
        <w:t xml:space="preserve">For electrical failures (short/open circuit), the emissions may exceed the limits of paragraph 3.3.2. </w:t>
      </w:r>
      <w:proofErr w:type="gramStart"/>
      <w:r w:rsidRPr="0002785B">
        <w:rPr>
          <w:bCs/>
        </w:rPr>
        <w:t>by</w:t>
      </w:r>
      <w:proofErr w:type="gramEnd"/>
      <w:r w:rsidRPr="0002785B">
        <w:rPr>
          <w:bCs/>
        </w:rPr>
        <w:t xml:space="preserve"> more than twenty per cent.</w:t>
      </w:r>
    </w:p>
    <w:p w:rsidR="00047EFA" w:rsidRPr="0002785B" w:rsidRDefault="00047EFA" w:rsidP="00047EFA">
      <w:pPr>
        <w:tabs>
          <w:tab w:val="left" w:pos="1125"/>
        </w:tabs>
        <w:spacing w:before="120" w:after="120"/>
        <w:ind w:left="2275" w:right="1138"/>
        <w:jc w:val="both"/>
      </w:pPr>
      <w:r w:rsidRPr="0002785B">
        <w:t xml:space="preserve">When the vehicle is tested with the defective component or device fitted, the </w:t>
      </w:r>
      <w:proofErr w:type="spellStart"/>
      <w:r w:rsidRPr="0002785B">
        <w:t>OBD</w:t>
      </w:r>
      <w:proofErr w:type="spellEnd"/>
      <w:r w:rsidRPr="0002785B">
        <w:t xml:space="preserve"> system is approved if the MI is activated. The </w:t>
      </w:r>
      <w:proofErr w:type="spellStart"/>
      <w:r w:rsidRPr="0002785B">
        <w:t>OBD</w:t>
      </w:r>
      <w:proofErr w:type="spellEnd"/>
      <w:r w:rsidRPr="0002785B">
        <w:t xml:space="preserve"> system is also approved if the MI is activated below the </w:t>
      </w:r>
      <w:proofErr w:type="spellStart"/>
      <w:r w:rsidRPr="0002785B">
        <w:t>OBD</w:t>
      </w:r>
      <w:proofErr w:type="spellEnd"/>
      <w:r w:rsidRPr="0002785B">
        <w:t xml:space="preserve"> threshold limits."</w:t>
      </w:r>
    </w:p>
    <w:p w:rsidR="00047EFA" w:rsidRPr="0002785B" w:rsidRDefault="00D13D92" w:rsidP="00047EFA">
      <w:pPr>
        <w:keepNext/>
        <w:tabs>
          <w:tab w:val="left" w:pos="2000"/>
        </w:tabs>
        <w:kinsoku w:val="0"/>
        <w:overflowPunct w:val="0"/>
        <w:spacing w:after="120"/>
        <w:ind w:left="1135" w:right="1134" w:hanging="1"/>
        <w:jc w:val="both"/>
        <w:textAlignment w:val="baseline"/>
        <w:rPr>
          <w:i/>
          <w:iCs/>
        </w:rPr>
      </w:pPr>
      <w:r>
        <w:rPr>
          <w:i/>
          <w:iCs/>
        </w:rPr>
        <w:t>I</w:t>
      </w:r>
      <w:r w:rsidR="00047EFA" w:rsidRPr="0002785B">
        <w:rPr>
          <w:i/>
          <w:iCs/>
        </w:rPr>
        <w:t xml:space="preserve">nsert </w:t>
      </w:r>
      <w:proofErr w:type="gramStart"/>
      <w:r w:rsidR="00047EFA" w:rsidRPr="0002785B">
        <w:rPr>
          <w:i/>
          <w:iCs/>
        </w:rPr>
        <w:t>a new paragraphs</w:t>
      </w:r>
      <w:proofErr w:type="gramEnd"/>
      <w:r w:rsidR="00047EFA" w:rsidRPr="0002785B">
        <w:rPr>
          <w:i/>
          <w:iCs/>
        </w:rPr>
        <w:t xml:space="preserve"> 6.1.1.,</w:t>
      </w:r>
      <w:r w:rsidR="00047EFA" w:rsidRPr="0002785B">
        <w:rPr>
          <w:iCs/>
        </w:rPr>
        <w:t xml:space="preserve"> to read</w:t>
      </w:r>
      <w:r w:rsidR="00047EFA" w:rsidRPr="0002785B">
        <w:rPr>
          <w:i/>
          <w:iCs/>
        </w:rPr>
        <w:t>:</w:t>
      </w:r>
    </w:p>
    <w:p w:rsidR="00047EFA" w:rsidRPr="0002785B" w:rsidRDefault="00047EFA" w:rsidP="00047EFA">
      <w:pPr>
        <w:keepNext/>
        <w:tabs>
          <w:tab w:val="left" w:pos="2250"/>
        </w:tabs>
        <w:kinsoku w:val="0"/>
        <w:overflowPunct w:val="0"/>
        <w:spacing w:after="120"/>
        <w:ind w:left="2268" w:right="1134" w:hanging="1134"/>
        <w:jc w:val="both"/>
        <w:textAlignment w:val="baseline"/>
        <w:rPr>
          <w:iCs/>
        </w:rPr>
      </w:pPr>
      <w:r w:rsidRPr="0002785B">
        <w:t>"</w:t>
      </w:r>
      <w:r w:rsidRPr="0002785B">
        <w:rPr>
          <w:iCs/>
        </w:rPr>
        <w:t xml:space="preserve">6.1.1. </w:t>
      </w:r>
      <w:r w:rsidRPr="0002785B">
        <w:rPr>
          <w:iCs/>
        </w:rPr>
        <w:tab/>
        <w:t xml:space="preserve">The Type I test need not be performed for the demonstration of electrical failures </w:t>
      </w:r>
      <w:r w:rsidRPr="0002785B">
        <w:rPr>
          <w:bCs/>
        </w:rPr>
        <w:t>(short/open circuit)</w:t>
      </w:r>
      <w:r w:rsidRPr="0002785B">
        <w:rPr>
          <w:iCs/>
        </w:rPr>
        <w:t>. The manufacturer may demonstrate these failure modes using driving conditions in which the component is used and the monitoring conditions are encountered. These conditions shall be documented in the type approval documentation.</w:t>
      </w:r>
      <w:r w:rsidRPr="0002785B">
        <w:t xml:space="preserve"> "</w:t>
      </w:r>
    </w:p>
    <w:p w:rsidR="00047EFA" w:rsidRPr="0002785B" w:rsidRDefault="00D13D92" w:rsidP="00047EFA">
      <w:pPr>
        <w:keepNext/>
        <w:tabs>
          <w:tab w:val="left" w:pos="2000"/>
        </w:tabs>
        <w:kinsoku w:val="0"/>
        <w:overflowPunct w:val="0"/>
        <w:spacing w:after="120"/>
        <w:ind w:left="1135" w:right="1134" w:hanging="1"/>
        <w:jc w:val="both"/>
        <w:textAlignment w:val="baseline"/>
        <w:rPr>
          <w:i/>
          <w:iCs/>
        </w:rPr>
      </w:pPr>
      <w:r>
        <w:rPr>
          <w:i/>
          <w:iCs/>
        </w:rPr>
        <w:t>I</w:t>
      </w:r>
      <w:r w:rsidR="00047EFA" w:rsidRPr="0002785B">
        <w:rPr>
          <w:i/>
          <w:iCs/>
        </w:rPr>
        <w:t>nsert a new paragraph 6.2.3.,</w:t>
      </w:r>
      <w:r w:rsidR="00047EFA" w:rsidRPr="0002785B">
        <w:rPr>
          <w:iCs/>
        </w:rPr>
        <w:t xml:space="preserve"> to read</w:t>
      </w:r>
      <w:r w:rsidR="00047EFA" w:rsidRPr="0002785B">
        <w:rPr>
          <w:i/>
          <w:iCs/>
        </w:rPr>
        <w:t>:</w:t>
      </w:r>
    </w:p>
    <w:p w:rsidR="00047EFA" w:rsidRPr="0002785B" w:rsidRDefault="00047EFA" w:rsidP="00047EFA">
      <w:pPr>
        <w:spacing w:after="120"/>
        <w:ind w:left="2268" w:right="1134" w:hanging="1134"/>
        <w:jc w:val="both"/>
      </w:pPr>
      <w:r w:rsidRPr="0002785B">
        <w:t>"6.2.3.</w:t>
      </w:r>
      <w:r w:rsidRPr="0002785B">
        <w:tab/>
      </w:r>
      <w:r w:rsidRPr="0002785B">
        <w:tab/>
        <w:t>The use of additional preconditioning cycles or alternative preconditioning methods shall be documented in the type approval documentation."</w:t>
      </w:r>
    </w:p>
    <w:p w:rsidR="00047EFA" w:rsidRPr="0002785B" w:rsidRDefault="00D13D92" w:rsidP="00047EFA">
      <w:pPr>
        <w:tabs>
          <w:tab w:val="left" w:pos="1125"/>
        </w:tabs>
        <w:spacing w:before="120" w:after="120"/>
        <w:ind w:left="2276" w:right="1138" w:hanging="1138"/>
        <w:jc w:val="both"/>
      </w:pPr>
      <w:r>
        <w:rPr>
          <w:i/>
          <w:iCs/>
        </w:rPr>
        <w:t>P</w:t>
      </w:r>
      <w:r w:rsidR="00047EFA" w:rsidRPr="0002785B">
        <w:rPr>
          <w:i/>
          <w:iCs/>
        </w:rPr>
        <w:t>aragraph 6.3.1.5.</w:t>
      </w:r>
      <w:r w:rsidR="00047EFA" w:rsidRPr="0002785B">
        <w:t>, amend to read</w:t>
      </w:r>
      <w:r w:rsidR="00047EFA" w:rsidRPr="0002785B">
        <w:rPr>
          <w:i/>
          <w:iCs/>
        </w:rPr>
        <w:t>:</w:t>
      </w:r>
    </w:p>
    <w:p w:rsidR="00047EFA" w:rsidRPr="0002785B" w:rsidRDefault="00047EFA" w:rsidP="00047EFA">
      <w:pPr>
        <w:spacing w:after="120"/>
        <w:ind w:left="2268" w:right="1134" w:hanging="1134"/>
        <w:jc w:val="both"/>
        <w:rPr>
          <w:rFonts w:eastAsia="MS Mincho"/>
          <w:b/>
        </w:rPr>
      </w:pPr>
      <w:r w:rsidRPr="0002785B">
        <w:rPr>
          <w:rFonts w:eastAsia="MS Mincho"/>
        </w:rPr>
        <w:t>6.3.1.5.</w:t>
      </w:r>
      <w:r w:rsidRPr="0002785B">
        <w:rPr>
          <w:rFonts w:eastAsia="MS Mincho"/>
          <w:b/>
        </w:rPr>
        <w:t xml:space="preserve"> </w:t>
      </w:r>
      <w:r w:rsidRPr="0002785B">
        <w:rPr>
          <w:rFonts w:eastAsia="MS Mincho"/>
          <w:b/>
        </w:rPr>
        <w:tab/>
      </w:r>
      <w:r w:rsidRPr="0002785B">
        <w:rPr>
          <w:rFonts w:eastAsia="MS Mincho"/>
        </w:rPr>
        <w:t>Electrical disconnection of the electronic evaporative purge control device (if equipped and if active on the selected fuel type).</w:t>
      </w:r>
    </w:p>
    <w:p w:rsidR="00047EFA" w:rsidRPr="0002785B" w:rsidRDefault="00D13D92" w:rsidP="00754E5F">
      <w:pPr>
        <w:keepNext/>
        <w:keepLines/>
        <w:tabs>
          <w:tab w:val="left" w:pos="1125"/>
        </w:tabs>
        <w:spacing w:before="120"/>
        <w:ind w:left="2268" w:right="1134" w:hanging="1134"/>
        <w:jc w:val="both"/>
      </w:pPr>
      <w:r>
        <w:rPr>
          <w:i/>
          <w:iCs/>
        </w:rPr>
        <w:t>P</w:t>
      </w:r>
      <w:r w:rsidR="00047EFA" w:rsidRPr="0002785B">
        <w:rPr>
          <w:i/>
        </w:rPr>
        <w:t>aragraphs 6.4.1.1</w:t>
      </w:r>
      <w:proofErr w:type="gramStart"/>
      <w:r w:rsidR="00047EFA" w:rsidRPr="0002785B">
        <w:rPr>
          <w:i/>
        </w:rPr>
        <w:t>.</w:t>
      </w:r>
      <w:r w:rsidR="00047EFA" w:rsidRPr="0002785B">
        <w:t>,</w:t>
      </w:r>
      <w:proofErr w:type="gramEnd"/>
      <w:r w:rsidR="00047EFA" w:rsidRPr="0002785B">
        <w:t xml:space="preserve"> amend to read:</w:t>
      </w:r>
    </w:p>
    <w:p w:rsidR="00047EFA" w:rsidRPr="0002785B" w:rsidRDefault="00047EFA" w:rsidP="00047EFA">
      <w:pPr>
        <w:tabs>
          <w:tab w:val="left" w:pos="1125"/>
        </w:tabs>
        <w:spacing w:before="120"/>
        <w:ind w:left="2268" w:right="1134" w:hanging="1134"/>
        <w:jc w:val="both"/>
      </w:pPr>
      <w:proofErr w:type="gramStart"/>
      <w:r w:rsidRPr="0002785B">
        <w:t>"6.4.1.1.</w:t>
      </w:r>
      <w:r w:rsidRPr="0002785B">
        <w:tab/>
        <w:t>After vehicle preconditioning according to paragraph 6.2.</w:t>
      </w:r>
      <w:proofErr w:type="gramEnd"/>
      <w:r w:rsidRPr="0002785B">
        <w:t xml:space="preserve"> </w:t>
      </w:r>
      <w:proofErr w:type="gramStart"/>
      <w:r w:rsidRPr="0002785B">
        <w:t>of</w:t>
      </w:r>
      <w:proofErr w:type="gramEnd"/>
      <w:r w:rsidRPr="0002785B">
        <w:t xml:space="preserve"> this appendix, the test vehicle is driven over a Type I test (Parts One and Two).</w:t>
      </w:r>
    </w:p>
    <w:p w:rsidR="00047EFA" w:rsidRPr="0002785B" w:rsidRDefault="00047EFA" w:rsidP="00047EFA">
      <w:pPr>
        <w:tabs>
          <w:tab w:val="left" w:pos="1125"/>
        </w:tabs>
        <w:spacing w:before="120"/>
        <w:ind w:left="2268" w:right="1134" w:hanging="1134"/>
        <w:jc w:val="both"/>
      </w:pPr>
      <w:r w:rsidRPr="0002785B">
        <w:tab/>
        <w:t xml:space="preserve">The MI shall be activated at the latest before the end of this test under any of the conditions given in paragraphs 6.4.1.2. </w:t>
      </w:r>
      <w:proofErr w:type="gramStart"/>
      <w:r w:rsidRPr="0002785B">
        <w:t>to</w:t>
      </w:r>
      <w:proofErr w:type="gramEnd"/>
      <w:r w:rsidRPr="0002785B">
        <w:t xml:space="preserve"> 6.4.1.5. </w:t>
      </w:r>
      <w:proofErr w:type="gramStart"/>
      <w:r w:rsidRPr="0002785B">
        <w:t>of</w:t>
      </w:r>
      <w:proofErr w:type="gramEnd"/>
      <w:r w:rsidRPr="0002785B">
        <w:t xml:space="preserve"> this appendix. The MI may also be activated during preconditioning. The Technical Service may substitute those conditions with others in accordance with paragraph 6.4.1.6. </w:t>
      </w:r>
      <w:proofErr w:type="gramStart"/>
      <w:r w:rsidRPr="0002785B">
        <w:t>of</w:t>
      </w:r>
      <w:proofErr w:type="gramEnd"/>
      <w:r w:rsidRPr="0002785B">
        <w:t xml:space="preserve"> this appendix</w:t>
      </w:r>
    </w:p>
    <w:p w:rsidR="00047EFA" w:rsidRPr="0002785B" w:rsidRDefault="00047EFA" w:rsidP="00047EFA">
      <w:pPr>
        <w:tabs>
          <w:tab w:val="left" w:pos="1125"/>
        </w:tabs>
        <w:spacing w:before="120"/>
        <w:ind w:left="2268" w:right="1134" w:hanging="1134"/>
        <w:jc w:val="both"/>
      </w:pPr>
      <w:r w:rsidRPr="0002785B">
        <w:tab/>
        <w:t>In the case of testing a bi-fuel gas vehicle, both fuel types shall be used within the maximum of four (4) simulated failures at the discretion of the Type Approval Authority."</w:t>
      </w:r>
    </w:p>
    <w:p w:rsidR="00047EFA" w:rsidRPr="0002785B" w:rsidRDefault="00D13D92" w:rsidP="00047EFA">
      <w:pPr>
        <w:tabs>
          <w:tab w:val="left" w:pos="1125"/>
        </w:tabs>
        <w:spacing w:before="120"/>
        <w:ind w:left="2268" w:right="1134" w:hanging="1134"/>
        <w:jc w:val="both"/>
      </w:pPr>
      <w:r>
        <w:rPr>
          <w:i/>
          <w:iCs/>
        </w:rPr>
        <w:t>P</w:t>
      </w:r>
      <w:r w:rsidR="00047EFA" w:rsidRPr="0002785B">
        <w:rPr>
          <w:i/>
        </w:rPr>
        <w:t>aragraphs 6.4.2.1</w:t>
      </w:r>
      <w:proofErr w:type="gramStart"/>
      <w:r w:rsidR="00047EFA" w:rsidRPr="0002785B">
        <w:rPr>
          <w:i/>
        </w:rPr>
        <w:t>.</w:t>
      </w:r>
      <w:r w:rsidR="00047EFA" w:rsidRPr="0002785B">
        <w:t>,</w:t>
      </w:r>
      <w:proofErr w:type="gramEnd"/>
      <w:r w:rsidR="00047EFA" w:rsidRPr="0002785B">
        <w:t xml:space="preserve"> amend to read:</w:t>
      </w:r>
    </w:p>
    <w:p w:rsidR="00047EFA" w:rsidRPr="0002785B" w:rsidRDefault="00047EFA" w:rsidP="00047EFA">
      <w:pPr>
        <w:tabs>
          <w:tab w:val="left" w:pos="1125"/>
        </w:tabs>
        <w:spacing w:before="120"/>
        <w:ind w:left="2268" w:right="1134" w:hanging="1134"/>
        <w:jc w:val="both"/>
      </w:pPr>
      <w:proofErr w:type="gramStart"/>
      <w:r w:rsidRPr="0002785B">
        <w:t>"6.4.2.1.</w:t>
      </w:r>
      <w:r w:rsidRPr="0002785B">
        <w:tab/>
        <w:t>After vehicle preconditioning according to paragraph 6.2.</w:t>
      </w:r>
      <w:proofErr w:type="gramEnd"/>
      <w:r w:rsidRPr="0002785B">
        <w:t xml:space="preserve"> </w:t>
      </w:r>
      <w:proofErr w:type="gramStart"/>
      <w:r w:rsidRPr="0002785B">
        <w:t>of</w:t>
      </w:r>
      <w:proofErr w:type="gramEnd"/>
      <w:r w:rsidRPr="0002785B">
        <w:t xml:space="preserve"> this appendix, the test vehicle is driven over a Type I test (Parts One and Two).</w:t>
      </w:r>
    </w:p>
    <w:p w:rsidR="00047EFA" w:rsidRPr="0002785B" w:rsidRDefault="00047EFA" w:rsidP="00047EFA">
      <w:pPr>
        <w:tabs>
          <w:tab w:val="left" w:pos="1125"/>
        </w:tabs>
        <w:spacing w:before="120"/>
        <w:ind w:left="2268" w:right="1134" w:hanging="1134"/>
        <w:jc w:val="both"/>
      </w:pPr>
      <w:r w:rsidRPr="0002785B">
        <w:tab/>
        <w:t xml:space="preserve">The MI shall be activated at the latest before the end of this test under any of the conditions given in paragraphs 6.4.2.2. </w:t>
      </w:r>
      <w:proofErr w:type="gramStart"/>
      <w:r w:rsidRPr="0002785B">
        <w:t>to</w:t>
      </w:r>
      <w:proofErr w:type="gramEnd"/>
      <w:r w:rsidRPr="0002785B">
        <w:t xml:space="preserve"> 6.4.2.5 of this appendix. The MI may also be activated during preconditioning. The technical service may substitute those conditions by others in accordance with paragraph 6.4.2.5. </w:t>
      </w:r>
      <w:proofErr w:type="gramStart"/>
      <w:r w:rsidRPr="0002785B">
        <w:t>of</w:t>
      </w:r>
      <w:proofErr w:type="gramEnd"/>
      <w:r w:rsidRPr="0002785B">
        <w:t xml:space="preserve"> this appendix. However, the total number of failures simulated shall not exceed four (4) for the purposes of type approval."</w:t>
      </w:r>
    </w:p>
    <w:p w:rsidR="0002785B" w:rsidRPr="0002785B" w:rsidRDefault="000C7A42" w:rsidP="00E50DF9">
      <w:pPr>
        <w:keepNext/>
        <w:keepLines/>
        <w:tabs>
          <w:tab w:val="left" w:pos="1125"/>
        </w:tabs>
        <w:spacing w:before="120"/>
        <w:ind w:left="2268" w:right="1134" w:hanging="1134"/>
        <w:jc w:val="both"/>
      </w:pPr>
      <w:proofErr w:type="gramStart"/>
      <w:r>
        <w:rPr>
          <w:i/>
          <w:iCs/>
        </w:rPr>
        <w:t>P</w:t>
      </w:r>
      <w:r w:rsidR="0002785B" w:rsidRPr="0002785B">
        <w:rPr>
          <w:i/>
          <w:iCs/>
        </w:rPr>
        <w:t>aragraph</w:t>
      </w:r>
      <w:r w:rsidR="007C672F">
        <w:rPr>
          <w:i/>
          <w:iCs/>
        </w:rPr>
        <w:t>s</w:t>
      </w:r>
      <w:r w:rsidR="0002785B" w:rsidRPr="0002785B">
        <w:rPr>
          <w:i/>
          <w:iCs/>
        </w:rPr>
        <w:t xml:space="preserve"> 6.5.3.</w:t>
      </w:r>
      <w:proofErr w:type="gramEnd"/>
      <w:r w:rsidR="007C672F">
        <w:rPr>
          <w:i/>
          <w:iCs/>
        </w:rPr>
        <w:t xml:space="preserve"> </w:t>
      </w:r>
      <w:proofErr w:type="gramStart"/>
      <w:r w:rsidR="007C672F">
        <w:rPr>
          <w:i/>
          <w:iCs/>
        </w:rPr>
        <w:t>to</w:t>
      </w:r>
      <w:proofErr w:type="gramEnd"/>
      <w:r w:rsidR="007C672F">
        <w:rPr>
          <w:i/>
          <w:iCs/>
        </w:rPr>
        <w:t xml:space="preserve"> 6.5.3.6.</w:t>
      </w:r>
      <w:r w:rsidR="0002785B" w:rsidRPr="0002785B">
        <w:t>, amend to read</w:t>
      </w:r>
      <w:r w:rsidR="0002785B" w:rsidRPr="0002785B">
        <w:rPr>
          <w:iCs/>
        </w:rPr>
        <w:t>:</w:t>
      </w:r>
    </w:p>
    <w:p w:rsidR="0002785B" w:rsidRPr="0002785B" w:rsidRDefault="0002785B" w:rsidP="0002785B">
      <w:pPr>
        <w:tabs>
          <w:tab w:val="left" w:pos="1125"/>
        </w:tabs>
        <w:spacing w:before="120"/>
        <w:ind w:left="2268" w:right="1134" w:hanging="1134"/>
        <w:jc w:val="both"/>
      </w:pPr>
      <w:r w:rsidRPr="0002785B">
        <w:t xml:space="preserve">"6.5.3. </w:t>
      </w:r>
      <w:r w:rsidRPr="0002785B">
        <w:tab/>
        <w:t xml:space="preserve">The emission control diagnostic system shall provide for standardised and unrestricted access and conform to the following ISO standards and/or SAE specification. </w:t>
      </w:r>
      <w:r w:rsidRPr="0002785B">
        <w:rPr>
          <w:bCs/>
        </w:rPr>
        <w:t xml:space="preserve">Later versions may be used at the manufacturers' discretion. </w:t>
      </w:r>
    </w:p>
    <w:p w:rsidR="0002785B" w:rsidRPr="0002785B" w:rsidRDefault="0002785B" w:rsidP="0002785B">
      <w:pPr>
        <w:tabs>
          <w:tab w:val="left" w:pos="1125"/>
        </w:tabs>
        <w:spacing w:before="120"/>
        <w:ind w:left="2268" w:right="1134" w:hanging="1134"/>
        <w:jc w:val="both"/>
      </w:pPr>
      <w:r w:rsidRPr="0002785B">
        <w:t xml:space="preserve">6.5.3.1. </w:t>
      </w:r>
      <w:r w:rsidRPr="0002785B">
        <w:tab/>
        <w:t>The following standard shall be used as the on-board to off-board communications link:</w:t>
      </w:r>
      <w:r w:rsidRPr="0002785B">
        <w:rPr>
          <w:bCs/>
        </w:rPr>
        <w:t xml:space="preserve"> </w:t>
      </w:r>
    </w:p>
    <w:p w:rsidR="0002785B" w:rsidRPr="0002785B" w:rsidRDefault="0002785B" w:rsidP="0002785B">
      <w:pPr>
        <w:tabs>
          <w:tab w:val="left" w:pos="1125"/>
        </w:tabs>
        <w:spacing w:before="120"/>
        <w:ind w:left="2835" w:right="1134" w:hanging="567"/>
        <w:jc w:val="both"/>
      </w:pPr>
      <w:r w:rsidRPr="0002785B">
        <w:rPr>
          <w:bCs/>
        </w:rPr>
        <w:t xml:space="preserve">(a) </w:t>
      </w:r>
      <w:r w:rsidRPr="0002785B">
        <w:rPr>
          <w:bCs/>
        </w:rPr>
        <w:tab/>
      </w:r>
      <w:r w:rsidRPr="0002785B">
        <w:t>ISO 15765-4</w:t>
      </w:r>
      <w:r w:rsidRPr="0002785B">
        <w:rPr>
          <w:bCs/>
        </w:rPr>
        <w:t xml:space="preserve">:2011 </w:t>
      </w:r>
      <w:r w:rsidRPr="0002785B">
        <w:t xml:space="preserve">"Road vehicles – Diagnostics on Controller Area Network (CAN) – Part 4: Requirements for emissions-related systems", dated 1 February </w:t>
      </w:r>
      <w:r w:rsidRPr="0002785B">
        <w:rPr>
          <w:bCs/>
        </w:rPr>
        <w:t>2011</w:t>
      </w:r>
      <w:r w:rsidRPr="0002785B">
        <w:t>.</w:t>
      </w:r>
    </w:p>
    <w:p w:rsidR="0002785B" w:rsidRPr="0002785B" w:rsidRDefault="0002785B" w:rsidP="0002785B">
      <w:pPr>
        <w:tabs>
          <w:tab w:val="left" w:pos="1125"/>
        </w:tabs>
        <w:spacing w:before="120"/>
        <w:ind w:left="2268" w:right="1134" w:hanging="1134"/>
        <w:jc w:val="both"/>
      </w:pPr>
      <w:r w:rsidRPr="0002785B">
        <w:t>6.5.3.2.</w:t>
      </w:r>
      <w:r w:rsidRPr="0002785B">
        <w:tab/>
        <w:t>S</w:t>
      </w:r>
      <w:r w:rsidRPr="0002785B">
        <w:rPr>
          <w:bCs/>
        </w:rPr>
        <w:t xml:space="preserve">tandards used for the transmission of </w:t>
      </w:r>
      <w:proofErr w:type="spellStart"/>
      <w:r w:rsidRPr="0002785B">
        <w:rPr>
          <w:bCs/>
        </w:rPr>
        <w:t>OBD</w:t>
      </w:r>
      <w:proofErr w:type="spellEnd"/>
      <w:r w:rsidRPr="0002785B">
        <w:rPr>
          <w:bCs/>
        </w:rPr>
        <w:t xml:space="preserve"> relevant information:</w:t>
      </w:r>
    </w:p>
    <w:p w:rsidR="0002785B" w:rsidRPr="0002785B" w:rsidRDefault="0002785B" w:rsidP="0002785B">
      <w:pPr>
        <w:tabs>
          <w:tab w:val="left" w:pos="1125"/>
        </w:tabs>
        <w:spacing w:before="120"/>
        <w:ind w:left="2835" w:right="1134" w:hanging="567"/>
        <w:jc w:val="both"/>
      </w:pPr>
      <w:r w:rsidRPr="0002785B">
        <w:rPr>
          <w:bCs/>
        </w:rPr>
        <w:t xml:space="preserve">(a) </w:t>
      </w:r>
      <w:r w:rsidRPr="0002785B">
        <w:rPr>
          <w:bCs/>
        </w:rPr>
        <w:tab/>
        <w:t xml:space="preserve">ISO 15031-5 "Road vehicles - communication between vehicles and </w:t>
      </w:r>
      <w:r w:rsidRPr="0002785B">
        <w:t>external</w:t>
      </w:r>
      <w:r w:rsidRPr="0002785B">
        <w:rPr>
          <w:bCs/>
        </w:rPr>
        <w:t xml:space="preserve"> test equipment for emissions-related diagnostics – Part 5: Emissions-related diagnostic services", dated 1 April 2011 or SAE J1979 dated 23 February 2012</w:t>
      </w:r>
      <w:r w:rsidRPr="0002785B">
        <w:rPr>
          <w:bCs/>
          <w:lang w:val="en-US"/>
        </w:rPr>
        <w:t>;</w:t>
      </w:r>
      <w:r w:rsidRPr="0002785B">
        <w:rPr>
          <w:bCs/>
        </w:rPr>
        <w:t xml:space="preserve"> </w:t>
      </w:r>
    </w:p>
    <w:p w:rsidR="0002785B" w:rsidRPr="0002785B" w:rsidRDefault="0002785B" w:rsidP="0002785B">
      <w:pPr>
        <w:tabs>
          <w:tab w:val="left" w:pos="1125"/>
        </w:tabs>
        <w:spacing w:before="120"/>
        <w:ind w:left="2835" w:right="1134" w:hanging="567"/>
        <w:jc w:val="both"/>
        <w:rPr>
          <w:bCs/>
        </w:rPr>
      </w:pPr>
      <w:r w:rsidRPr="0002785B">
        <w:rPr>
          <w:bCs/>
        </w:rPr>
        <w:t xml:space="preserve">(b) </w:t>
      </w:r>
      <w:r w:rsidRPr="0002785B">
        <w:rPr>
          <w:bCs/>
        </w:rPr>
        <w:tab/>
        <w:t>ISO 15031-4 "Road vehicles – Communication between vehicle and external test equipment for emissions related diagnostics – Part 4: External test equipment", dated 1 June 2005 or SAE J1978 dated 30 April 2002;</w:t>
      </w:r>
    </w:p>
    <w:p w:rsidR="0002785B" w:rsidRPr="0002785B" w:rsidRDefault="0002785B" w:rsidP="00470E78">
      <w:pPr>
        <w:keepNext/>
        <w:keepLines/>
        <w:tabs>
          <w:tab w:val="left" w:pos="1125"/>
        </w:tabs>
        <w:spacing w:before="120"/>
        <w:ind w:left="2835" w:right="1134" w:hanging="567"/>
        <w:jc w:val="both"/>
        <w:rPr>
          <w:bCs/>
        </w:rPr>
      </w:pPr>
      <w:r w:rsidRPr="0002785B">
        <w:rPr>
          <w:bCs/>
        </w:rPr>
        <w:t xml:space="preserve">(c) </w:t>
      </w:r>
      <w:r w:rsidRPr="0002785B">
        <w:rPr>
          <w:bCs/>
        </w:rPr>
        <w:tab/>
        <w:t>ISO 15031-3 "Road vehicles – Communication between vehicle and external test equipment for emissions related diagnostics Part 3: Diagnostic connector and related electrical circuits: specification and use", dated 1 July 2004 or SAE J 1962 dated 26 July 2012;</w:t>
      </w:r>
    </w:p>
    <w:p w:rsidR="0002785B" w:rsidRPr="0002785B" w:rsidRDefault="0002785B" w:rsidP="00754E5F">
      <w:pPr>
        <w:keepNext/>
        <w:keepLines/>
        <w:tabs>
          <w:tab w:val="left" w:pos="1125"/>
        </w:tabs>
        <w:spacing w:before="120"/>
        <w:ind w:left="2835" w:right="1134" w:hanging="567"/>
        <w:jc w:val="both"/>
        <w:rPr>
          <w:bCs/>
        </w:rPr>
      </w:pPr>
      <w:r w:rsidRPr="0002785B">
        <w:rPr>
          <w:bCs/>
        </w:rPr>
        <w:t xml:space="preserve">(d) </w:t>
      </w:r>
      <w:r w:rsidRPr="0002785B">
        <w:rPr>
          <w:bCs/>
        </w:rPr>
        <w:tab/>
        <w:t>ISO 15031-6 "Road vehicles – Communication between vehicle and external test equipment for emissions related diagnostics – Part 6: Diagnostic trouble code definitions", dated 13 August 2010 or SAE J2012 dated 07 March 2013;</w:t>
      </w:r>
    </w:p>
    <w:p w:rsidR="0002785B" w:rsidRPr="0002785B" w:rsidRDefault="0002785B" w:rsidP="0002785B">
      <w:pPr>
        <w:tabs>
          <w:tab w:val="left" w:pos="1125"/>
        </w:tabs>
        <w:spacing w:before="120"/>
        <w:ind w:left="2835" w:right="1134" w:hanging="567"/>
        <w:jc w:val="both"/>
        <w:rPr>
          <w:bCs/>
        </w:rPr>
      </w:pPr>
      <w:r w:rsidRPr="0002785B">
        <w:rPr>
          <w:bCs/>
        </w:rPr>
        <w:t xml:space="preserve">(e) </w:t>
      </w:r>
      <w:r w:rsidRPr="0002785B">
        <w:rPr>
          <w:bCs/>
        </w:rPr>
        <w:tab/>
        <w:t>ISO 27145 "Road vehicles – Implementation of World-Wide Harmonized On-Board Diagnostics (</w:t>
      </w:r>
      <w:proofErr w:type="spellStart"/>
      <w:r w:rsidRPr="0002785B">
        <w:rPr>
          <w:bCs/>
        </w:rPr>
        <w:t>WWH-OBD</w:t>
      </w:r>
      <w:proofErr w:type="spellEnd"/>
      <w:r w:rsidRPr="0002785B">
        <w:rPr>
          <w:bCs/>
        </w:rPr>
        <w:t>)" dated 2012-08-15 with the restriction, that only 6.5.3.1</w:t>
      </w:r>
      <w:proofErr w:type="gramStart"/>
      <w:r w:rsidRPr="0002785B">
        <w:rPr>
          <w:bCs/>
        </w:rPr>
        <w:t>.(</w:t>
      </w:r>
      <w:proofErr w:type="gramEnd"/>
      <w:r w:rsidRPr="0002785B">
        <w:rPr>
          <w:bCs/>
        </w:rPr>
        <w:t>a) may be used as a data link;</w:t>
      </w:r>
    </w:p>
    <w:p w:rsidR="0002785B" w:rsidRPr="0002785B" w:rsidRDefault="0002785B" w:rsidP="0002785B">
      <w:pPr>
        <w:tabs>
          <w:tab w:val="left" w:pos="1125"/>
        </w:tabs>
        <w:spacing w:before="120"/>
        <w:ind w:left="2835" w:right="1134" w:hanging="567"/>
        <w:jc w:val="both"/>
        <w:rPr>
          <w:bCs/>
          <w:lang w:val="en-US"/>
        </w:rPr>
      </w:pPr>
      <w:r w:rsidRPr="0002785B">
        <w:rPr>
          <w:bCs/>
        </w:rPr>
        <w:t>(f)</w:t>
      </w:r>
      <w:r w:rsidRPr="0002785B">
        <w:rPr>
          <w:bCs/>
        </w:rPr>
        <w:tab/>
        <w:t>ISO 14229:2013 "Road vehicles – Unified diagnostic services (</w:t>
      </w:r>
      <w:proofErr w:type="spellStart"/>
      <w:r w:rsidRPr="0002785B">
        <w:rPr>
          <w:bCs/>
        </w:rPr>
        <w:t>UDS</w:t>
      </w:r>
      <w:proofErr w:type="spellEnd"/>
      <w:r w:rsidRPr="0002785B">
        <w:rPr>
          <w:bCs/>
        </w:rPr>
        <w:t>) with the restriction, that only 6.5.3.1</w:t>
      </w:r>
      <w:proofErr w:type="gramStart"/>
      <w:r w:rsidRPr="0002785B">
        <w:rPr>
          <w:bCs/>
        </w:rPr>
        <w:t>.(</w:t>
      </w:r>
      <w:proofErr w:type="gramEnd"/>
      <w:r w:rsidRPr="0002785B">
        <w:rPr>
          <w:bCs/>
        </w:rPr>
        <w:t>a) may be used as a data link</w:t>
      </w:r>
      <w:r w:rsidRPr="0002785B">
        <w:rPr>
          <w:bCs/>
          <w:lang w:val="en-US"/>
        </w:rPr>
        <w:t>".</w:t>
      </w:r>
    </w:p>
    <w:p w:rsidR="0002785B" w:rsidRPr="0002785B" w:rsidRDefault="0002785B" w:rsidP="0002785B">
      <w:pPr>
        <w:tabs>
          <w:tab w:val="left" w:pos="1125"/>
        </w:tabs>
        <w:spacing w:before="120"/>
        <w:ind w:left="2268" w:right="1134"/>
        <w:jc w:val="both"/>
        <w:rPr>
          <w:bCs/>
        </w:rPr>
      </w:pPr>
      <w:r w:rsidRPr="0002785B">
        <w:rPr>
          <w:bCs/>
        </w:rPr>
        <w:tab/>
        <w:t>The standards (e) and (f) may be used as an option instead of (a) not earlier than 1 January 2019.</w:t>
      </w:r>
    </w:p>
    <w:p w:rsidR="0002785B" w:rsidRPr="0002785B" w:rsidRDefault="0002785B" w:rsidP="0002785B">
      <w:pPr>
        <w:tabs>
          <w:tab w:val="left" w:pos="1125"/>
        </w:tabs>
        <w:spacing w:before="120"/>
        <w:ind w:left="2268" w:right="1134" w:hanging="1134"/>
        <w:jc w:val="both"/>
      </w:pPr>
      <w:r w:rsidRPr="0002785B">
        <w:t xml:space="preserve">6.5.3.3. </w:t>
      </w:r>
      <w:r w:rsidRPr="0002785B">
        <w:tab/>
        <w:t xml:space="preserve">Test equipment and diagnostic tools needed to communicate with </w:t>
      </w:r>
      <w:proofErr w:type="spellStart"/>
      <w:r w:rsidRPr="0002785B">
        <w:t>OBD</w:t>
      </w:r>
      <w:proofErr w:type="spellEnd"/>
      <w:r w:rsidRPr="0002785B">
        <w:t xml:space="preserve"> systems shall meet or exceed the functional specification given in </w:t>
      </w:r>
      <w:r w:rsidRPr="0002785B">
        <w:rPr>
          <w:bCs/>
        </w:rPr>
        <w:t xml:space="preserve">the standard listed in paragraph 6.5.3.2.(b) of this </w:t>
      </w:r>
      <w:r w:rsidR="00B22F96">
        <w:rPr>
          <w:bCs/>
        </w:rPr>
        <w:t>a</w:t>
      </w:r>
      <w:r w:rsidR="00B22F96" w:rsidRPr="0002785B">
        <w:rPr>
          <w:bCs/>
        </w:rPr>
        <w:t>ppendix</w:t>
      </w:r>
      <w:r w:rsidRPr="0002785B">
        <w:t>.</w:t>
      </w:r>
    </w:p>
    <w:p w:rsidR="0002785B" w:rsidRPr="0002785B" w:rsidRDefault="0002785B" w:rsidP="0002785B">
      <w:pPr>
        <w:tabs>
          <w:tab w:val="left" w:pos="1125"/>
        </w:tabs>
        <w:spacing w:before="120"/>
        <w:ind w:left="2268" w:right="1134" w:hanging="1134"/>
        <w:jc w:val="both"/>
      </w:pPr>
      <w:r w:rsidRPr="0002785B">
        <w:t xml:space="preserve">6.5.3.4. </w:t>
      </w:r>
      <w:r w:rsidRPr="0002785B">
        <w:tab/>
        <w:t xml:space="preserve">Basic diagnostic data, (as specified in paragraph 6.5.1.) and bi-directional control information shall be provided using the format and units described in </w:t>
      </w:r>
      <w:r w:rsidRPr="0002785B">
        <w:rPr>
          <w:bCs/>
        </w:rPr>
        <w:t xml:space="preserve">the standard listed in paragraph 6.5.3.2.(a) of this </w:t>
      </w:r>
      <w:r w:rsidR="00DB4587">
        <w:rPr>
          <w:bCs/>
        </w:rPr>
        <w:t>a</w:t>
      </w:r>
      <w:r w:rsidR="00DB4587" w:rsidRPr="0002785B">
        <w:rPr>
          <w:bCs/>
        </w:rPr>
        <w:t xml:space="preserve">ppendix </w:t>
      </w:r>
      <w:r w:rsidRPr="0002785B">
        <w:t xml:space="preserve">and must be available using a diagnostic tool meeting the requirements of </w:t>
      </w:r>
      <w:r w:rsidRPr="0002785B">
        <w:rPr>
          <w:bCs/>
        </w:rPr>
        <w:t xml:space="preserve">the standard listed in paragraph 6.5.3.2.(b) of this </w:t>
      </w:r>
      <w:r w:rsidR="00B22F96">
        <w:rPr>
          <w:bCs/>
        </w:rPr>
        <w:t>a</w:t>
      </w:r>
      <w:r w:rsidR="00B22F96" w:rsidRPr="0002785B">
        <w:rPr>
          <w:bCs/>
        </w:rPr>
        <w:t>ppendix</w:t>
      </w:r>
      <w:r w:rsidRPr="0002785B">
        <w:t xml:space="preserve">. </w:t>
      </w:r>
    </w:p>
    <w:p w:rsidR="0002785B" w:rsidRPr="0002785B" w:rsidRDefault="0002785B" w:rsidP="0002785B">
      <w:pPr>
        <w:tabs>
          <w:tab w:val="left" w:pos="1125"/>
        </w:tabs>
        <w:spacing w:before="120"/>
        <w:ind w:left="2268" w:right="1134" w:hanging="1134"/>
        <w:jc w:val="both"/>
      </w:pPr>
      <w:r w:rsidRPr="0002785B">
        <w:tab/>
      </w:r>
      <w:r w:rsidRPr="0002785B">
        <w:tab/>
        <w:t xml:space="preserve">The vehicle manufacturer shall provide to a national standardisation body the details of any emission-related diagnostic data, e.g. </w:t>
      </w:r>
      <w:proofErr w:type="spellStart"/>
      <w:r w:rsidRPr="0002785B">
        <w:t>PID’s</w:t>
      </w:r>
      <w:proofErr w:type="spellEnd"/>
      <w:r w:rsidRPr="0002785B">
        <w:t xml:space="preserve">, </w:t>
      </w:r>
      <w:proofErr w:type="spellStart"/>
      <w:r w:rsidRPr="0002785B">
        <w:t>OBD</w:t>
      </w:r>
      <w:proofErr w:type="spellEnd"/>
      <w:r w:rsidRPr="0002785B">
        <w:t xml:space="preserve"> monitor Id’s, Test ID’s not specified in </w:t>
      </w:r>
      <w:r w:rsidRPr="0002785B">
        <w:rPr>
          <w:bCs/>
        </w:rPr>
        <w:t xml:space="preserve">the standard listed in paragraph 6.5.3.2.(a) of this Regulation </w:t>
      </w:r>
      <w:r w:rsidRPr="0002785B">
        <w:t>but related to this Regulation.</w:t>
      </w:r>
    </w:p>
    <w:p w:rsidR="0002785B" w:rsidRPr="0002785B" w:rsidRDefault="0002785B" w:rsidP="0002785B">
      <w:pPr>
        <w:tabs>
          <w:tab w:val="left" w:pos="1125"/>
        </w:tabs>
        <w:spacing w:before="120"/>
        <w:ind w:left="2268" w:right="1134" w:hanging="1134"/>
        <w:jc w:val="both"/>
      </w:pPr>
      <w:r w:rsidRPr="0002785B">
        <w:t xml:space="preserve">6.5.3.5. </w:t>
      </w:r>
      <w:r w:rsidRPr="0002785B">
        <w:tab/>
        <w:t xml:space="preserve">When a fault is registered, the manufacturer shall identify the fault using an appropriate </w:t>
      </w:r>
      <w:r w:rsidRPr="0002785B">
        <w:rPr>
          <w:bCs/>
        </w:rPr>
        <w:t xml:space="preserve">ISO/SAE controlled </w:t>
      </w:r>
      <w:r w:rsidRPr="0002785B">
        <w:t xml:space="preserve">fault code </w:t>
      </w:r>
      <w:r w:rsidRPr="0002785B">
        <w:rPr>
          <w:bCs/>
        </w:rPr>
        <w:t xml:space="preserve">specified in one </w:t>
      </w:r>
      <w:r w:rsidRPr="0002785B">
        <w:t xml:space="preserve">of </w:t>
      </w:r>
      <w:r w:rsidRPr="0002785B">
        <w:rPr>
          <w:bCs/>
        </w:rPr>
        <w:t>the standards listed in paragraph 6.5.3.2</w:t>
      </w:r>
      <w:proofErr w:type="gramStart"/>
      <w:r w:rsidRPr="0002785B">
        <w:rPr>
          <w:bCs/>
        </w:rPr>
        <w:t>.(</w:t>
      </w:r>
      <w:proofErr w:type="gramEnd"/>
      <w:r w:rsidRPr="0002785B">
        <w:rPr>
          <w:bCs/>
        </w:rPr>
        <w:t xml:space="preserve">d) of this </w:t>
      </w:r>
      <w:r w:rsidR="00DB4587">
        <w:rPr>
          <w:bCs/>
        </w:rPr>
        <w:t>a</w:t>
      </w:r>
      <w:r w:rsidR="00DB4587" w:rsidRPr="0002785B">
        <w:t xml:space="preserve">ppendix </w:t>
      </w:r>
      <w:r w:rsidRPr="0002785B">
        <w:t xml:space="preserve">relating to "emission related system diagnostic trouble codes". If such identification is not possible, the manufacturer may use </w:t>
      </w:r>
      <w:r w:rsidRPr="0002785B">
        <w:rPr>
          <w:bCs/>
        </w:rPr>
        <w:t xml:space="preserve">manufacturer controlled </w:t>
      </w:r>
      <w:r w:rsidRPr="0002785B">
        <w:t xml:space="preserve">diagnostic trouble codes according to </w:t>
      </w:r>
      <w:r w:rsidRPr="0002785B">
        <w:rPr>
          <w:bCs/>
        </w:rPr>
        <w:t>the same standard</w:t>
      </w:r>
      <w:r w:rsidRPr="0002785B">
        <w:t xml:space="preserve">. The fault codes shall be fully accessible by standardised diagnostic equipment complying with the provisions of paragraph 6.5.3.2. </w:t>
      </w:r>
      <w:proofErr w:type="gramStart"/>
      <w:r w:rsidRPr="0002785B">
        <w:t>of</w:t>
      </w:r>
      <w:proofErr w:type="gramEnd"/>
      <w:r w:rsidRPr="0002785B">
        <w:t xml:space="preserve"> this </w:t>
      </w:r>
      <w:r w:rsidR="00B22F96">
        <w:t>a</w:t>
      </w:r>
      <w:r w:rsidR="00B22F96" w:rsidRPr="0002785B">
        <w:t>nnex</w:t>
      </w:r>
      <w:r w:rsidRPr="0002785B">
        <w:t xml:space="preserve">. </w:t>
      </w:r>
    </w:p>
    <w:p w:rsidR="0002785B" w:rsidRPr="0002785B" w:rsidRDefault="0002785B" w:rsidP="0002785B">
      <w:pPr>
        <w:tabs>
          <w:tab w:val="left" w:pos="1125"/>
        </w:tabs>
        <w:spacing w:before="120"/>
        <w:ind w:left="2268" w:right="1134" w:hanging="1134"/>
        <w:jc w:val="both"/>
      </w:pPr>
      <w:r w:rsidRPr="0002785B">
        <w:tab/>
      </w:r>
      <w:r w:rsidRPr="0002785B">
        <w:tab/>
        <w:t xml:space="preserve">The vehicle manufacturer shall provide to a national standardisation body the details of any emission-related diagnostic data, e.g. </w:t>
      </w:r>
      <w:proofErr w:type="spellStart"/>
      <w:r w:rsidRPr="0002785B">
        <w:t>PID’s</w:t>
      </w:r>
      <w:proofErr w:type="spellEnd"/>
      <w:r w:rsidRPr="0002785B">
        <w:t xml:space="preserve">, </w:t>
      </w:r>
      <w:proofErr w:type="spellStart"/>
      <w:r w:rsidRPr="0002785B">
        <w:t>OBD</w:t>
      </w:r>
      <w:proofErr w:type="spellEnd"/>
      <w:r w:rsidRPr="0002785B">
        <w:t xml:space="preserve"> monitor Id’s, Test Id’s not specified in </w:t>
      </w:r>
      <w:r w:rsidRPr="0002785B">
        <w:rPr>
          <w:bCs/>
        </w:rPr>
        <w:t xml:space="preserve">the standard listed in paragraph 6.5.3.2.(a) of this </w:t>
      </w:r>
      <w:r w:rsidR="00DB4587">
        <w:rPr>
          <w:bCs/>
        </w:rPr>
        <w:t>a</w:t>
      </w:r>
      <w:r w:rsidR="00DB4587" w:rsidRPr="0002785B">
        <w:rPr>
          <w:bCs/>
        </w:rPr>
        <w:t>ppendix</w:t>
      </w:r>
      <w:r w:rsidR="00DB4587" w:rsidRPr="0002785B">
        <w:t xml:space="preserve"> </w:t>
      </w:r>
      <w:r w:rsidRPr="0002785B">
        <w:t>but related to this Regulation.</w:t>
      </w:r>
    </w:p>
    <w:p w:rsidR="0002785B" w:rsidRPr="0002785B" w:rsidRDefault="0002785B" w:rsidP="0002785B">
      <w:pPr>
        <w:tabs>
          <w:tab w:val="left" w:pos="1125"/>
        </w:tabs>
        <w:spacing w:before="120" w:after="120"/>
        <w:ind w:left="2268" w:right="1134" w:hanging="1134"/>
        <w:jc w:val="both"/>
      </w:pPr>
      <w:r w:rsidRPr="0002785B">
        <w:t xml:space="preserve">6.5.3.6. </w:t>
      </w:r>
      <w:r w:rsidRPr="0002785B">
        <w:tab/>
        <w:t xml:space="preserve">The connection interface between the vehicle and the diagnostic tester shall be standardised and shall meet all the requirements of </w:t>
      </w:r>
      <w:r w:rsidRPr="0002785B">
        <w:rPr>
          <w:bCs/>
        </w:rPr>
        <w:t>the standard listed in paragraph 6.5.3.2</w:t>
      </w:r>
      <w:proofErr w:type="gramStart"/>
      <w:r w:rsidRPr="0002785B">
        <w:rPr>
          <w:bCs/>
        </w:rPr>
        <w:t>.(</w:t>
      </w:r>
      <w:proofErr w:type="gramEnd"/>
      <w:r w:rsidRPr="0002785B">
        <w:rPr>
          <w:bCs/>
        </w:rPr>
        <w:t xml:space="preserve">c) of this </w:t>
      </w:r>
      <w:r w:rsidR="00B22F96">
        <w:rPr>
          <w:bCs/>
        </w:rPr>
        <w:t>a</w:t>
      </w:r>
      <w:r w:rsidR="00B22F96" w:rsidRPr="0002785B">
        <w:rPr>
          <w:bCs/>
        </w:rPr>
        <w:t>ppendix</w:t>
      </w:r>
      <w:r w:rsidRPr="0002785B">
        <w:t>. The installation position shall be subject to agreement of the administrative department such that it is readily accessible by service personnel but protected from tampering by non-qualified personnel.</w:t>
      </w:r>
    </w:p>
    <w:p w:rsidR="007C672F" w:rsidRDefault="007C672F" w:rsidP="00470E78">
      <w:pPr>
        <w:keepNext/>
        <w:keepLines/>
        <w:spacing w:before="120" w:after="120"/>
        <w:ind w:left="2835" w:right="1134" w:hanging="1701"/>
        <w:jc w:val="both"/>
      </w:pPr>
      <w:r w:rsidRPr="007C672F">
        <w:rPr>
          <w:i/>
        </w:rPr>
        <w:t xml:space="preserve">Insert a new paragraph 6.5.3.7., </w:t>
      </w:r>
      <w:r>
        <w:t>to read:</w:t>
      </w:r>
    </w:p>
    <w:p w:rsidR="0002785B" w:rsidRPr="0002785B" w:rsidRDefault="007C672F" w:rsidP="0002785B">
      <w:pPr>
        <w:suppressAutoHyphens w:val="0"/>
        <w:autoSpaceDE w:val="0"/>
        <w:autoSpaceDN w:val="0"/>
        <w:adjustRightInd w:val="0"/>
        <w:spacing w:line="240" w:lineRule="auto"/>
        <w:ind w:left="2268" w:right="1134" w:hanging="1134"/>
        <w:jc w:val="both"/>
      </w:pPr>
      <w:r>
        <w:t>"</w:t>
      </w:r>
      <w:r w:rsidR="0002785B" w:rsidRPr="0002785B">
        <w:t xml:space="preserve">6.5.3.7. </w:t>
      </w:r>
      <w:r w:rsidR="0002785B" w:rsidRPr="0002785B">
        <w:tab/>
        <w:t xml:space="preserve">The manufacturer shall also make accessible, where appropriate on payment, the technical information required for the repair or maintenance of motor vehicles unless that information is covered by an intellectual property right or constitutes essential, secret know-how which is identified in an appropriate form; in such case, the necessary technical information shall not be withheld improperly. </w:t>
      </w:r>
    </w:p>
    <w:p w:rsidR="0002785B" w:rsidRPr="0002785B" w:rsidRDefault="0002785B" w:rsidP="0002785B">
      <w:pPr>
        <w:tabs>
          <w:tab w:val="left" w:pos="1125"/>
        </w:tabs>
        <w:spacing w:before="120"/>
        <w:ind w:left="2268" w:right="1134" w:hanging="1134"/>
        <w:jc w:val="both"/>
      </w:pPr>
      <w:r w:rsidRPr="0002785B">
        <w:tab/>
        <w:t>Entitled to such information is any person engaged in commercially servicing or repairing, road-side rescuing, inspecting or testing of vehicles or in the manufacturing or selling replacement or retro-fit components, diagnostic tools and test equipment. "</w:t>
      </w:r>
    </w:p>
    <w:p w:rsidR="0002785B" w:rsidRPr="0002785B" w:rsidRDefault="000C7A42" w:rsidP="00B22F96">
      <w:pPr>
        <w:keepNext/>
        <w:keepLines/>
        <w:tabs>
          <w:tab w:val="left" w:pos="1125"/>
        </w:tabs>
        <w:spacing w:before="120"/>
        <w:ind w:left="2268" w:right="1134" w:hanging="1134"/>
        <w:jc w:val="both"/>
      </w:pPr>
      <w:proofErr w:type="gramStart"/>
      <w:r>
        <w:rPr>
          <w:i/>
          <w:iCs/>
        </w:rPr>
        <w:t>P</w:t>
      </w:r>
      <w:r w:rsidR="0002785B" w:rsidRPr="0002785B">
        <w:rPr>
          <w:i/>
          <w:iCs/>
        </w:rPr>
        <w:t>aragraph</w:t>
      </w:r>
      <w:r w:rsidR="00B8638C">
        <w:rPr>
          <w:i/>
          <w:iCs/>
        </w:rPr>
        <w:t>s</w:t>
      </w:r>
      <w:r w:rsidR="0002785B" w:rsidRPr="0002785B">
        <w:rPr>
          <w:i/>
          <w:iCs/>
        </w:rPr>
        <w:t xml:space="preserve"> 7.6.1.</w:t>
      </w:r>
      <w:proofErr w:type="gramEnd"/>
      <w:r w:rsidR="00B8638C">
        <w:rPr>
          <w:i/>
          <w:iCs/>
        </w:rPr>
        <w:t xml:space="preserve"> </w:t>
      </w:r>
      <w:proofErr w:type="gramStart"/>
      <w:r w:rsidR="00B8638C">
        <w:rPr>
          <w:i/>
          <w:iCs/>
        </w:rPr>
        <w:t>to</w:t>
      </w:r>
      <w:proofErr w:type="gramEnd"/>
      <w:r w:rsidR="00B8638C">
        <w:rPr>
          <w:i/>
          <w:iCs/>
        </w:rPr>
        <w:t xml:space="preserve"> 7.6.2.1.</w:t>
      </w:r>
      <w:r w:rsidR="0002785B" w:rsidRPr="0002785B">
        <w:t>, amend to read</w:t>
      </w:r>
      <w:r w:rsidR="0002785B" w:rsidRPr="0002785B">
        <w:rPr>
          <w:iCs/>
        </w:rPr>
        <w:t>:</w:t>
      </w:r>
    </w:p>
    <w:p w:rsidR="0002785B" w:rsidRPr="0002785B" w:rsidRDefault="0002785B" w:rsidP="0002785B">
      <w:pPr>
        <w:tabs>
          <w:tab w:val="left" w:pos="1125"/>
        </w:tabs>
        <w:spacing w:before="120"/>
        <w:ind w:left="2268" w:right="1134" w:hanging="1134"/>
        <w:jc w:val="both"/>
      </w:pPr>
      <w:r w:rsidRPr="0002785B">
        <w:t xml:space="preserve">"7.6.1. </w:t>
      </w:r>
      <w:r w:rsidRPr="0002785B">
        <w:tab/>
        <w:t xml:space="preserve">The </w:t>
      </w:r>
      <w:proofErr w:type="spellStart"/>
      <w:r w:rsidRPr="0002785B">
        <w:t>OBD</w:t>
      </w:r>
      <w:proofErr w:type="spellEnd"/>
      <w:r w:rsidRPr="0002785B">
        <w:t xml:space="preserve"> system shall report</w:t>
      </w:r>
      <w:r w:rsidRPr="0002785B">
        <w:rPr>
          <w:bCs/>
        </w:rPr>
        <w:t>,</w:t>
      </w:r>
      <w:r w:rsidRPr="0002785B">
        <w:t xml:space="preserve"> in accordance with the </w:t>
      </w:r>
      <w:r w:rsidRPr="0002785B">
        <w:rPr>
          <w:bCs/>
        </w:rPr>
        <w:t xml:space="preserve">ISO 15031-5 </w:t>
      </w:r>
      <w:r w:rsidRPr="0002785B">
        <w:t xml:space="preserve">specifications </w:t>
      </w:r>
      <w:r w:rsidRPr="0002785B">
        <w:rPr>
          <w:bCs/>
        </w:rPr>
        <w:t>of the standard listed in paragraph 6.5.3.2.(a) of this appendix</w:t>
      </w:r>
      <w:r w:rsidRPr="0002785B">
        <w:rPr>
          <w:b/>
          <w:bCs/>
        </w:rPr>
        <w:t>,</w:t>
      </w:r>
      <w:r w:rsidRPr="0002785B">
        <w:rPr>
          <w:bCs/>
        </w:rPr>
        <w:t xml:space="preserve"> </w:t>
      </w:r>
      <w:r w:rsidRPr="0002785B">
        <w:t>the ignition cycle counter and general denominator as well as separate numerators and denominators for the following monitors, if their presence on the vehicle is required by this annex:</w:t>
      </w:r>
    </w:p>
    <w:p w:rsidR="0002785B" w:rsidRPr="0002785B" w:rsidRDefault="0002785B" w:rsidP="0002785B">
      <w:pPr>
        <w:tabs>
          <w:tab w:val="left" w:pos="1125"/>
        </w:tabs>
        <w:spacing w:before="120"/>
        <w:ind w:left="2268" w:right="1134"/>
        <w:jc w:val="both"/>
      </w:pPr>
      <w:r w:rsidRPr="0002785B">
        <w:rPr>
          <w:bCs/>
        </w:rPr>
        <w:t>(a)</w:t>
      </w:r>
      <w:r w:rsidRPr="0002785B">
        <w:rPr>
          <w:bCs/>
        </w:rPr>
        <w:tab/>
      </w:r>
      <w:r w:rsidRPr="0002785B">
        <w:t xml:space="preserve">Catalysts (each bank to be reported separately); </w:t>
      </w:r>
    </w:p>
    <w:p w:rsidR="0002785B" w:rsidRPr="0002785B" w:rsidRDefault="0002785B" w:rsidP="00B22F96">
      <w:pPr>
        <w:tabs>
          <w:tab w:val="left" w:pos="1125"/>
        </w:tabs>
        <w:spacing w:before="120"/>
        <w:ind w:left="2835" w:right="1134" w:hanging="567"/>
        <w:jc w:val="both"/>
      </w:pPr>
      <w:r w:rsidRPr="0002785B">
        <w:rPr>
          <w:bCs/>
        </w:rPr>
        <w:t>(b)</w:t>
      </w:r>
      <w:r w:rsidRPr="0002785B">
        <w:rPr>
          <w:bCs/>
        </w:rPr>
        <w:tab/>
      </w:r>
      <w:r w:rsidRPr="0002785B">
        <w:t>Oxygen/exhaust gas sensors, including secondary oxygen sensors (each sensor to be reported separately);</w:t>
      </w:r>
    </w:p>
    <w:p w:rsidR="0002785B" w:rsidRPr="0002785B" w:rsidRDefault="0002785B" w:rsidP="0002785B">
      <w:pPr>
        <w:tabs>
          <w:tab w:val="left" w:pos="1125"/>
        </w:tabs>
        <w:spacing w:before="120"/>
        <w:ind w:left="2268" w:right="1134"/>
        <w:jc w:val="both"/>
      </w:pPr>
      <w:r w:rsidRPr="0002785B">
        <w:rPr>
          <w:bCs/>
        </w:rPr>
        <w:t>(c)</w:t>
      </w:r>
      <w:r w:rsidRPr="0002785B">
        <w:rPr>
          <w:bCs/>
        </w:rPr>
        <w:tab/>
      </w:r>
      <w:r w:rsidRPr="0002785B">
        <w:t>Evaporative system;</w:t>
      </w:r>
    </w:p>
    <w:p w:rsidR="0002785B" w:rsidRPr="0002785B" w:rsidRDefault="0002785B" w:rsidP="0002785B">
      <w:pPr>
        <w:tabs>
          <w:tab w:val="left" w:pos="1125"/>
        </w:tabs>
        <w:spacing w:before="120"/>
        <w:ind w:left="2268" w:right="1134"/>
        <w:jc w:val="both"/>
        <w:rPr>
          <w:lang w:val="de-DE"/>
        </w:rPr>
      </w:pPr>
      <w:r w:rsidRPr="0002785B">
        <w:rPr>
          <w:bCs/>
          <w:lang w:val="de-DE"/>
        </w:rPr>
        <w:t>(d)</w:t>
      </w:r>
      <w:r w:rsidRPr="0002785B">
        <w:rPr>
          <w:bCs/>
          <w:lang w:val="de-DE"/>
        </w:rPr>
        <w:tab/>
      </w:r>
      <w:proofErr w:type="spellStart"/>
      <w:r w:rsidRPr="0002785B">
        <w:rPr>
          <w:lang w:val="de-DE"/>
        </w:rPr>
        <w:t>EGR</w:t>
      </w:r>
      <w:proofErr w:type="spellEnd"/>
      <w:r w:rsidRPr="0002785B">
        <w:rPr>
          <w:lang w:val="de-DE"/>
        </w:rPr>
        <w:t xml:space="preserve"> </w:t>
      </w:r>
      <w:proofErr w:type="spellStart"/>
      <w:r w:rsidRPr="0002785B">
        <w:rPr>
          <w:lang w:val="de-DE"/>
        </w:rPr>
        <w:t>system</w:t>
      </w:r>
      <w:proofErr w:type="spellEnd"/>
      <w:r w:rsidRPr="0002785B">
        <w:rPr>
          <w:lang w:val="de-DE"/>
        </w:rPr>
        <w:t>;</w:t>
      </w:r>
    </w:p>
    <w:p w:rsidR="0002785B" w:rsidRPr="0002785B" w:rsidRDefault="0002785B" w:rsidP="0002785B">
      <w:pPr>
        <w:tabs>
          <w:tab w:val="left" w:pos="1125"/>
        </w:tabs>
        <w:spacing w:before="120"/>
        <w:ind w:left="2268" w:right="1134"/>
        <w:jc w:val="both"/>
        <w:rPr>
          <w:lang w:val="de-DE"/>
        </w:rPr>
      </w:pPr>
      <w:r w:rsidRPr="0002785B">
        <w:rPr>
          <w:bCs/>
          <w:lang w:val="de-DE"/>
        </w:rPr>
        <w:t>(e)</w:t>
      </w:r>
      <w:r w:rsidRPr="0002785B">
        <w:rPr>
          <w:bCs/>
          <w:lang w:val="de-DE"/>
        </w:rPr>
        <w:tab/>
      </w:r>
      <w:proofErr w:type="spellStart"/>
      <w:r w:rsidRPr="0002785B">
        <w:rPr>
          <w:lang w:val="de-DE"/>
        </w:rPr>
        <w:t>VVT</w:t>
      </w:r>
      <w:proofErr w:type="spellEnd"/>
      <w:r w:rsidRPr="0002785B">
        <w:rPr>
          <w:lang w:val="de-DE"/>
        </w:rPr>
        <w:t xml:space="preserve"> </w:t>
      </w:r>
      <w:proofErr w:type="spellStart"/>
      <w:r w:rsidRPr="0002785B">
        <w:rPr>
          <w:lang w:val="de-DE"/>
        </w:rPr>
        <w:t>system</w:t>
      </w:r>
      <w:proofErr w:type="spellEnd"/>
      <w:r w:rsidRPr="0002785B">
        <w:rPr>
          <w:lang w:val="de-DE"/>
        </w:rPr>
        <w:t>;</w:t>
      </w:r>
    </w:p>
    <w:p w:rsidR="0002785B" w:rsidRPr="0002785B" w:rsidRDefault="0002785B" w:rsidP="0002785B">
      <w:pPr>
        <w:tabs>
          <w:tab w:val="left" w:pos="1125"/>
        </w:tabs>
        <w:spacing w:before="120"/>
        <w:ind w:left="2268" w:right="1134"/>
        <w:jc w:val="both"/>
      </w:pPr>
      <w:r w:rsidRPr="0002785B">
        <w:rPr>
          <w:bCs/>
        </w:rPr>
        <w:t>(f)</w:t>
      </w:r>
      <w:r w:rsidRPr="0002785B">
        <w:rPr>
          <w:bCs/>
        </w:rPr>
        <w:tab/>
      </w:r>
      <w:r w:rsidRPr="0002785B">
        <w:t>Secondary air system;</w:t>
      </w:r>
    </w:p>
    <w:p w:rsidR="0002785B" w:rsidRPr="0002785B" w:rsidRDefault="0002785B" w:rsidP="0002785B">
      <w:pPr>
        <w:tabs>
          <w:tab w:val="left" w:pos="1125"/>
        </w:tabs>
        <w:spacing w:before="120"/>
        <w:ind w:left="2268" w:right="1134"/>
        <w:jc w:val="both"/>
      </w:pPr>
      <w:r w:rsidRPr="0002785B">
        <w:rPr>
          <w:bCs/>
        </w:rPr>
        <w:t>(g)</w:t>
      </w:r>
      <w:r w:rsidRPr="0002785B">
        <w:rPr>
          <w:bCs/>
        </w:rPr>
        <w:tab/>
      </w:r>
      <w:r w:rsidRPr="0002785B">
        <w:t>Particulate filter;</w:t>
      </w:r>
    </w:p>
    <w:p w:rsidR="0002785B" w:rsidRPr="0002785B" w:rsidRDefault="0002785B" w:rsidP="0002785B">
      <w:pPr>
        <w:spacing w:before="120"/>
        <w:ind w:left="2835" w:right="1134" w:hanging="567"/>
        <w:jc w:val="both"/>
      </w:pPr>
      <w:r w:rsidRPr="0002785B">
        <w:rPr>
          <w:bCs/>
        </w:rPr>
        <w:t>(h)</w:t>
      </w:r>
      <w:r w:rsidRPr="0002785B">
        <w:rPr>
          <w:bCs/>
        </w:rPr>
        <w:tab/>
      </w:r>
      <w:proofErr w:type="spellStart"/>
      <w:r w:rsidRPr="0002785B">
        <w:t>NO</w:t>
      </w:r>
      <w:r w:rsidRPr="0002785B">
        <w:rPr>
          <w:vertAlign w:val="subscript"/>
        </w:rPr>
        <w:t>x</w:t>
      </w:r>
      <w:proofErr w:type="spellEnd"/>
      <w:r w:rsidRPr="0002785B">
        <w:t xml:space="preserve"> after-treatment system (e.g. </w:t>
      </w:r>
      <w:proofErr w:type="spellStart"/>
      <w:r w:rsidRPr="0002785B">
        <w:t>NO</w:t>
      </w:r>
      <w:r w:rsidRPr="0002785B">
        <w:rPr>
          <w:vertAlign w:val="subscript"/>
        </w:rPr>
        <w:t>x</w:t>
      </w:r>
      <w:proofErr w:type="spellEnd"/>
      <w:r w:rsidRPr="0002785B">
        <w:t xml:space="preserve"> </w:t>
      </w:r>
      <w:proofErr w:type="spellStart"/>
      <w:r w:rsidRPr="0002785B">
        <w:t>adsorber</w:t>
      </w:r>
      <w:proofErr w:type="spellEnd"/>
      <w:r w:rsidRPr="0002785B">
        <w:t xml:space="preserve">, </w:t>
      </w:r>
      <w:proofErr w:type="spellStart"/>
      <w:r w:rsidRPr="0002785B">
        <w:t>NO</w:t>
      </w:r>
      <w:r w:rsidRPr="0002785B">
        <w:rPr>
          <w:vertAlign w:val="subscript"/>
        </w:rPr>
        <w:t>x</w:t>
      </w:r>
      <w:proofErr w:type="spellEnd"/>
      <w:r w:rsidRPr="0002785B">
        <w:t xml:space="preserve"> reagent/catalyst system);</w:t>
      </w:r>
    </w:p>
    <w:p w:rsidR="0002785B" w:rsidRPr="0002785B" w:rsidRDefault="0002785B" w:rsidP="0002785B">
      <w:pPr>
        <w:tabs>
          <w:tab w:val="left" w:pos="1125"/>
        </w:tabs>
        <w:spacing w:before="120"/>
        <w:ind w:left="2268" w:right="1134"/>
        <w:jc w:val="both"/>
      </w:pPr>
      <w:r w:rsidRPr="0002785B">
        <w:rPr>
          <w:bCs/>
        </w:rPr>
        <w:t>(</w:t>
      </w:r>
      <w:proofErr w:type="spellStart"/>
      <w:r w:rsidRPr="0002785B">
        <w:rPr>
          <w:bCs/>
        </w:rPr>
        <w:t>i</w:t>
      </w:r>
      <w:proofErr w:type="spellEnd"/>
      <w:r w:rsidRPr="0002785B">
        <w:rPr>
          <w:bCs/>
        </w:rPr>
        <w:t>)</w:t>
      </w:r>
      <w:r w:rsidRPr="0002785B">
        <w:rPr>
          <w:bCs/>
        </w:rPr>
        <w:tab/>
      </w:r>
      <w:r w:rsidRPr="0002785B">
        <w:t>Boost pressure control system.</w:t>
      </w:r>
    </w:p>
    <w:p w:rsidR="0002785B" w:rsidRPr="0002785B" w:rsidRDefault="00047EFA" w:rsidP="0002785B">
      <w:pPr>
        <w:tabs>
          <w:tab w:val="left" w:pos="1125"/>
        </w:tabs>
        <w:spacing w:before="120"/>
        <w:ind w:left="2268" w:right="1134" w:hanging="1134"/>
        <w:jc w:val="both"/>
      </w:pPr>
      <w:r>
        <w:rPr>
          <w:i/>
          <w:iCs/>
        </w:rPr>
        <w:t>P</w:t>
      </w:r>
      <w:r w:rsidR="0002785B" w:rsidRPr="0002785B">
        <w:rPr>
          <w:i/>
          <w:iCs/>
        </w:rPr>
        <w:t xml:space="preserve">aragraph 7.6.2., </w:t>
      </w:r>
      <w:r w:rsidR="0002785B" w:rsidRPr="0002785B">
        <w:rPr>
          <w:iCs/>
        </w:rPr>
        <w:t>amend to read:</w:t>
      </w:r>
    </w:p>
    <w:p w:rsidR="0002785B" w:rsidRPr="0002785B" w:rsidRDefault="0002785B" w:rsidP="0002785B">
      <w:pPr>
        <w:tabs>
          <w:tab w:val="left" w:pos="1125"/>
        </w:tabs>
        <w:spacing w:before="120"/>
        <w:ind w:left="2268" w:right="1134" w:hanging="1134"/>
        <w:jc w:val="both"/>
      </w:pPr>
      <w:r w:rsidRPr="0002785B">
        <w:rPr>
          <w:lang w:val="en-US"/>
        </w:rPr>
        <w:t>7.6.2.</w:t>
      </w:r>
      <w:r w:rsidRPr="0002785B">
        <w:rPr>
          <w:lang w:val="en-US"/>
        </w:rPr>
        <w:tab/>
        <w:t xml:space="preserve">For specific components or systems that have multiple monitors, which are required to be reported by this point (e.g. oxygen sensor bank 1 may have multiple monitors for sensor response or other sensor characteristics), the </w:t>
      </w:r>
      <w:proofErr w:type="spellStart"/>
      <w:r w:rsidRPr="0002785B">
        <w:rPr>
          <w:lang w:val="en-US"/>
        </w:rPr>
        <w:t>OBD</w:t>
      </w:r>
      <w:proofErr w:type="spellEnd"/>
      <w:r w:rsidRPr="0002785B">
        <w:rPr>
          <w:lang w:val="en-US"/>
        </w:rPr>
        <w:t xml:space="preserve"> system shall separately track numerators and denominators for each of the specific monitors and report only the corresponding numerator and denominator for the specific monitor that has the lowest numerical ratio. If two or more specific monitors have identical ratios, the corresponding numerator and denominator for the specific monitor that has the highest denominator shall be reported for the specific component.</w:t>
      </w:r>
    </w:p>
    <w:p w:rsidR="0002785B" w:rsidRPr="0002785B" w:rsidRDefault="00047EFA" w:rsidP="0002785B">
      <w:pPr>
        <w:tabs>
          <w:tab w:val="left" w:pos="1125"/>
        </w:tabs>
        <w:spacing w:before="120" w:after="120"/>
        <w:ind w:left="2276" w:right="1138" w:hanging="1138"/>
        <w:jc w:val="both"/>
      </w:pPr>
      <w:r>
        <w:rPr>
          <w:i/>
          <w:iCs/>
        </w:rPr>
        <w:t>I</w:t>
      </w:r>
      <w:r w:rsidR="0002785B" w:rsidRPr="0002785B">
        <w:rPr>
          <w:i/>
          <w:iCs/>
        </w:rPr>
        <w:t>nsert a new paragraph 7.6.2.1.,</w:t>
      </w:r>
      <w:r w:rsidR="0002785B" w:rsidRPr="0002785B">
        <w:rPr>
          <w:iCs/>
        </w:rPr>
        <w:t xml:space="preserve"> to read:</w:t>
      </w:r>
    </w:p>
    <w:p w:rsidR="0002785B" w:rsidRPr="0002785B" w:rsidRDefault="0002785B" w:rsidP="0002785B">
      <w:pPr>
        <w:kinsoku w:val="0"/>
        <w:overflowPunct w:val="0"/>
        <w:spacing w:after="120"/>
        <w:ind w:left="2276" w:right="1138" w:hanging="1138"/>
        <w:jc w:val="both"/>
        <w:textAlignment w:val="baseline"/>
        <w:rPr>
          <w:bCs/>
        </w:rPr>
      </w:pPr>
      <w:r w:rsidRPr="0002785B">
        <w:rPr>
          <w:bCs/>
        </w:rPr>
        <w:t>7.6.2.1.</w:t>
      </w:r>
      <w:r w:rsidRPr="0002785B">
        <w:rPr>
          <w:bCs/>
        </w:rPr>
        <w:tab/>
        <w:t xml:space="preserve">Numerators and denominators for specific monitors of components or </w:t>
      </w:r>
      <w:proofErr w:type="gramStart"/>
      <w:r w:rsidRPr="0002785B">
        <w:rPr>
          <w:bCs/>
        </w:rPr>
        <w:t>systems, that</w:t>
      </w:r>
      <w:proofErr w:type="gramEnd"/>
      <w:r w:rsidRPr="0002785B">
        <w:rPr>
          <w:bCs/>
        </w:rPr>
        <w:t xml:space="preserve"> are monitoring continuously for short circuit or open circuit failures are exempted from reporting.</w:t>
      </w:r>
    </w:p>
    <w:p w:rsidR="0002785B" w:rsidRPr="0002785B" w:rsidRDefault="0002785B" w:rsidP="005F2D72">
      <w:pPr>
        <w:keepNext/>
        <w:keepLines/>
        <w:kinsoku w:val="0"/>
        <w:overflowPunct w:val="0"/>
        <w:spacing w:after="120"/>
        <w:ind w:left="2274" w:right="1140" w:hanging="6"/>
        <w:jc w:val="both"/>
        <w:textAlignment w:val="baseline"/>
        <w:rPr>
          <w:bCs/>
        </w:rPr>
      </w:pPr>
      <w:r w:rsidRPr="0002785B">
        <w:rPr>
          <w:bCs/>
        </w:rPr>
        <w:t>"Continuously," if used in this context means monitoring is always enabled and sampling of the signal used for monitoring occurs at a rate no less than two samples per second and the presence or the absence of the failure relevant to that monitor has to be concluded within 15 seconds.</w:t>
      </w:r>
    </w:p>
    <w:p w:rsidR="0002785B" w:rsidRPr="0002785B" w:rsidRDefault="0002785B" w:rsidP="0002785B">
      <w:pPr>
        <w:kinsoku w:val="0"/>
        <w:overflowPunct w:val="0"/>
        <w:spacing w:after="120"/>
        <w:ind w:left="2276" w:right="1138" w:hanging="8"/>
        <w:jc w:val="both"/>
        <w:textAlignment w:val="baseline"/>
        <w:rPr>
          <w:bCs/>
        </w:rPr>
      </w:pPr>
      <w:r w:rsidRPr="0002785B">
        <w:rPr>
          <w:bCs/>
        </w:rPr>
        <w:t xml:space="preserve">If for control purposes, a computer input component is sampled less frequently, the signal of the component may instead be evaluated each time sampling occurs. </w:t>
      </w:r>
    </w:p>
    <w:p w:rsidR="0002785B" w:rsidRPr="0002785B" w:rsidRDefault="0002785B" w:rsidP="0002785B">
      <w:pPr>
        <w:kinsoku w:val="0"/>
        <w:overflowPunct w:val="0"/>
        <w:spacing w:after="120"/>
        <w:ind w:left="2276" w:right="1138" w:hanging="8"/>
        <w:jc w:val="both"/>
        <w:textAlignment w:val="baseline"/>
        <w:rPr>
          <w:bCs/>
        </w:rPr>
      </w:pPr>
      <w:r w:rsidRPr="0002785B">
        <w:rPr>
          <w:bCs/>
        </w:rPr>
        <w:t>It is not required to activate an output component/system for the sole purpose of monitoring that output component/system."</w:t>
      </w:r>
    </w:p>
    <w:p w:rsidR="0002785B" w:rsidRPr="0002785B" w:rsidRDefault="0002785B" w:rsidP="0002785B">
      <w:pPr>
        <w:spacing w:before="240"/>
        <w:ind w:left="1134" w:right="1134"/>
        <w:jc w:val="center"/>
        <w:rPr>
          <w:u w:val="single"/>
          <w:lang w:val="en-US"/>
        </w:rPr>
      </w:pPr>
      <w:r w:rsidRPr="0002785B">
        <w:rPr>
          <w:u w:val="single"/>
          <w:lang w:val="en-US"/>
        </w:rPr>
        <w:tab/>
      </w:r>
      <w:r w:rsidRPr="0002785B">
        <w:rPr>
          <w:u w:val="single"/>
          <w:lang w:val="en-US"/>
        </w:rPr>
        <w:tab/>
      </w:r>
      <w:r w:rsidRPr="0002785B">
        <w:rPr>
          <w:u w:val="single"/>
          <w:lang w:val="en-US"/>
        </w:rPr>
        <w:tab/>
      </w:r>
    </w:p>
    <w:p w:rsidR="00776D12" w:rsidRDefault="00776D12" w:rsidP="00C711C7">
      <w:pPr>
        <w:jc w:val="center"/>
      </w:pPr>
    </w:p>
    <w:sectPr w:rsidR="00776D12" w:rsidSect="008311A3">
      <w:headerReference w:type="even" r:id="rId10"/>
      <w:headerReference w:type="default" r:id="rId11"/>
      <w:footerReference w:type="even" r:id="rId12"/>
      <w:footerReference w:type="default" r:id="rId13"/>
      <w:headerReference w:type="first" r:id="rId14"/>
      <w:footerReference w:type="first" r:id="rId15"/>
      <w:endnotePr>
        <w:numFmt w:val="decimal"/>
      </w:endnotePr>
      <w:type w:val="continuous"/>
      <w:pgSz w:w="11907" w:h="16840" w:code="9"/>
      <w:pgMar w:top="1701" w:right="1134" w:bottom="2268" w:left="1134" w:header="1134" w:footer="1701"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1406" w:rsidRDefault="00D11406"/>
  </w:endnote>
  <w:endnote w:type="continuationSeparator" w:id="0">
    <w:p w:rsidR="00D11406" w:rsidRDefault="00D11406"/>
  </w:endnote>
  <w:endnote w:type="continuationNotice" w:id="1">
    <w:p w:rsidR="00D11406" w:rsidRDefault="00D1140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06" w:rsidRPr="00D623A7" w:rsidRDefault="00D11406">
    <w:pPr>
      <w:pStyle w:val="Footer"/>
      <w:rPr>
        <w:b/>
        <w:sz w:val="18"/>
        <w:szCs w:val="18"/>
      </w:rPr>
    </w:pPr>
    <w:r w:rsidRPr="00D623A7">
      <w:rPr>
        <w:b/>
        <w:sz w:val="18"/>
        <w:szCs w:val="18"/>
      </w:rPr>
      <w:fldChar w:fldCharType="begin"/>
    </w:r>
    <w:r w:rsidRPr="00D623A7">
      <w:rPr>
        <w:b/>
        <w:sz w:val="18"/>
        <w:szCs w:val="18"/>
      </w:rPr>
      <w:instrText xml:space="preserve"> PAGE   \* MERGEFORMAT </w:instrText>
    </w:r>
    <w:r w:rsidRPr="00D623A7">
      <w:rPr>
        <w:b/>
        <w:sz w:val="18"/>
        <w:szCs w:val="18"/>
      </w:rPr>
      <w:fldChar w:fldCharType="separate"/>
    </w:r>
    <w:r w:rsidR="004C5DCF">
      <w:rPr>
        <w:b/>
        <w:noProof/>
        <w:sz w:val="18"/>
        <w:szCs w:val="18"/>
      </w:rPr>
      <w:t>8</w:t>
    </w:r>
    <w:r w:rsidRPr="00D623A7">
      <w:rPr>
        <w:b/>
        <w:noProof/>
        <w:sz w:val="18"/>
        <w:szCs w:val="18"/>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06" w:rsidRPr="00776D12" w:rsidRDefault="00D11406" w:rsidP="00776D12">
    <w:pPr>
      <w:pStyle w:val="Footer"/>
      <w:jc w:val="right"/>
      <w:rPr>
        <w:b/>
        <w:sz w:val="18"/>
        <w:szCs w:val="18"/>
      </w:rPr>
    </w:pPr>
    <w:r w:rsidRPr="00776D12">
      <w:rPr>
        <w:b/>
        <w:sz w:val="18"/>
        <w:szCs w:val="18"/>
      </w:rPr>
      <w:fldChar w:fldCharType="begin"/>
    </w:r>
    <w:r w:rsidRPr="00776D12">
      <w:rPr>
        <w:b/>
        <w:sz w:val="18"/>
        <w:szCs w:val="18"/>
      </w:rPr>
      <w:instrText xml:space="preserve"> PAGE   \* MERGEFORMAT </w:instrText>
    </w:r>
    <w:r w:rsidRPr="00776D12">
      <w:rPr>
        <w:b/>
        <w:sz w:val="18"/>
        <w:szCs w:val="18"/>
      </w:rPr>
      <w:fldChar w:fldCharType="separate"/>
    </w:r>
    <w:r w:rsidR="004C5DCF">
      <w:rPr>
        <w:b/>
        <w:noProof/>
        <w:sz w:val="18"/>
        <w:szCs w:val="18"/>
      </w:rPr>
      <w:t>9</w:t>
    </w:r>
    <w:r w:rsidRPr="00776D12">
      <w:rPr>
        <w:b/>
        <w:noProof/>
        <w:sz w:val="18"/>
        <w:szCs w:val="18"/>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1406" w:rsidRPr="00D96AE1" w:rsidRDefault="00D11406" w:rsidP="00D96AE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1406" w:rsidRPr="000B175B" w:rsidRDefault="00D11406" w:rsidP="000B175B">
      <w:pPr>
        <w:tabs>
          <w:tab w:val="right" w:pos="2155"/>
        </w:tabs>
        <w:spacing w:after="80"/>
        <w:ind w:left="680"/>
        <w:rPr>
          <w:u w:val="single"/>
        </w:rPr>
      </w:pPr>
      <w:r>
        <w:rPr>
          <w:u w:val="single"/>
        </w:rPr>
        <w:tab/>
      </w:r>
    </w:p>
  </w:footnote>
  <w:footnote w:type="continuationSeparator" w:id="0">
    <w:p w:rsidR="00D11406" w:rsidRPr="00FC68B7" w:rsidRDefault="00D11406" w:rsidP="00FC68B7">
      <w:pPr>
        <w:tabs>
          <w:tab w:val="left" w:pos="2155"/>
        </w:tabs>
        <w:spacing w:after="80"/>
        <w:ind w:left="680"/>
        <w:rPr>
          <w:u w:val="single"/>
        </w:rPr>
      </w:pPr>
      <w:r>
        <w:rPr>
          <w:u w:val="single"/>
        </w:rPr>
        <w:tab/>
      </w:r>
    </w:p>
  </w:footnote>
  <w:footnote w:type="continuationNotice" w:id="1">
    <w:p w:rsidR="00D11406" w:rsidRDefault="00D11406"/>
  </w:footnote>
  <w:footnote w:id="2">
    <w:p w:rsidR="00D11406" w:rsidRPr="009E5D87" w:rsidRDefault="00D11406" w:rsidP="00C711C7">
      <w:pPr>
        <w:pStyle w:val="FootnoteText"/>
        <w:rPr>
          <w:lang w:val="fr-CH"/>
        </w:rPr>
      </w:pPr>
      <w:r>
        <w:tab/>
      </w:r>
      <w:r w:rsidRPr="009E5D87">
        <w:rPr>
          <w:rStyle w:val="FootnoteReference"/>
          <w:sz w:val="20"/>
          <w:vertAlign w:val="baseline"/>
        </w:rPr>
        <w:t>*</w:t>
      </w:r>
      <w:r>
        <w:rPr>
          <w:sz w:val="20"/>
        </w:rPr>
        <w:tab/>
      </w:r>
      <w:r w:rsidRPr="00014D07">
        <w:t xml:space="preserve">Former title of the Agreement: Agreement Concerning the Adoption of Uniform Conditions of Approval and Reciprocal Recognition of Approval for Motor Vehicle Equipment and Parts, </w:t>
      </w:r>
      <w:r>
        <w:t>d</w:t>
      </w:r>
      <w:r w:rsidRPr="00014D07">
        <w:t>on</w:t>
      </w:r>
      <w:r>
        <w:t>e at Geneva on</w:t>
      </w:r>
      <w:r w:rsidRPr="00014D07">
        <w:t xml:space="preserve"> 20 March 1958</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54E5F" w:rsidRDefault="00D11406" w:rsidP="00754E5F">
    <w:pPr>
      <w:pStyle w:val="Header"/>
    </w:pPr>
    <w:r w:rsidRPr="00D623A7">
      <w:t>E/</w:t>
    </w:r>
    <w:proofErr w:type="spellStart"/>
    <w:r w:rsidRPr="00D623A7">
      <w:t>ECE</w:t>
    </w:r>
    <w:proofErr w:type="spellEnd"/>
    <w:r w:rsidRPr="00D623A7">
      <w:t>/324</w:t>
    </w:r>
    <w:r w:rsidR="0002785B">
      <w:t>/Rev.1/Add.82/Rev.5/Amend.1</w:t>
    </w:r>
    <w:r>
      <w:br/>
    </w:r>
    <w:r w:rsidRPr="00D623A7">
      <w:t>E/</w:t>
    </w:r>
    <w:proofErr w:type="spellStart"/>
    <w:r w:rsidRPr="00D623A7">
      <w:t>ECE</w:t>
    </w:r>
    <w:proofErr w:type="spellEnd"/>
    <w:r w:rsidRPr="00D623A7">
      <w:t>/TRANS/505</w:t>
    </w:r>
    <w:r w:rsidR="0002785B">
      <w:t>/Rev.1/Add.82/Rev.5/Amend.1</w:t>
    </w:r>
  </w:p>
  <w:p w:rsidR="00754E5F" w:rsidRPr="00754E5F" w:rsidRDefault="00754E5F" w:rsidP="00754E5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530E" w:rsidRDefault="00FD530E" w:rsidP="00FD530E">
    <w:pPr>
      <w:pStyle w:val="Header"/>
      <w:jc w:val="right"/>
    </w:pPr>
    <w:r>
      <w:t>E/</w:t>
    </w:r>
    <w:proofErr w:type="spellStart"/>
    <w:r>
      <w:t>ECE</w:t>
    </w:r>
    <w:proofErr w:type="spellEnd"/>
    <w:r>
      <w:t>/324</w:t>
    </w:r>
    <w:r w:rsidR="0002785B">
      <w:t>/Rev.1/Add.82/Rev.5/Amend.1</w:t>
    </w:r>
  </w:p>
  <w:p w:rsidR="00D11406" w:rsidRDefault="00FD530E" w:rsidP="00FD530E">
    <w:pPr>
      <w:pStyle w:val="Header"/>
      <w:jc w:val="right"/>
    </w:pPr>
    <w:r>
      <w:t>E/</w:t>
    </w:r>
    <w:proofErr w:type="spellStart"/>
    <w:r>
      <w:t>ECE</w:t>
    </w:r>
    <w:proofErr w:type="spellEnd"/>
    <w:r>
      <w:t>/TRANS/505</w:t>
    </w:r>
    <w:r w:rsidR="0002785B">
      <w:t>/Rev.1/Add.82/Rev.5/Amend.1</w:t>
    </w:r>
  </w:p>
  <w:p w:rsidR="00D11406" w:rsidRPr="00BF4A36" w:rsidRDefault="00D11406" w:rsidP="00BF4A36"/>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6AE1" w:rsidRDefault="00D96AE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AFEC362"/>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F507AD2"/>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980EE60A"/>
    <w:lvl w:ilvl="0">
      <w:start w:val="1"/>
      <w:numFmt w:val="decimal"/>
      <w:pStyle w:val="Heading9"/>
      <w:lvlText w:val="%1."/>
      <w:lvlJc w:val="left"/>
      <w:pPr>
        <w:tabs>
          <w:tab w:val="num" w:pos="926"/>
        </w:tabs>
        <w:ind w:left="926" w:hanging="360"/>
      </w:pPr>
    </w:lvl>
  </w:abstractNum>
  <w:abstractNum w:abstractNumId="3">
    <w:nsid w:val="FFFFFF7F"/>
    <w:multiLevelType w:val="singleLevel"/>
    <w:tmpl w:val="5B7AE49A"/>
    <w:lvl w:ilvl="0">
      <w:start w:val="1"/>
      <w:numFmt w:val="decimal"/>
      <w:pStyle w:val="ListNumber2"/>
      <w:lvlText w:val="%1."/>
      <w:lvlJc w:val="left"/>
      <w:pPr>
        <w:tabs>
          <w:tab w:val="num" w:pos="643"/>
        </w:tabs>
        <w:ind w:left="643" w:hanging="360"/>
      </w:pPr>
    </w:lvl>
  </w:abstractNum>
  <w:abstractNum w:abstractNumId="4">
    <w:nsid w:val="FFFFFF80"/>
    <w:multiLevelType w:val="singleLevel"/>
    <w:tmpl w:val="122A4B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DA0EE9C6"/>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7D12BC36"/>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BFE6950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8BFE3A64"/>
    <w:lvl w:ilvl="0">
      <w:start w:val="1"/>
      <w:numFmt w:val="decimal"/>
      <w:pStyle w:val="ListNumber"/>
      <w:lvlText w:val="%1."/>
      <w:lvlJc w:val="left"/>
      <w:pPr>
        <w:tabs>
          <w:tab w:val="num" w:pos="360"/>
        </w:tabs>
        <w:ind w:left="360" w:hanging="360"/>
      </w:pPr>
    </w:lvl>
  </w:abstractNum>
  <w:abstractNum w:abstractNumId="9">
    <w:nsid w:val="FFFFFF89"/>
    <w:multiLevelType w:val="singleLevel"/>
    <w:tmpl w:val="8A541A7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F2036B"/>
    <w:multiLevelType w:val="hybridMultilevel"/>
    <w:tmpl w:val="B22E0BFA"/>
    <w:lvl w:ilvl="0" w:tplc="9008FA9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1">
    <w:nsid w:val="07521322"/>
    <w:multiLevelType w:val="multilevel"/>
    <w:tmpl w:val="04090023"/>
    <w:styleLink w:val="ArticleSection"/>
    <w:lvl w:ilvl="0">
      <w:start w:val="1"/>
      <w:numFmt w:val="upperRoman"/>
      <w:lvlText w:val="Article %1."/>
      <w:lvlJc w:val="left"/>
      <w:pPr>
        <w:tabs>
          <w:tab w:val="num" w:pos="1440"/>
        </w:tabs>
        <w:ind w:left="0" w:firstLine="0"/>
      </w:pPr>
    </w:lvl>
    <w:lvl w:ilvl="1">
      <w:start w:val="1"/>
      <w:numFmt w:val="decimalZero"/>
      <w:isLgl/>
      <w:lvlText w:val="Section %1.%2"/>
      <w:lvlJc w:val="left"/>
      <w:pPr>
        <w:tabs>
          <w:tab w:val="num" w:pos="1080"/>
        </w:tabs>
        <w:ind w:left="0" w:firstLine="0"/>
      </w:pPr>
    </w:lvl>
    <w:lvl w:ilvl="2">
      <w:start w:val="1"/>
      <w:numFmt w:val="lowerLetter"/>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2">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3">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4">
    <w:nsid w:val="68862366"/>
    <w:multiLevelType w:val="hybridMultilevel"/>
    <w:tmpl w:val="523E6D94"/>
    <w:lvl w:ilvl="0" w:tplc="E24C15DA">
      <w:start w:val="1"/>
      <w:numFmt w:val="bullet"/>
      <w:pStyle w:val="Bullet2G"/>
      <w:lvlText w:val="•"/>
      <w:lvlJc w:val="left"/>
      <w:pPr>
        <w:tabs>
          <w:tab w:val="num" w:pos="2268"/>
        </w:tabs>
        <w:ind w:left="2268"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5">
    <w:nsid w:val="7CF349BD"/>
    <w:multiLevelType w:val="singleLevel"/>
    <w:tmpl w:val="0582B630"/>
    <w:lvl w:ilvl="0">
      <w:start w:val="1"/>
      <w:numFmt w:val="lowerRoman"/>
      <w:pStyle w:val="Rom1"/>
      <w:lvlText w:val="(%1)"/>
      <w:lvlJc w:val="right"/>
      <w:pPr>
        <w:tabs>
          <w:tab w:val="num" w:pos="1440"/>
        </w:tabs>
        <w:ind w:left="1440" w:hanging="589"/>
      </w:pPr>
      <w:rPr>
        <w:rFonts w:hint="default"/>
      </w:rPr>
    </w:lvl>
  </w:abstractNum>
  <w:num w:numId="1">
    <w:abstractNumId w:val="10"/>
  </w:num>
  <w:num w:numId="2">
    <w:abstractNumId w:val="14"/>
  </w:num>
  <w:num w:numId="3">
    <w:abstractNumId w:val="1"/>
  </w:num>
  <w:num w:numId="4">
    <w:abstractNumId w:val="0"/>
  </w:num>
  <w:num w:numId="5">
    <w:abstractNumId w:val="2"/>
  </w:num>
  <w:num w:numId="6">
    <w:abstractNumId w:val="3"/>
  </w:num>
  <w:num w:numId="7">
    <w:abstractNumId w:val="8"/>
  </w:num>
  <w:num w:numId="8">
    <w:abstractNumId w:val="9"/>
  </w:num>
  <w:num w:numId="9">
    <w:abstractNumId w:val="7"/>
  </w:num>
  <w:num w:numId="10">
    <w:abstractNumId w:val="6"/>
  </w:num>
  <w:num w:numId="11">
    <w:abstractNumId w:val="5"/>
  </w:num>
  <w:num w:numId="12">
    <w:abstractNumId w:val="4"/>
  </w:num>
  <w:num w:numId="13">
    <w:abstractNumId w:val="13"/>
  </w:num>
  <w:num w:numId="14">
    <w:abstractNumId w:val="12"/>
  </w:num>
  <w:num w:numId="15">
    <w:abstractNumId w:val="11"/>
  </w:num>
  <w:num w:numId="16">
    <w:abstractNumId w:val="1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activeWritingStyle w:appName="MSWord" w:lang="en-GB" w:vendorID="64" w:dllVersion="131077" w:nlCheck="1" w:checkStyle="1"/>
  <w:activeWritingStyle w:appName="MSWord" w:lang="en-GB" w:vendorID="64" w:dllVersion="131078" w:nlCheck="1" w:checkStyle="1"/>
  <w:activeWritingStyle w:appName="MSWord" w:lang="en-US" w:vendorID="64" w:dllVersion="131078" w:nlCheck="1" w:checkStyle="1"/>
  <w:activeWritingStyle w:appName="MSWord" w:lang="de-DE" w:vendorID="64" w:dllVersion="131078" w:nlCheck="1" w:checkStyle="1"/>
  <w:activeWritingStyle w:appName="MSWord" w:lang="es-AR" w:vendorID="64" w:dllVersion="131078" w:nlCheck="1" w:checkStyle="1"/>
  <w:activeWritingStyle w:appName="MSWord" w:lang="fr-FR" w:vendorID="64" w:dllVersion="131078" w:nlCheck="1" w:checkStyle="1"/>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NotTrackMoves/>
  <w:doNotTrackFormatting/>
  <w:defaultTabStop w:val="567"/>
  <w:hyphenationZone w:val="357"/>
  <w:doNotHyphenateCaps/>
  <w:evenAndOddHeader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numFmt w:val="decimal"/>
    <w:endnote w:id="-1"/>
    <w:endnote w:id="0"/>
    <w:endnote w:id="1"/>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11406"/>
    <w:rsid w:val="0002785B"/>
    <w:rsid w:val="00047EFA"/>
    <w:rsid w:val="00050F6B"/>
    <w:rsid w:val="00072C8C"/>
    <w:rsid w:val="000931C0"/>
    <w:rsid w:val="000B175B"/>
    <w:rsid w:val="000B3A0F"/>
    <w:rsid w:val="000C7A42"/>
    <w:rsid w:val="000D3A4F"/>
    <w:rsid w:val="000E0415"/>
    <w:rsid w:val="001220B8"/>
    <w:rsid w:val="00134B40"/>
    <w:rsid w:val="001352D9"/>
    <w:rsid w:val="00152045"/>
    <w:rsid w:val="00165E82"/>
    <w:rsid w:val="001B4B04"/>
    <w:rsid w:val="001C6663"/>
    <w:rsid w:val="001C7895"/>
    <w:rsid w:val="001D26DF"/>
    <w:rsid w:val="00211E0B"/>
    <w:rsid w:val="002405A7"/>
    <w:rsid w:val="00271A7F"/>
    <w:rsid w:val="002A1E3A"/>
    <w:rsid w:val="002C02B9"/>
    <w:rsid w:val="003107FA"/>
    <w:rsid w:val="00312E48"/>
    <w:rsid w:val="003229D8"/>
    <w:rsid w:val="0033745A"/>
    <w:rsid w:val="0039277A"/>
    <w:rsid w:val="003972E0"/>
    <w:rsid w:val="003A4862"/>
    <w:rsid w:val="003C2CC4"/>
    <w:rsid w:val="003C3936"/>
    <w:rsid w:val="003D1431"/>
    <w:rsid w:val="003D4B23"/>
    <w:rsid w:val="003F1ED3"/>
    <w:rsid w:val="004325CB"/>
    <w:rsid w:val="00445C26"/>
    <w:rsid w:val="00446DE4"/>
    <w:rsid w:val="00470E78"/>
    <w:rsid w:val="004A41CA"/>
    <w:rsid w:val="004C5DCF"/>
    <w:rsid w:val="004E3FEB"/>
    <w:rsid w:val="00503228"/>
    <w:rsid w:val="00505384"/>
    <w:rsid w:val="005420F2"/>
    <w:rsid w:val="0054561B"/>
    <w:rsid w:val="005B3DB3"/>
    <w:rsid w:val="005F2D72"/>
    <w:rsid w:val="005F688F"/>
    <w:rsid w:val="00611FC4"/>
    <w:rsid w:val="006176FB"/>
    <w:rsid w:val="00627ED0"/>
    <w:rsid w:val="00640B26"/>
    <w:rsid w:val="0064636E"/>
    <w:rsid w:val="00665595"/>
    <w:rsid w:val="0069341E"/>
    <w:rsid w:val="006A7392"/>
    <w:rsid w:val="006E564B"/>
    <w:rsid w:val="00713BD8"/>
    <w:rsid w:val="0072632A"/>
    <w:rsid w:val="00743CD6"/>
    <w:rsid w:val="00750602"/>
    <w:rsid w:val="00753377"/>
    <w:rsid w:val="00754E5F"/>
    <w:rsid w:val="00776D12"/>
    <w:rsid w:val="007B6BA5"/>
    <w:rsid w:val="007C3390"/>
    <w:rsid w:val="007C4F4B"/>
    <w:rsid w:val="007C672F"/>
    <w:rsid w:val="007F0B83"/>
    <w:rsid w:val="007F6611"/>
    <w:rsid w:val="008175E9"/>
    <w:rsid w:val="008242D7"/>
    <w:rsid w:val="00827E05"/>
    <w:rsid w:val="008311A3"/>
    <w:rsid w:val="00841EB5"/>
    <w:rsid w:val="00871FD5"/>
    <w:rsid w:val="0087389F"/>
    <w:rsid w:val="008979B1"/>
    <w:rsid w:val="008A6B25"/>
    <w:rsid w:val="008A6C4F"/>
    <w:rsid w:val="008B21F5"/>
    <w:rsid w:val="008C3804"/>
    <w:rsid w:val="008C7D7C"/>
    <w:rsid w:val="008E0E46"/>
    <w:rsid w:val="008E0F55"/>
    <w:rsid w:val="00907AD2"/>
    <w:rsid w:val="00963CBA"/>
    <w:rsid w:val="00974A8D"/>
    <w:rsid w:val="00991261"/>
    <w:rsid w:val="009F3A17"/>
    <w:rsid w:val="00A1427D"/>
    <w:rsid w:val="00A41529"/>
    <w:rsid w:val="00A569D6"/>
    <w:rsid w:val="00A72F22"/>
    <w:rsid w:val="00A748A6"/>
    <w:rsid w:val="00A85956"/>
    <w:rsid w:val="00A879A4"/>
    <w:rsid w:val="00AD0B8B"/>
    <w:rsid w:val="00B22F96"/>
    <w:rsid w:val="00B30179"/>
    <w:rsid w:val="00B32121"/>
    <w:rsid w:val="00B33EC0"/>
    <w:rsid w:val="00B701B3"/>
    <w:rsid w:val="00B81E12"/>
    <w:rsid w:val="00B8638C"/>
    <w:rsid w:val="00BC2683"/>
    <w:rsid w:val="00BC358D"/>
    <w:rsid w:val="00BC74E9"/>
    <w:rsid w:val="00BD2146"/>
    <w:rsid w:val="00BD538F"/>
    <w:rsid w:val="00BE4F74"/>
    <w:rsid w:val="00BE618E"/>
    <w:rsid w:val="00BF4A36"/>
    <w:rsid w:val="00C17699"/>
    <w:rsid w:val="00C41A28"/>
    <w:rsid w:val="00C463DD"/>
    <w:rsid w:val="00C711C7"/>
    <w:rsid w:val="00C745C3"/>
    <w:rsid w:val="00C84414"/>
    <w:rsid w:val="00CC3267"/>
    <w:rsid w:val="00CE4A8F"/>
    <w:rsid w:val="00CE5E33"/>
    <w:rsid w:val="00D11406"/>
    <w:rsid w:val="00D13D92"/>
    <w:rsid w:val="00D2031B"/>
    <w:rsid w:val="00D25FE2"/>
    <w:rsid w:val="00D317BB"/>
    <w:rsid w:val="00D43252"/>
    <w:rsid w:val="00D5540C"/>
    <w:rsid w:val="00D623A7"/>
    <w:rsid w:val="00D6614F"/>
    <w:rsid w:val="00D96AE1"/>
    <w:rsid w:val="00D978C6"/>
    <w:rsid w:val="00DA67AD"/>
    <w:rsid w:val="00DB4587"/>
    <w:rsid w:val="00DB5D0F"/>
    <w:rsid w:val="00DC3F07"/>
    <w:rsid w:val="00DC74B0"/>
    <w:rsid w:val="00DF12F7"/>
    <w:rsid w:val="00DF3A2D"/>
    <w:rsid w:val="00E02C81"/>
    <w:rsid w:val="00E130AB"/>
    <w:rsid w:val="00E506F0"/>
    <w:rsid w:val="00E50DF9"/>
    <w:rsid w:val="00E5682D"/>
    <w:rsid w:val="00E7260F"/>
    <w:rsid w:val="00E87921"/>
    <w:rsid w:val="00E96630"/>
    <w:rsid w:val="00EA0ED6"/>
    <w:rsid w:val="00EA264E"/>
    <w:rsid w:val="00ED7A2A"/>
    <w:rsid w:val="00EF1D7F"/>
    <w:rsid w:val="00F11B62"/>
    <w:rsid w:val="00F53EDA"/>
    <w:rsid w:val="00F7753D"/>
    <w:rsid w:val="00F85F34"/>
    <w:rsid w:val="00FA06F7"/>
    <w:rsid w:val="00FB171A"/>
    <w:rsid w:val="00FC68B7"/>
    <w:rsid w:val="00FD530E"/>
    <w:rsid w:val="00FD7BF6"/>
    <w:rsid w:val="00FF1D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note text" w:qFormat="1"/>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Normal (Web)" w:uiPriority="99"/>
    <w:lsdException w:name="No List" w:uiPriority="99"/>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C711C7"/>
    <w:pPr>
      <w:suppressAutoHyphens/>
      <w:spacing w:line="240" w:lineRule="atLeast"/>
    </w:pPr>
    <w:rPr>
      <w:lang w:eastAsia="en-US"/>
    </w:rPr>
  </w:style>
  <w:style w:type="paragraph" w:styleId="Heading1">
    <w:name w:val="heading 1"/>
    <w:aliases w:val="Table_G"/>
    <w:basedOn w:val="SingleTxtG"/>
    <w:next w:val="SingleTxtG"/>
    <w:link w:val="Heading1Char"/>
    <w:qFormat/>
    <w:rsid w:val="00503228"/>
    <w:pPr>
      <w:tabs>
        <w:tab w:val="num" w:pos="926"/>
      </w:tabs>
      <w:spacing w:after="0" w:line="240" w:lineRule="auto"/>
      <w:ind w:left="926" w:right="0" w:hanging="360"/>
      <w:jc w:val="left"/>
      <w:outlineLvl w:val="0"/>
    </w:pPr>
  </w:style>
  <w:style w:type="paragraph" w:styleId="Heading2">
    <w:name w:val="heading 2"/>
    <w:aliases w:val="H2"/>
    <w:basedOn w:val="Normal"/>
    <w:next w:val="Normal"/>
    <w:link w:val="Heading2Char"/>
    <w:qFormat/>
    <w:rsid w:val="00503228"/>
    <w:pPr>
      <w:numPr>
        <w:ilvl w:val="1"/>
        <w:numId w:val="5"/>
      </w:numPr>
      <w:spacing w:line="240" w:lineRule="auto"/>
      <w:outlineLvl w:val="1"/>
    </w:pPr>
  </w:style>
  <w:style w:type="paragraph" w:styleId="Heading3">
    <w:name w:val="heading 3"/>
    <w:basedOn w:val="Normal"/>
    <w:next w:val="Normal"/>
    <w:link w:val="Heading3Char"/>
    <w:qFormat/>
    <w:rsid w:val="00503228"/>
    <w:pPr>
      <w:numPr>
        <w:ilvl w:val="2"/>
        <w:numId w:val="5"/>
      </w:numPr>
      <w:spacing w:line="240" w:lineRule="auto"/>
      <w:outlineLvl w:val="2"/>
    </w:pPr>
  </w:style>
  <w:style w:type="paragraph" w:styleId="Heading4">
    <w:name w:val="heading 4"/>
    <w:basedOn w:val="Normal"/>
    <w:next w:val="Normal"/>
    <w:link w:val="Heading4Char"/>
    <w:qFormat/>
    <w:rsid w:val="00503228"/>
    <w:pPr>
      <w:numPr>
        <w:ilvl w:val="3"/>
        <w:numId w:val="5"/>
      </w:numPr>
      <w:spacing w:line="240" w:lineRule="auto"/>
      <w:outlineLvl w:val="3"/>
    </w:pPr>
  </w:style>
  <w:style w:type="paragraph" w:styleId="Heading5">
    <w:name w:val="heading 5"/>
    <w:basedOn w:val="Normal"/>
    <w:next w:val="Normal"/>
    <w:link w:val="Heading5Char"/>
    <w:qFormat/>
    <w:rsid w:val="00503228"/>
    <w:pPr>
      <w:numPr>
        <w:ilvl w:val="4"/>
        <w:numId w:val="5"/>
      </w:numPr>
      <w:spacing w:line="240" w:lineRule="auto"/>
      <w:outlineLvl w:val="4"/>
    </w:pPr>
  </w:style>
  <w:style w:type="paragraph" w:styleId="Heading6">
    <w:name w:val="heading 6"/>
    <w:basedOn w:val="Normal"/>
    <w:next w:val="Normal"/>
    <w:link w:val="Heading6Char"/>
    <w:qFormat/>
    <w:rsid w:val="00503228"/>
    <w:pPr>
      <w:numPr>
        <w:ilvl w:val="5"/>
        <w:numId w:val="5"/>
      </w:numPr>
      <w:spacing w:line="240" w:lineRule="auto"/>
      <w:outlineLvl w:val="5"/>
    </w:pPr>
  </w:style>
  <w:style w:type="paragraph" w:styleId="Heading7">
    <w:name w:val="heading 7"/>
    <w:basedOn w:val="Normal"/>
    <w:next w:val="Normal"/>
    <w:link w:val="Heading7Char"/>
    <w:qFormat/>
    <w:rsid w:val="00503228"/>
    <w:pPr>
      <w:numPr>
        <w:ilvl w:val="6"/>
        <w:numId w:val="5"/>
      </w:numPr>
      <w:spacing w:line="240" w:lineRule="auto"/>
      <w:outlineLvl w:val="6"/>
    </w:pPr>
  </w:style>
  <w:style w:type="paragraph" w:styleId="Heading8">
    <w:name w:val="heading 8"/>
    <w:basedOn w:val="Normal"/>
    <w:next w:val="Normal"/>
    <w:link w:val="Heading8Char"/>
    <w:qFormat/>
    <w:rsid w:val="00503228"/>
    <w:pPr>
      <w:numPr>
        <w:ilvl w:val="7"/>
        <w:numId w:val="5"/>
      </w:numPr>
      <w:spacing w:line="240" w:lineRule="auto"/>
      <w:outlineLvl w:val="7"/>
    </w:pPr>
  </w:style>
  <w:style w:type="paragraph" w:styleId="Heading9">
    <w:name w:val="heading 9"/>
    <w:basedOn w:val="Normal"/>
    <w:next w:val="Normal"/>
    <w:link w:val="Heading9Char"/>
    <w:qFormat/>
    <w:rsid w:val="00503228"/>
    <w:pPr>
      <w:numPr>
        <w:ilvl w:val="8"/>
        <w:numId w:val="5"/>
      </w:numPr>
      <w:spacing w:line="240" w:lineRule="auto"/>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ingleTxtG">
    <w:name w:val="_ Single Txt_G"/>
    <w:basedOn w:val="Normal"/>
    <w:link w:val="SingleTxtGChar"/>
    <w:qFormat/>
    <w:rsid w:val="00503228"/>
    <w:pPr>
      <w:spacing w:after="120"/>
      <w:ind w:left="1134" w:right="1134"/>
      <w:jc w:val="both"/>
    </w:pPr>
  </w:style>
  <w:style w:type="paragraph" w:customStyle="1" w:styleId="HMG">
    <w:name w:val="_ H __M_G"/>
    <w:basedOn w:val="Normal"/>
    <w:next w:val="Normal"/>
    <w:rsid w:val="00503228"/>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503228"/>
    <w:pPr>
      <w:keepNext/>
      <w:keepLines/>
      <w:tabs>
        <w:tab w:val="right" w:pos="851"/>
      </w:tabs>
      <w:spacing w:before="360" w:after="240" w:line="300" w:lineRule="exact"/>
      <w:ind w:left="1134" w:right="1134" w:hanging="1134"/>
    </w:pPr>
    <w:rPr>
      <w:b/>
      <w:sz w:val="28"/>
    </w:rPr>
  </w:style>
  <w:style w:type="character" w:styleId="FootnoteReference">
    <w:name w:val="footnote reference"/>
    <w:aliases w:val="4_G,(Footnote Reference),-E Fußnotenzeichen,BVI fnr, BVI fnr,Footnote symbol,Footnote,Footnote Reference Superscript,SUPERS"/>
    <w:rsid w:val="00503228"/>
    <w:rPr>
      <w:rFonts w:ascii="Times New Roman" w:hAnsi="Times New Roman"/>
      <w:sz w:val="18"/>
      <w:vertAlign w:val="superscript"/>
    </w:rPr>
  </w:style>
  <w:style w:type="character" w:styleId="EndnoteReference">
    <w:name w:val="endnote reference"/>
    <w:aliases w:val="1_G"/>
    <w:rsid w:val="00503228"/>
    <w:rPr>
      <w:rFonts w:ascii="Times New Roman" w:hAnsi="Times New Roman"/>
      <w:sz w:val="18"/>
      <w:vertAlign w:val="superscript"/>
    </w:rPr>
  </w:style>
  <w:style w:type="paragraph" w:styleId="Header">
    <w:name w:val="header"/>
    <w:aliases w:val="6_G"/>
    <w:basedOn w:val="Normal"/>
    <w:link w:val="HeaderChar"/>
    <w:rsid w:val="00503228"/>
    <w:pPr>
      <w:pBdr>
        <w:bottom w:val="single" w:sz="4" w:space="4" w:color="auto"/>
      </w:pBdr>
      <w:spacing w:line="240" w:lineRule="auto"/>
    </w:pPr>
    <w:rPr>
      <w:b/>
      <w:sz w:val="18"/>
    </w:rPr>
  </w:style>
  <w:style w:type="table" w:styleId="TableGrid">
    <w:name w:val="Table Grid"/>
    <w:basedOn w:val="TableNormal"/>
    <w:semiHidden/>
    <w:rsid w:val="00503228"/>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character" w:styleId="Hyperlink">
    <w:name w:val="Hyperlink"/>
    <w:uiPriority w:val="99"/>
    <w:rsid w:val="00503228"/>
    <w:rPr>
      <w:color w:val="auto"/>
      <w:u w:val="none"/>
    </w:rPr>
  </w:style>
  <w:style w:type="character" w:styleId="FollowedHyperlink">
    <w:name w:val="FollowedHyperlink"/>
    <w:semiHidden/>
    <w:rsid w:val="00503228"/>
    <w:rPr>
      <w:color w:val="auto"/>
      <w:u w:val="none"/>
    </w:rPr>
  </w:style>
  <w:style w:type="paragraph" w:customStyle="1" w:styleId="SMG">
    <w:name w:val="__S_M_G"/>
    <w:basedOn w:val="Normal"/>
    <w:next w:val="Normal"/>
    <w:rsid w:val="00503228"/>
    <w:pPr>
      <w:keepNext/>
      <w:keepLines/>
      <w:spacing w:before="240" w:after="240" w:line="420" w:lineRule="exact"/>
      <w:ind w:left="1134" w:right="1134"/>
    </w:pPr>
    <w:rPr>
      <w:b/>
      <w:sz w:val="40"/>
    </w:rPr>
  </w:style>
  <w:style w:type="paragraph" w:customStyle="1" w:styleId="SLG">
    <w:name w:val="__S_L_G"/>
    <w:basedOn w:val="Normal"/>
    <w:next w:val="Normal"/>
    <w:rsid w:val="00503228"/>
    <w:pPr>
      <w:keepNext/>
      <w:keepLines/>
      <w:spacing w:before="240" w:after="240" w:line="580" w:lineRule="exact"/>
      <w:ind w:left="1134" w:right="1134"/>
    </w:pPr>
    <w:rPr>
      <w:b/>
      <w:sz w:val="56"/>
    </w:rPr>
  </w:style>
  <w:style w:type="paragraph" w:customStyle="1" w:styleId="SSG">
    <w:name w:val="__S_S_G"/>
    <w:basedOn w:val="Normal"/>
    <w:next w:val="Normal"/>
    <w:rsid w:val="00503228"/>
    <w:pPr>
      <w:keepNext/>
      <w:keepLines/>
      <w:spacing w:before="240" w:after="240" w:line="300" w:lineRule="exact"/>
      <w:ind w:left="1134" w:right="1134"/>
    </w:pPr>
    <w:rPr>
      <w:b/>
      <w:sz w:val="28"/>
    </w:rPr>
  </w:style>
  <w:style w:type="paragraph" w:styleId="FootnoteText">
    <w:name w:val="footnote text"/>
    <w:aliases w:val="5_G,PP"/>
    <w:basedOn w:val="Normal"/>
    <w:link w:val="FootnoteTextChar"/>
    <w:qFormat/>
    <w:rsid w:val="00503228"/>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503228"/>
  </w:style>
  <w:style w:type="character" w:styleId="PageNumber">
    <w:name w:val="page number"/>
    <w:aliases w:val="7_G"/>
    <w:rsid w:val="00503228"/>
    <w:rPr>
      <w:rFonts w:ascii="Times New Roman" w:hAnsi="Times New Roman"/>
      <w:b/>
      <w:sz w:val="18"/>
    </w:rPr>
  </w:style>
  <w:style w:type="paragraph" w:customStyle="1" w:styleId="XLargeG">
    <w:name w:val="__XLarge_G"/>
    <w:basedOn w:val="Normal"/>
    <w:next w:val="Normal"/>
    <w:rsid w:val="00503228"/>
    <w:pPr>
      <w:keepNext/>
      <w:keepLines/>
      <w:spacing w:before="240" w:after="240" w:line="420" w:lineRule="exact"/>
      <w:ind w:left="1134" w:right="1134"/>
    </w:pPr>
    <w:rPr>
      <w:b/>
      <w:sz w:val="40"/>
    </w:rPr>
  </w:style>
  <w:style w:type="paragraph" w:customStyle="1" w:styleId="Bullet1G">
    <w:name w:val="_Bullet 1_G"/>
    <w:basedOn w:val="Normal"/>
    <w:rsid w:val="00503228"/>
    <w:pPr>
      <w:numPr>
        <w:numId w:val="1"/>
      </w:numPr>
      <w:spacing w:after="120"/>
      <w:ind w:right="1134"/>
      <w:jc w:val="both"/>
    </w:pPr>
  </w:style>
  <w:style w:type="paragraph" w:styleId="Footer">
    <w:name w:val="footer"/>
    <w:aliases w:val="3_G"/>
    <w:basedOn w:val="Normal"/>
    <w:link w:val="FooterChar"/>
    <w:uiPriority w:val="99"/>
    <w:rsid w:val="00503228"/>
    <w:pPr>
      <w:spacing w:line="240" w:lineRule="auto"/>
    </w:pPr>
    <w:rPr>
      <w:sz w:val="16"/>
    </w:rPr>
  </w:style>
  <w:style w:type="paragraph" w:customStyle="1" w:styleId="Bullet2G">
    <w:name w:val="_Bullet 2_G"/>
    <w:basedOn w:val="Normal"/>
    <w:rsid w:val="00503228"/>
    <w:pPr>
      <w:numPr>
        <w:numId w:val="2"/>
      </w:numPr>
      <w:spacing w:after="120"/>
      <w:ind w:right="1134"/>
      <w:jc w:val="both"/>
    </w:pPr>
  </w:style>
  <w:style w:type="paragraph" w:customStyle="1" w:styleId="H1G">
    <w:name w:val="_ H_1_G"/>
    <w:basedOn w:val="Normal"/>
    <w:next w:val="Normal"/>
    <w:link w:val="H1GChar"/>
    <w:qFormat/>
    <w:rsid w:val="00503228"/>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rsid w:val="00503228"/>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503228"/>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503228"/>
    <w:pPr>
      <w:keepNext/>
      <w:keepLines/>
      <w:tabs>
        <w:tab w:val="right" w:pos="851"/>
      </w:tabs>
      <w:spacing w:before="240" w:after="120" w:line="240" w:lineRule="exact"/>
      <w:ind w:left="1134" w:right="1134" w:hanging="1134"/>
    </w:pPr>
  </w:style>
  <w:style w:type="character" w:customStyle="1" w:styleId="H1GChar">
    <w:name w:val="_ H_1_G Char"/>
    <w:link w:val="H1G"/>
    <w:rsid w:val="00C711C7"/>
    <w:rPr>
      <w:b/>
      <w:sz w:val="24"/>
      <w:lang w:eastAsia="en-US"/>
    </w:rPr>
  </w:style>
  <w:style w:type="character" w:customStyle="1" w:styleId="SingleTxtGChar">
    <w:name w:val="_ Single Txt_G Char"/>
    <w:link w:val="SingleTxtG"/>
    <w:rsid w:val="00C711C7"/>
    <w:rPr>
      <w:lang w:eastAsia="en-US"/>
    </w:rPr>
  </w:style>
  <w:style w:type="character" w:customStyle="1" w:styleId="FootnoteTextChar">
    <w:name w:val="Footnote Text Char"/>
    <w:aliases w:val="5_G Char,PP Char"/>
    <w:link w:val="FootnoteText"/>
    <w:rsid w:val="00C711C7"/>
    <w:rPr>
      <w:sz w:val="18"/>
      <w:lang w:eastAsia="en-US"/>
    </w:rPr>
  </w:style>
  <w:style w:type="character" w:customStyle="1" w:styleId="HChGChar">
    <w:name w:val="_ H _Ch_G Char"/>
    <w:link w:val="HChG"/>
    <w:rsid w:val="00C711C7"/>
    <w:rPr>
      <w:b/>
      <w:sz w:val="28"/>
      <w:lang w:eastAsia="en-US"/>
    </w:rPr>
  </w:style>
  <w:style w:type="paragraph" w:customStyle="1" w:styleId="para">
    <w:name w:val="para"/>
    <w:basedOn w:val="SingleTxtG"/>
    <w:link w:val="paraChar"/>
    <w:qFormat/>
    <w:rsid w:val="00C711C7"/>
    <w:pPr>
      <w:ind w:left="2268" w:hanging="1134"/>
    </w:pPr>
  </w:style>
  <w:style w:type="character" w:styleId="Emphasis">
    <w:name w:val="Emphasis"/>
    <w:uiPriority w:val="20"/>
    <w:qFormat/>
    <w:rsid w:val="00C711C7"/>
    <w:rPr>
      <w:i/>
      <w:iCs/>
    </w:rPr>
  </w:style>
  <w:style w:type="paragraph" w:customStyle="1" w:styleId="a">
    <w:name w:val="(a)"/>
    <w:basedOn w:val="para"/>
    <w:qFormat/>
    <w:rsid w:val="00C711C7"/>
    <w:pPr>
      <w:ind w:left="2835" w:hanging="567"/>
    </w:pPr>
  </w:style>
  <w:style w:type="paragraph" w:customStyle="1" w:styleId="i">
    <w:name w:val="(i)"/>
    <w:basedOn w:val="a"/>
    <w:qFormat/>
    <w:rsid w:val="00C711C7"/>
    <w:pPr>
      <w:ind w:left="3402"/>
    </w:pPr>
  </w:style>
  <w:style w:type="paragraph" w:customStyle="1" w:styleId="bloc">
    <w:name w:val="bloc"/>
    <w:basedOn w:val="para"/>
    <w:qFormat/>
    <w:rsid w:val="00C711C7"/>
    <w:pPr>
      <w:ind w:firstLine="0"/>
    </w:pPr>
  </w:style>
  <w:style w:type="character" w:customStyle="1" w:styleId="FooterChar">
    <w:name w:val="Footer Char"/>
    <w:aliases w:val="3_G Char"/>
    <w:link w:val="Footer"/>
    <w:uiPriority w:val="99"/>
    <w:rsid w:val="00D623A7"/>
    <w:rPr>
      <w:sz w:val="16"/>
      <w:lang w:eastAsia="en-US"/>
    </w:rPr>
  </w:style>
  <w:style w:type="character" w:styleId="CommentReference">
    <w:name w:val="annotation reference"/>
    <w:rsid w:val="00B701B3"/>
    <w:rPr>
      <w:sz w:val="16"/>
      <w:szCs w:val="16"/>
    </w:rPr>
  </w:style>
  <w:style w:type="paragraph" w:styleId="CommentText">
    <w:name w:val="annotation text"/>
    <w:basedOn w:val="Normal"/>
    <w:link w:val="CommentTextChar"/>
    <w:rsid w:val="00B701B3"/>
  </w:style>
  <w:style w:type="character" w:customStyle="1" w:styleId="CommentTextChar">
    <w:name w:val="Comment Text Char"/>
    <w:link w:val="CommentText"/>
    <w:rsid w:val="00B701B3"/>
    <w:rPr>
      <w:lang w:eastAsia="en-US"/>
    </w:rPr>
  </w:style>
  <w:style w:type="paragraph" w:styleId="CommentSubject">
    <w:name w:val="annotation subject"/>
    <w:basedOn w:val="CommentText"/>
    <w:next w:val="CommentText"/>
    <w:link w:val="CommentSubjectChar"/>
    <w:rsid w:val="00B701B3"/>
    <w:rPr>
      <w:b/>
      <w:bCs/>
    </w:rPr>
  </w:style>
  <w:style w:type="character" w:customStyle="1" w:styleId="CommentSubjectChar">
    <w:name w:val="Comment Subject Char"/>
    <w:link w:val="CommentSubject"/>
    <w:rsid w:val="00B701B3"/>
    <w:rPr>
      <w:b/>
      <w:bCs/>
      <w:lang w:eastAsia="en-US"/>
    </w:rPr>
  </w:style>
  <w:style w:type="paragraph" w:styleId="BalloonText">
    <w:name w:val="Balloon Text"/>
    <w:basedOn w:val="Normal"/>
    <w:link w:val="BalloonTextChar"/>
    <w:rsid w:val="00B701B3"/>
    <w:pPr>
      <w:spacing w:line="240" w:lineRule="auto"/>
    </w:pPr>
    <w:rPr>
      <w:rFonts w:ascii="Tahoma" w:hAnsi="Tahoma" w:cs="Tahoma"/>
      <w:sz w:val="16"/>
      <w:szCs w:val="16"/>
    </w:rPr>
  </w:style>
  <w:style w:type="character" w:customStyle="1" w:styleId="BalloonTextChar">
    <w:name w:val="Balloon Text Char"/>
    <w:link w:val="BalloonText"/>
    <w:rsid w:val="00B701B3"/>
    <w:rPr>
      <w:rFonts w:ascii="Tahoma" w:hAnsi="Tahoma" w:cs="Tahoma"/>
      <w:sz w:val="16"/>
      <w:szCs w:val="16"/>
      <w:lang w:eastAsia="en-US"/>
    </w:rPr>
  </w:style>
  <w:style w:type="paragraph" w:styleId="PlainText">
    <w:name w:val="Plain Text"/>
    <w:basedOn w:val="Normal"/>
    <w:link w:val="PlainTextChar"/>
    <w:rsid w:val="00D11406"/>
    <w:rPr>
      <w:rFonts w:cs="Courier New"/>
    </w:rPr>
  </w:style>
  <w:style w:type="character" w:customStyle="1" w:styleId="PlainTextChar">
    <w:name w:val="Plain Text Char"/>
    <w:basedOn w:val="DefaultParagraphFont"/>
    <w:link w:val="PlainText"/>
    <w:rsid w:val="00D11406"/>
    <w:rPr>
      <w:rFonts w:cs="Courier New"/>
      <w:lang w:eastAsia="en-US"/>
    </w:rPr>
  </w:style>
  <w:style w:type="paragraph" w:styleId="BodyText">
    <w:name w:val="Body Text"/>
    <w:basedOn w:val="Normal"/>
    <w:next w:val="Normal"/>
    <w:link w:val="BodyTextChar"/>
    <w:rsid w:val="00D11406"/>
  </w:style>
  <w:style w:type="character" w:customStyle="1" w:styleId="BodyTextChar">
    <w:name w:val="Body Text Char"/>
    <w:basedOn w:val="DefaultParagraphFont"/>
    <w:link w:val="BodyText"/>
    <w:rsid w:val="00D11406"/>
    <w:rPr>
      <w:lang w:eastAsia="en-US"/>
    </w:rPr>
  </w:style>
  <w:style w:type="paragraph" w:styleId="BodyTextIndent">
    <w:name w:val="Body Text Indent"/>
    <w:basedOn w:val="Normal"/>
    <w:link w:val="BodyTextIndentChar"/>
    <w:rsid w:val="00D11406"/>
    <w:pPr>
      <w:spacing w:after="120"/>
      <w:ind w:left="283"/>
    </w:pPr>
  </w:style>
  <w:style w:type="character" w:customStyle="1" w:styleId="BodyTextIndentChar">
    <w:name w:val="Body Text Indent Char"/>
    <w:basedOn w:val="DefaultParagraphFont"/>
    <w:link w:val="BodyTextIndent"/>
    <w:rsid w:val="00D11406"/>
    <w:rPr>
      <w:lang w:eastAsia="en-US"/>
    </w:rPr>
  </w:style>
  <w:style w:type="paragraph" w:styleId="BlockText">
    <w:name w:val="Block Text"/>
    <w:basedOn w:val="Normal"/>
    <w:rsid w:val="00D11406"/>
    <w:pPr>
      <w:ind w:left="1440" w:right="1440"/>
    </w:pPr>
  </w:style>
  <w:style w:type="character" w:styleId="LineNumber">
    <w:name w:val="line number"/>
    <w:rsid w:val="00D11406"/>
    <w:rPr>
      <w:sz w:val="14"/>
    </w:rPr>
  </w:style>
  <w:style w:type="numbering" w:styleId="111111">
    <w:name w:val="Outline List 2"/>
    <w:basedOn w:val="NoList"/>
    <w:rsid w:val="00D11406"/>
    <w:pPr>
      <w:numPr>
        <w:numId w:val="13"/>
      </w:numPr>
    </w:pPr>
  </w:style>
  <w:style w:type="numbering" w:styleId="1ai">
    <w:name w:val="Outline List 1"/>
    <w:basedOn w:val="NoList"/>
    <w:rsid w:val="00D11406"/>
    <w:pPr>
      <w:numPr>
        <w:numId w:val="14"/>
      </w:numPr>
    </w:pPr>
  </w:style>
  <w:style w:type="numbering" w:styleId="ArticleSection">
    <w:name w:val="Outline List 3"/>
    <w:basedOn w:val="NoList"/>
    <w:rsid w:val="00D11406"/>
    <w:pPr>
      <w:numPr>
        <w:numId w:val="15"/>
      </w:numPr>
    </w:pPr>
  </w:style>
  <w:style w:type="paragraph" w:styleId="BodyText2">
    <w:name w:val="Body Text 2"/>
    <w:basedOn w:val="Normal"/>
    <w:link w:val="BodyText2Char"/>
    <w:rsid w:val="00D11406"/>
    <w:pPr>
      <w:spacing w:after="120" w:line="480" w:lineRule="auto"/>
    </w:pPr>
  </w:style>
  <w:style w:type="character" w:customStyle="1" w:styleId="BodyText2Char">
    <w:name w:val="Body Text 2 Char"/>
    <w:basedOn w:val="DefaultParagraphFont"/>
    <w:link w:val="BodyText2"/>
    <w:rsid w:val="00D11406"/>
    <w:rPr>
      <w:lang w:eastAsia="en-US"/>
    </w:rPr>
  </w:style>
  <w:style w:type="paragraph" w:styleId="BodyText3">
    <w:name w:val="Body Text 3"/>
    <w:basedOn w:val="Normal"/>
    <w:link w:val="BodyText3Char"/>
    <w:rsid w:val="00D11406"/>
    <w:pPr>
      <w:spacing w:after="120"/>
    </w:pPr>
    <w:rPr>
      <w:sz w:val="16"/>
      <w:szCs w:val="16"/>
    </w:rPr>
  </w:style>
  <w:style w:type="character" w:customStyle="1" w:styleId="BodyText3Char">
    <w:name w:val="Body Text 3 Char"/>
    <w:basedOn w:val="DefaultParagraphFont"/>
    <w:link w:val="BodyText3"/>
    <w:rsid w:val="00D11406"/>
    <w:rPr>
      <w:sz w:val="16"/>
      <w:szCs w:val="16"/>
      <w:lang w:eastAsia="en-US"/>
    </w:rPr>
  </w:style>
  <w:style w:type="paragraph" w:styleId="BodyTextFirstIndent">
    <w:name w:val="Body Text First Indent"/>
    <w:basedOn w:val="BodyText"/>
    <w:link w:val="BodyTextFirstIndentChar"/>
    <w:rsid w:val="00D11406"/>
    <w:pPr>
      <w:spacing w:after="120"/>
      <w:ind w:firstLine="210"/>
    </w:pPr>
  </w:style>
  <w:style w:type="character" w:customStyle="1" w:styleId="BodyTextFirstIndentChar">
    <w:name w:val="Body Text First Indent Char"/>
    <w:basedOn w:val="BodyTextChar"/>
    <w:link w:val="BodyTextFirstIndent"/>
    <w:rsid w:val="00D11406"/>
    <w:rPr>
      <w:lang w:eastAsia="en-US"/>
    </w:rPr>
  </w:style>
  <w:style w:type="paragraph" w:styleId="BodyTextFirstIndent2">
    <w:name w:val="Body Text First Indent 2"/>
    <w:basedOn w:val="BodyTextIndent"/>
    <w:link w:val="BodyTextFirstIndent2Char"/>
    <w:rsid w:val="00D11406"/>
    <w:pPr>
      <w:ind w:firstLine="210"/>
    </w:pPr>
  </w:style>
  <w:style w:type="character" w:customStyle="1" w:styleId="BodyTextFirstIndent2Char">
    <w:name w:val="Body Text First Indent 2 Char"/>
    <w:basedOn w:val="BodyTextIndentChar"/>
    <w:link w:val="BodyTextFirstIndent2"/>
    <w:rsid w:val="00D11406"/>
    <w:rPr>
      <w:lang w:eastAsia="en-US"/>
    </w:rPr>
  </w:style>
  <w:style w:type="paragraph" w:styleId="BodyTextIndent2">
    <w:name w:val="Body Text Indent 2"/>
    <w:basedOn w:val="Normal"/>
    <w:link w:val="BodyTextIndent2Char"/>
    <w:rsid w:val="00D11406"/>
    <w:pPr>
      <w:spacing w:after="120" w:line="480" w:lineRule="auto"/>
      <w:ind w:left="283"/>
    </w:pPr>
  </w:style>
  <w:style w:type="character" w:customStyle="1" w:styleId="BodyTextIndent2Char">
    <w:name w:val="Body Text Indent 2 Char"/>
    <w:basedOn w:val="DefaultParagraphFont"/>
    <w:link w:val="BodyTextIndent2"/>
    <w:rsid w:val="00D11406"/>
    <w:rPr>
      <w:lang w:eastAsia="en-US"/>
    </w:rPr>
  </w:style>
  <w:style w:type="paragraph" w:styleId="BodyTextIndent3">
    <w:name w:val="Body Text Indent 3"/>
    <w:basedOn w:val="Normal"/>
    <w:link w:val="BodyTextIndent3Char"/>
    <w:rsid w:val="00D11406"/>
    <w:pPr>
      <w:spacing w:after="120"/>
      <w:ind w:left="283"/>
    </w:pPr>
    <w:rPr>
      <w:sz w:val="16"/>
      <w:szCs w:val="16"/>
    </w:rPr>
  </w:style>
  <w:style w:type="character" w:customStyle="1" w:styleId="BodyTextIndent3Char">
    <w:name w:val="Body Text Indent 3 Char"/>
    <w:basedOn w:val="DefaultParagraphFont"/>
    <w:link w:val="BodyTextIndent3"/>
    <w:rsid w:val="00D11406"/>
    <w:rPr>
      <w:sz w:val="16"/>
      <w:szCs w:val="16"/>
      <w:lang w:eastAsia="en-US"/>
    </w:rPr>
  </w:style>
  <w:style w:type="paragraph" w:styleId="Closing">
    <w:name w:val="Closing"/>
    <w:basedOn w:val="Normal"/>
    <w:link w:val="ClosingChar"/>
    <w:rsid w:val="00D11406"/>
    <w:pPr>
      <w:ind w:left="4252"/>
    </w:pPr>
  </w:style>
  <w:style w:type="character" w:customStyle="1" w:styleId="ClosingChar">
    <w:name w:val="Closing Char"/>
    <w:basedOn w:val="DefaultParagraphFont"/>
    <w:link w:val="Closing"/>
    <w:rsid w:val="00D11406"/>
    <w:rPr>
      <w:lang w:eastAsia="en-US"/>
    </w:rPr>
  </w:style>
  <w:style w:type="paragraph" w:styleId="Date">
    <w:name w:val="Date"/>
    <w:basedOn w:val="Normal"/>
    <w:next w:val="Normal"/>
    <w:link w:val="DateChar"/>
    <w:rsid w:val="00D11406"/>
  </w:style>
  <w:style w:type="character" w:customStyle="1" w:styleId="DateChar">
    <w:name w:val="Date Char"/>
    <w:basedOn w:val="DefaultParagraphFont"/>
    <w:link w:val="Date"/>
    <w:rsid w:val="00D11406"/>
    <w:rPr>
      <w:lang w:eastAsia="en-US"/>
    </w:rPr>
  </w:style>
  <w:style w:type="paragraph" w:styleId="E-mailSignature">
    <w:name w:val="E-mail Signature"/>
    <w:basedOn w:val="Normal"/>
    <w:link w:val="E-mailSignatureChar"/>
    <w:rsid w:val="00D11406"/>
  </w:style>
  <w:style w:type="character" w:customStyle="1" w:styleId="E-mailSignatureChar">
    <w:name w:val="E-mail Signature Char"/>
    <w:basedOn w:val="DefaultParagraphFont"/>
    <w:link w:val="E-mailSignature"/>
    <w:rsid w:val="00D11406"/>
    <w:rPr>
      <w:lang w:eastAsia="en-US"/>
    </w:rPr>
  </w:style>
  <w:style w:type="paragraph" w:styleId="EnvelopeReturn">
    <w:name w:val="envelope return"/>
    <w:basedOn w:val="Normal"/>
    <w:rsid w:val="00D11406"/>
    <w:rPr>
      <w:rFonts w:ascii="Arial" w:hAnsi="Arial" w:cs="Arial"/>
    </w:rPr>
  </w:style>
  <w:style w:type="character" w:styleId="HTMLAcronym">
    <w:name w:val="HTML Acronym"/>
    <w:basedOn w:val="DefaultParagraphFont"/>
    <w:rsid w:val="00D11406"/>
  </w:style>
  <w:style w:type="paragraph" w:styleId="HTMLAddress">
    <w:name w:val="HTML Address"/>
    <w:basedOn w:val="Normal"/>
    <w:link w:val="HTMLAddressChar"/>
    <w:rsid w:val="00D11406"/>
    <w:rPr>
      <w:i/>
      <w:iCs/>
    </w:rPr>
  </w:style>
  <w:style w:type="character" w:customStyle="1" w:styleId="HTMLAddressChar">
    <w:name w:val="HTML Address Char"/>
    <w:basedOn w:val="DefaultParagraphFont"/>
    <w:link w:val="HTMLAddress"/>
    <w:rsid w:val="00D11406"/>
    <w:rPr>
      <w:i/>
      <w:iCs/>
      <w:lang w:eastAsia="en-US"/>
    </w:rPr>
  </w:style>
  <w:style w:type="character" w:styleId="HTMLCite">
    <w:name w:val="HTML Cite"/>
    <w:rsid w:val="00D11406"/>
    <w:rPr>
      <w:i/>
      <w:iCs/>
    </w:rPr>
  </w:style>
  <w:style w:type="character" w:styleId="HTMLCode">
    <w:name w:val="HTML Code"/>
    <w:rsid w:val="00D11406"/>
    <w:rPr>
      <w:rFonts w:ascii="Courier New" w:hAnsi="Courier New" w:cs="Courier New"/>
      <w:sz w:val="20"/>
      <w:szCs w:val="20"/>
    </w:rPr>
  </w:style>
  <w:style w:type="character" w:styleId="HTMLDefinition">
    <w:name w:val="HTML Definition"/>
    <w:rsid w:val="00D11406"/>
    <w:rPr>
      <w:i/>
      <w:iCs/>
    </w:rPr>
  </w:style>
  <w:style w:type="character" w:styleId="HTMLKeyboard">
    <w:name w:val="HTML Keyboard"/>
    <w:rsid w:val="00D11406"/>
    <w:rPr>
      <w:rFonts w:ascii="Courier New" w:hAnsi="Courier New" w:cs="Courier New"/>
      <w:sz w:val="20"/>
      <w:szCs w:val="20"/>
    </w:rPr>
  </w:style>
  <w:style w:type="paragraph" w:styleId="HTMLPreformatted">
    <w:name w:val="HTML Preformatted"/>
    <w:basedOn w:val="Normal"/>
    <w:link w:val="HTMLPreformattedChar"/>
    <w:rsid w:val="00D11406"/>
    <w:rPr>
      <w:rFonts w:ascii="Courier New" w:hAnsi="Courier New" w:cs="Courier New"/>
    </w:rPr>
  </w:style>
  <w:style w:type="character" w:customStyle="1" w:styleId="HTMLPreformattedChar">
    <w:name w:val="HTML Preformatted Char"/>
    <w:basedOn w:val="DefaultParagraphFont"/>
    <w:link w:val="HTMLPreformatted"/>
    <w:rsid w:val="00D11406"/>
    <w:rPr>
      <w:rFonts w:ascii="Courier New" w:hAnsi="Courier New" w:cs="Courier New"/>
      <w:lang w:eastAsia="en-US"/>
    </w:rPr>
  </w:style>
  <w:style w:type="character" w:styleId="HTMLSample">
    <w:name w:val="HTML Sample"/>
    <w:rsid w:val="00D11406"/>
    <w:rPr>
      <w:rFonts w:ascii="Courier New" w:hAnsi="Courier New" w:cs="Courier New"/>
    </w:rPr>
  </w:style>
  <w:style w:type="character" w:styleId="HTMLTypewriter">
    <w:name w:val="HTML Typewriter"/>
    <w:rsid w:val="00D11406"/>
    <w:rPr>
      <w:rFonts w:ascii="Courier New" w:hAnsi="Courier New" w:cs="Courier New"/>
      <w:sz w:val="20"/>
      <w:szCs w:val="20"/>
    </w:rPr>
  </w:style>
  <w:style w:type="character" w:styleId="HTMLVariable">
    <w:name w:val="HTML Variable"/>
    <w:rsid w:val="00D11406"/>
    <w:rPr>
      <w:i/>
      <w:iCs/>
    </w:rPr>
  </w:style>
  <w:style w:type="paragraph" w:styleId="List">
    <w:name w:val="List"/>
    <w:basedOn w:val="Normal"/>
    <w:rsid w:val="00D11406"/>
    <w:pPr>
      <w:ind w:left="283" w:hanging="283"/>
    </w:pPr>
  </w:style>
  <w:style w:type="paragraph" w:styleId="List2">
    <w:name w:val="List 2"/>
    <w:basedOn w:val="Normal"/>
    <w:rsid w:val="00D11406"/>
    <w:pPr>
      <w:ind w:left="566" w:hanging="283"/>
    </w:pPr>
  </w:style>
  <w:style w:type="paragraph" w:styleId="List3">
    <w:name w:val="List 3"/>
    <w:basedOn w:val="Normal"/>
    <w:rsid w:val="00D11406"/>
    <w:pPr>
      <w:ind w:left="849" w:hanging="283"/>
    </w:pPr>
  </w:style>
  <w:style w:type="paragraph" w:styleId="List4">
    <w:name w:val="List 4"/>
    <w:basedOn w:val="Normal"/>
    <w:rsid w:val="00D11406"/>
    <w:pPr>
      <w:ind w:left="1132" w:hanging="283"/>
    </w:pPr>
  </w:style>
  <w:style w:type="paragraph" w:styleId="List5">
    <w:name w:val="List 5"/>
    <w:basedOn w:val="Normal"/>
    <w:rsid w:val="00D11406"/>
    <w:pPr>
      <w:ind w:left="1415" w:hanging="283"/>
    </w:pPr>
  </w:style>
  <w:style w:type="paragraph" w:styleId="ListBullet">
    <w:name w:val="List Bullet"/>
    <w:basedOn w:val="Normal"/>
    <w:rsid w:val="00D11406"/>
    <w:pPr>
      <w:numPr>
        <w:numId w:val="8"/>
      </w:numPr>
    </w:pPr>
  </w:style>
  <w:style w:type="paragraph" w:styleId="ListBullet2">
    <w:name w:val="List Bullet 2"/>
    <w:basedOn w:val="Normal"/>
    <w:rsid w:val="00D11406"/>
    <w:pPr>
      <w:numPr>
        <w:numId w:val="9"/>
      </w:numPr>
    </w:pPr>
  </w:style>
  <w:style w:type="paragraph" w:styleId="ListBullet3">
    <w:name w:val="List Bullet 3"/>
    <w:basedOn w:val="Normal"/>
    <w:rsid w:val="00D11406"/>
    <w:pPr>
      <w:numPr>
        <w:numId w:val="10"/>
      </w:numPr>
    </w:pPr>
  </w:style>
  <w:style w:type="paragraph" w:styleId="ListBullet4">
    <w:name w:val="List Bullet 4"/>
    <w:basedOn w:val="Normal"/>
    <w:rsid w:val="00D11406"/>
    <w:pPr>
      <w:numPr>
        <w:numId w:val="11"/>
      </w:numPr>
    </w:pPr>
  </w:style>
  <w:style w:type="paragraph" w:styleId="ListBullet5">
    <w:name w:val="List Bullet 5"/>
    <w:basedOn w:val="Normal"/>
    <w:rsid w:val="00D11406"/>
    <w:pPr>
      <w:numPr>
        <w:numId w:val="12"/>
      </w:numPr>
    </w:pPr>
  </w:style>
  <w:style w:type="paragraph" w:styleId="ListContinue">
    <w:name w:val="List Continue"/>
    <w:basedOn w:val="Normal"/>
    <w:rsid w:val="00D11406"/>
    <w:pPr>
      <w:spacing w:after="120"/>
      <w:ind w:left="283"/>
    </w:pPr>
  </w:style>
  <w:style w:type="paragraph" w:styleId="ListContinue2">
    <w:name w:val="List Continue 2"/>
    <w:basedOn w:val="Normal"/>
    <w:rsid w:val="00D11406"/>
    <w:pPr>
      <w:spacing w:after="120"/>
      <w:ind w:left="566"/>
    </w:pPr>
  </w:style>
  <w:style w:type="paragraph" w:styleId="ListContinue3">
    <w:name w:val="List Continue 3"/>
    <w:basedOn w:val="Normal"/>
    <w:rsid w:val="00D11406"/>
    <w:pPr>
      <w:spacing w:after="120"/>
      <w:ind w:left="849"/>
    </w:pPr>
  </w:style>
  <w:style w:type="paragraph" w:styleId="ListContinue4">
    <w:name w:val="List Continue 4"/>
    <w:basedOn w:val="Normal"/>
    <w:rsid w:val="00D11406"/>
    <w:pPr>
      <w:spacing w:after="120"/>
      <w:ind w:left="1132"/>
    </w:pPr>
  </w:style>
  <w:style w:type="paragraph" w:styleId="ListContinue5">
    <w:name w:val="List Continue 5"/>
    <w:basedOn w:val="Normal"/>
    <w:rsid w:val="00D11406"/>
    <w:pPr>
      <w:spacing w:after="120"/>
      <w:ind w:left="1415"/>
    </w:pPr>
  </w:style>
  <w:style w:type="paragraph" w:styleId="ListNumber">
    <w:name w:val="List Number"/>
    <w:basedOn w:val="Normal"/>
    <w:rsid w:val="00D11406"/>
    <w:pPr>
      <w:numPr>
        <w:numId w:val="7"/>
      </w:numPr>
    </w:pPr>
  </w:style>
  <w:style w:type="paragraph" w:styleId="ListNumber2">
    <w:name w:val="List Number 2"/>
    <w:basedOn w:val="Normal"/>
    <w:rsid w:val="00D11406"/>
    <w:pPr>
      <w:numPr>
        <w:numId w:val="6"/>
      </w:numPr>
    </w:pPr>
  </w:style>
  <w:style w:type="paragraph" w:styleId="ListNumber3">
    <w:name w:val="List Number 3"/>
    <w:basedOn w:val="Normal"/>
    <w:rsid w:val="00D11406"/>
    <w:pPr>
      <w:tabs>
        <w:tab w:val="num" w:pos="926"/>
      </w:tabs>
      <w:ind w:left="926" w:hanging="360"/>
    </w:pPr>
  </w:style>
  <w:style w:type="paragraph" w:styleId="ListNumber4">
    <w:name w:val="List Number 4"/>
    <w:basedOn w:val="Normal"/>
    <w:rsid w:val="00D11406"/>
    <w:pPr>
      <w:numPr>
        <w:numId w:val="3"/>
      </w:numPr>
    </w:pPr>
  </w:style>
  <w:style w:type="paragraph" w:styleId="ListNumber5">
    <w:name w:val="List Number 5"/>
    <w:basedOn w:val="Normal"/>
    <w:rsid w:val="00D11406"/>
    <w:pPr>
      <w:numPr>
        <w:numId w:val="4"/>
      </w:numPr>
    </w:pPr>
  </w:style>
  <w:style w:type="paragraph" w:styleId="MessageHeader">
    <w:name w:val="Message Header"/>
    <w:basedOn w:val="Normal"/>
    <w:link w:val="MessageHeaderChar"/>
    <w:rsid w:val="00D11406"/>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character" w:customStyle="1" w:styleId="MessageHeaderChar">
    <w:name w:val="Message Header Char"/>
    <w:basedOn w:val="DefaultParagraphFont"/>
    <w:link w:val="MessageHeader"/>
    <w:rsid w:val="00D11406"/>
    <w:rPr>
      <w:rFonts w:ascii="Arial" w:hAnsi="Arial" w:cs="Arial"/>
      <w:sz w:val="24"/>
      <w:szCs w:val="24"/>
      <w:shd w:val="pct20" w:color="auto" w:fill="auto"/>
      <w:lang w:eastAsia="en-US"/>
    </w:rPr>
  </w:style>
  <w:style w:type="paragraph" w:styleId="NormalWeb">
    <w:name w:val="Normal (Web)"/>
    <w:basedOn w:val="Normal"/>
    <w:link w:val="NormalWebChar"/>
    <w:uiPriority w:val="99"/>
    <w:rsid w:val="00D11406"/>
    <w:rPr>
      <w:sz w:val="24"/>
      <w:szCs w:val="24"/>
    </w:rPr>
  </w:style>
  <w:style w:type="paragraph" w:styleId="NormalIndent">
    <w:name w:val="Normal Indent"/>
    <w:basedOn w:val="Normal"/>
    <w:rsid w:val="00D11406"/>
    <w:pPr>
      <w:ind w:left="567"/>
    </w:pPr>
  </w:style>
  <w:style w:type="paragraph" w:styleId="NoteHeading">
    <w:name w:val="Note Heading"/>
    <w:basedOn w:val="Normal"/>
    <w:next w:val="Normal"/>
    <w:link w:val="NoteHeadingChar"/>
    <w:rsid w:val="00D11406"/>
  </w:style>
  <w:style w:type="character" w:customStyle="1" w:styleId="NoteHeadingChar">
    <w:name w:val="Note Heading Char"/>
    <w:basedOn w:val="DefaultParagraphFont"/>
    <w:link w:val="NoteHeading"/>
    <w:rsid w:val="00D11406"/>
    <w:rPr>
      <w:lang w:eastAsia="en-US"/>
    </w:rPr>
  </w:style>
  <w:style w:type="paragraph" w:styleId="Salutation">
    <w:name w:val="Salutation"/>
    <w:basedOn w:val="Normal"/>
    <w:next w:val="Normal"/>
    <w:link w:val="SalutationChar"/>
    <w:rsid w:val="00D11406"/>
  </w:style>
  <w:style w:type="character" w:customStyle="1" w:styleId="SalutationChar">
    <w:name w:val="Salutation Char"/>
    <w:basedOn w:val="DefaultParagraphFont"/>
    <w:link w:val="Salutation"/>
    <w:rsid w:val="00D11406"/>
    <w:rPr>
      <w:lang w:eastAsia="en-US"/>
    </w:rPr>
  </w:style>
  <w:style w:type="paragraph" w:styleId="Signature">
    <w:name w:val="Signature"/>
    <w:basedOn w:val="Normal"/>
    <w:link w:val="SignatureChar"/>
    <w:rsid w:val="00D11406"/>
    <w:pPr>
      <w:ind w:left="4252"/>
    </w:pPr>
  </w:style>
  <w:style w:type="character" w:customStyle="1" w:styleId="SignatureChar">
    <w:name w:val="Signature Char"/>
    <w:basedOn w:val="DefaultParagraphFont"/>
    <w:link w:val="Signature"/>
    <w:rsid w:val="00D11406"/>
    <w:rPr>
      <w:lang w:eastAsia="en-US"/>
    </w:rPr>
  </w:style>
  <w:style w:type="character" w:styleId="Strong">
    <w:name w:val="Strong"/>
    <w:qFormat/>
    <w:rsid w:val="00D11406"/>
    <w:rPr>
      <w:b/>
      <w:bCs/>
    </w:rPr>
  </w:style>
  <w:style w:type="paragraph" w:styleId="Subtitle">
    <w:name w:val="Subtitle"/>
    <w:basedOn w:val="Normal"/>
    <w:link w:val="SubtitleChar"/>
    <w:qFormat/>
    <w:rsid w:val="00D11406"/>
    <w:pPr>
      <w:spacing w:after="60"/>
      <w:jc w:val="center"/>
      <w:outlineLvl w:val="1"/>
    </w:pPr>
    <w:rPr>
      <w:rFonts w:ascii="Arial" w:hAnsi="Arial" w:cs="Arial"/>
      <w:sz w:val="24"/>
      <w:szCs w:val="24"/>
    </w:rPr>
  </w:style>
  <w:style w:type="character" w:customStyle="1" w:styleId="SubtitleChar">
    <w:name w:val="Subtitle Char"/>
    <w:basedOn w:val="DefaultParagraphFont"/>
    <w:link w:val="Subtitle"/>
    <w:rsid w:val="00D11406"/>
    <w:rPr>
      <w:rFonts w:ascii="Arial" w:hAnsi="Arial" w:cs="Arial"/>
      <w:sz w:val="24"/>
      <w:szCs w:val="24"/>
      <w:lang w:eastAsia="en-US"/>
    </w:rPr>
  </w:style>
  <w:style w:type="table" w:styleId="Table3Deffects1">
    <w:name w:val="Table 3D effects 1"/>
    <w:basedOn w:val="TableNormal"/>
    <w:rsid w:val="00D11406"/>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D11406"/>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D11406"/>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D11406"/>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D11406"/>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D11406"/>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D11406"/>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D11406"/>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D11406"/>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D11406"/>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D11406"/>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D11406"/>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D11406"/>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D11406"/>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D11406"/>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D11406"/>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D11406"/>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rsid w:val="00D1140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D11406"/>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D11406"/>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D11406"/>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D1140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D11406"/>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D11406"/>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D11406"/>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D11406"/>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D11406"/>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D11406"/>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D11406"/>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D1140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D1140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D11406"/>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D11406"/>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D11406"/>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D11406"/>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D11406"/>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D11406"/>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D11406"/>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D11406"/>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D1140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D11406"/>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D11406"/>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D11406"/>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D11406"/>
    <w:pPr>
      <w:spacing w:before="240" w:after="60"/>
      <w:jc w:val="center"/>
      <w:outlineLvl w:val="0"/>
    </w:pPr>
    <w:rPr>
      <w:rFonts w:ascii="Arial" w:hAnsi="Arial" w:cs="Arial"/>
      <w:b/>
      <w:bCs/>
      <w:kern w:val="28"/>
      <w:sz w:val="32"/>
      <w:szCs w:val="32"/>
    </w:rPr>
  </w:style>
  <w:style w:type="character" w:customStyle="1" w:styleId="TitleChar">
    <w:name w:val="Title Char"/>
    <w:basedOn w:val="DefaultParagraphFont"/>
    <w:link w:val="Title"/>
    <w:rsid w:val="00D11406"/>
    <w:rPr>
      <w:rFonts w:ascii="Arial" w:hAnsi="Arial" w:cs="Arial"/>
      <w:b/>
      <w:bCs/>
      <w:kern w:val="28"/>
      <w:sz w:val="32"/>
      <w:szCs w:val="32"/>
      <w:lang w:eastAsia="en-US"/>
    </w:rPr>
  </w:style>
  <w:style w:type="paragraph" w:styleId="EnvelopeAddress">
    <w:name w:val="envelope address"/>
    <w:basedOn w:val="Normal"/>
    <w:rsid w:val="00D11406"/>
    <w:pPr>
      <w:framePr w:w="7920" w:h="1980" w:hRule="exact" w:hSpace="180" w:wrap="auto" w:hAnchor="page" w:xAlign="center" w:yAlign="bottom"/>
      <w:ind w:left="2880"/>
    </w:pPr>
    <w:rPr>
      <w:rFonts w:ascii="Arial" w:hAnsi="Arial" w:cs="Arial"/>
      <w:sz w:val="24"/>
      <w:szCs w:val="24"/>
    </w:rPr>
  </w:style>
  <w:style w:type="character" w:customStyle="1" w:styleId="HeaderChar">
    <w:name w:val="Header Char"/>
    <w:aliases w:val="6_G Char"/>
    <w:link w:val="Header"/>
    <w:rsid w:val="00D11406"/>
    <w:rPr>
      <w:b/>
      <w:sz w:val="18"/>
      <w:lang w:eastAsia="en-US"/>
    </w:rPr>
  </w:style>
  <w:style w:type="paragraph" w:customStyle="1" w:styleId="Paragraphedeliste1">
    <w:name w:val="Paragraphe de liste1"/>
    <w:basedOn w:val="Normal"/>
    <w:qFormat/>
    <w:rsid w:val="00D11406"/>
    <w:pPr>
      <w:ind w:left="720"/>
      <w:contextualSpacing/>
    </w:pPr>
  </w:style>
  <w:style w:type="paragraph" w:styleId="ListParagraph">
    <w:name w:val="List Paragraph"/>
    <w:basedOn w:val="Normal"/>
    <w:uiPriority w:val="34"/>
    <w:qFormat/>
    <w:rsid w:val="00D11406"/>
    <w:pPr>
      <w:ind w:left="708"/>
    </w:pPr>
  </w:style>
  <w:style w:type="paragraph" w:customStyle="1" w:styleId="Default">
    <w:name w:val="Default"/>
    <w:rsid w:val="00D11406"/>
    <w:pPr>
      <w:autoSpaceDE w:val="0"/>
      <w:autoSpaceDN w:val="0"/>
      <w:adjustRightInd w:val="0"/>
    </w:pPr>
    <w:rPr>
      <w:rFonts w:eastAsia="Calibri"/>
      <w:color w:val="000000"/>
      <w:sz w:val="24"/>
      <w:szCs w:val="24"/>
      <w:lang w:eastAsia="en-US"/>
    </w:rPr>
  </w:style>
  <w:style w:type="character" w:customStyle="1" w:styleId="5GCarattereCarattere">
    <w:name w:val="5_G Carattere Carattere"/>
    <w:rsid w:val="00D11406"/>
    <w:rPr>
      <w:rFonts w:ascii="Times New Roman" w:eastAsia="Times New Roman" w:hAnsi="Times New Roman" w:cs="Times New Roman"/>
      <w:sz w:val="18"/>
      <w:szCs w:val="20"/>
    </w:rPr>
  </w:style>
  <w:style w:type="paragraph" w:customStyle="1" w:styleId="Paragrafoelenco">
    <w:name w:val="Paragrafo elenco"/>
    <w:basedOn w:val="Normal"/>
    <w:qFormat/>
    <w:rsid w:val="00D11406"/>
    <w:pPr>
      <w:ind w:left="720"/>
      <w:contextualSpacing/>
    </w:pPr>
  </w:style>
  <w:style w:type="character" w:customStyle="1" w:styleId="Heading1Char">
    <w:name w:val="Heading 1 Char"/>
    <w:aliases w:val="Table_G Char"/>
    <w:link w:val="Heading1"/>
    <w:rsid w:val="00D11406"/>
    <w:rPr>
      <w:lang w:eastAsia="en-US"/>
    </w:rPr>
  </w:style>
  <w:style w:type="character" w:customStyle="1" w:styleId="Heading2Char">
    <w:name w:val="Heading 2 Char"/>
    <w:aliases w:val="H2 Char"/>
    <w:link w:val="Heading2"/>
    <w:rsid w:val="00D11406"/>
    <w:rPr>
      <w:lang w:eastAsia="en-US"/>
    </w:rPr>
  </w:style>
  <w:style w:type="character" w:customStyle="1" w:styleId="Heading3Char">
    <w:name w:val="Heading 3 Char"/>
    <w:link w:val="Heading3"/>
    <w:rsid w:val="00D11406"/>
    <w:rPr>
      <w:lang w:eastAsia="en-US"/>
    </w:rPr>
  </w:style>
  <w:style w:type="character" w:customStyle="1" w:styleId="Heading4Char">
    <w:name w:val="Heading 4 Char"/>
    <w:link w:val="Heading4"/>
    <w:rsid w:val="00D11406"/>
    <w:rPr>
      <w:lang w:eastAsia="en-US"/>
    </w:rPr>
  </w:style>
  <w:style w:type="character" w:customStyle="1" w:styleId="Heading5Char">
    <w:name w:val="Heading 5 Char"/>
    <w:link w:val="Heading5"/>
    <w:rsid w:val="00D11406"/>
    <w:rPr>
      <w:lang w:eastAsia="en-US"/>
    </w:rPr>
  </w:style>
  <w:style w:type="character" w:customStyle="1" w:styleId="Heading6Char">
    <w:name w:val="Heading 6 Char"/>
    <w:link w:val="Heading6"/>
    <w:rsid w:val="00D11406"/>
    <w:rPr>
      <w:lang w:eastAsia="en-US"/>
    </w:rPr>
  </w:style>
  <w:style w:type="character" w:customStyle="1" w:styleId="Heading7Char">
    <w:name w:val="Heading 7 Char"/>
    <w:link w:val="Heading7"/>
    <w:rsid w:val="00D11406"/>
    <w:rPr>
      <w:lang w:eastAsia="en-US"/>
    </w:rPr>
  </w:style>
  <w:style w:type="character" w:customStyle="1" w:styleId="Heading8Char">
    <w:name w:val="Heading 8 Char"/>
    <w:link w:val="Heading8"/>
    <w:rsid w:val="00D11406"/>
    <w:rPr>
      <w:lang w:eastAsia="en-US"/>
    </w:rPr>
  </w:style>
  <w:style w:type="character" w:customStyle="1" w:styleId="Heading9Char">
    <w:name w:val="Heading 9 Char"/>
    <w:link w:val="Heading9"/>
    <w:rsid w:val="00D11406"/>
    <w:rPr>
      <w:lang w:eastAsia="en-US"/>
    </w:rPr>
  </w:style>
  <w:style w:type="character" w:customStyle="1" w:styleId="EndnoteTextChar">
    <w:name w:val="Endnote Text Char"/>
    <w:aliases w:val="2_G Char"/>
    <w:link w:val="EndnoteText"/>
    <w:rsid w:val="00D11406"/>
    <w:rPr>
      <w:sz w:val="18"/>
      <w:lang w:eastAsia="en-US"/>
    </w:rPr>
  </w:style>
  <w:style w:type="paragraph" w:customStyle="1" w:styleId="ManualNumPar1">
    <w:name w:val="Manual NumPar 1"/>
    <w:basedOn w:val="Normal"/>
    <w:next w:val="Normal"/>
    <w:rsid w:val="00D11406"/>
    <w:pPr>
      <w:suppressAutoHyphens w:val="0"/>
      <w:spacing w:before="120" w:after="120" w:line="240" w:lineRule="auto"/>
      <w:ind w:left="851" w:hanging="851"/>
      <w:jc w:val="both"/>
    </w:pPr>
    <w:rPr>
      <w:sz w:val="24"/>
    </w:rPr>
  </w:style>
  <w:style w:type="character" w:customStyle="1" w:styleId="CarattereCarattere20">
    <w:name w:val="Carattere Carattere20"/>
    <w:semiHidden/>
    <w:rsid w:val="00D11406"/>
    <w:rPr>
      <w:rFonts w:ascii="Tahoma" w:eastAsia="Times New Roman" w:hAnsi="Tahoma" w:cs="Tahoma"/>
      <w:sz w:val="16"/>
      <w:szCs w:val="16"/>
      <w:lang w:val="en-GB" w:eastAsia="en-US"/>
    </w:rPr>
  </w:style>
  <w:style w:type="paragraph" w:customStyle="1" w:styleId="Rom1">
    <w:name w:val="Rom1"/>
    <w:basedOn w:val="Normal"/>
    <w:rsid w:val="00D11406"/>
    <w:pPr>
      <w:numPr>
        <w:numId w:val="16"/>
      </w:numPr>
      <w:suppressAutoHyphens w:val="0"/>
      <w:spacing w:after="240" w:line="240" w:lineRule="auto"/>
      <w:ind w:left="1441" w:hanging="590"/>
    </w:pPr>
    <w:rPr>
      <w:sz w:val="24"/>
    </w:rPr>
  </w:style>
  <w:style w:type="paragraph" w:customStyle="1" w:styleId="Eingezogen-Standard">
    <w:name w:val="Eingezogen-Standard"/>
    <w:basedOn w:val="Normal"/>
    <w:rsid w:val="00D11406"/>
    <w:pPr>
      <w:suppressAutoHyphens w:val="0"/>
      <w:spacing w:line="240" w:lineRule="auto"/>
      <w:ind w:left="992"/>
      <w:jc w:val="both"/>
    </w:pPr>
    <w:rPr>
      <w:sz w:val="24"/>
      <w:lang w:val="de-DE" w:eastAsia="de-DE"/>
    </w:rPr>
  </w:style>
  <w:style w:type="paragraph" w:customStyle="1" w:styleId="Titpar3">
    <w:name w:val="Tit par 3"/>
    <w:basedOn w:val="Normal"/>
    <w:next w:val="Normal"/>
    <w:link w:val="Titpar3Carattere"/>
    <w:rsid w:val="00D11406"/>
    <w:pPr>
      <w:tabs>
        <w:tab w:val="left" w:pos="1106"/>
      </w:tabs>
      <w:suppressAutoHyphens w:val="0"/>
      <w:spacing w:before="397" w:after="57" w:line="240" w:lineRule="auto"/>
    </w:pPr>
    <w:rPr>
      <w:rFonts w:ascii="Arial" w:eastAsia="SimSun" w:hAnsi="Arial"/>
      <w:sz w:val="24"/>
      <w:szCs w:val="24"/>
      <w:lang w:val="en-US" w:eastAsia="it-IT"/>
    </w:rPr>
  </w:style>
  <w:style w:type="character" w:customStyle="1" w:styleId="Titpar3Carattere">
    <w:name w:val="Tit par 3 Carattere"/>
    <w:link w:val="Titpar3"/>
    <w:rsid w:val="00D11406"/>
    <w:rPr>
      <w:rFonts w:ascii="Arial" w:eastAsia="SimSun" w:hAnsi="Arial"/>
      <w:sz w:val="24"/>
      <w:szCs w:val="24"/>
      <w:lang w:val="en-US" w:eastAsia="it-IT"/>
    </w:rPr>
  </w:style>
  <w:style w:type="paragraph" w:customStyle="1" w:styleId="testo">
    <w:name w:val="testo"/>
    <w:basedOn w:val="Normal"/>
    <w:link w:val="testoCarattere"/>
    <w:rsid w:val="00D11406"/>
    <w:pPr>
      <w:suppressAutoHyphens w:val="0"/>
      <w:spacing w:line="240" w:lineRule="auto"/>
      <w:ind w:left="1134" w:right="227"/>
      <w:jc w:val="both"/>
    </w:pPr>
    <w:rPr>
      <w:rFonts w:ascii="Arial" w:eastAsia="SimSun" w:hAnsi="Arial"/>
      <w:sz w:val="24"/>
      <w:lang w:val="en-US" w:eastAsia="it-IT"/>
    </w:rPr>
  </w:style>
  <w:style w:type="character" w:customStyle="1" w:styleId="testoCarattere">
    <w:name w:val="testo Carattere"/>
    <w:link w:val="testo"/>
    <w:rsid w:val="00D11406"/>
    <w:rPr>
      <w:rFonts w:ascii="Arial" w:eastAsia="SimSun" w:hAnsi="Arial"/>
      <w:sz w:val="24"/>
      <w:lang w:val="en-US" w:eastAsia="it-IT"/>
    </w:rPr>
  </w:style>
  <w:style w:type="paragraph" w:customStyle="1" w:styleId="Titpar1">
    <w:name w:val="Tit par 1"/>
    <w:basedOn w:val="Normal"/>
    <w:next w:val="testo"/>
    <w:link w:val="Titpar1Carattere"/>
    <w:rsid w:val="00D11406"/>
    <w:pPr>
      <w:tabs>
        <w:tab w:val="left" w:pos="1106"/>
      </w:tabs>
      <w:suppressAutoHyphens w:val="0"/>
      <w:spacing w:before="397" w:after="57" w:line="240" w:lineRule="auto"/>
    </w:pPr>
    <w:rPr>
      <w:rFonts w:ascii="Arial" w:eastAsia="SimSun" w:hAnsi="Arial"/>
      <w:b/>
      <w:caps/>
      <w:sz w:val="24"/>
      <w:lang w:val="en-US" w:eastAsia="it-IT"/>
    </w:rPr>
  </w:style>
  <w:style w:type="character" w:customStyle="1" w:styleId="Titpar1Carattere">
    <w:name w:val="Tit par 1 Carattere"/>
    <w:link w:val="Titpar1"/>
    <w:rsid w:val="00D11406"/>
    <w:rPr>
      <w:rFonts w:ascii="Arial" w:eastAsia="SimSun" w:hAnsi="Arial"/>
      <w:b/>
      <w:caps/>
      <w:sz w:val="24"/>
      <w:lang w:val="en-US" w:eastAsia="it-IT"/>
    </w:rPr>
  </w:style>
  <w:style w:type="character" w:customStyle="1" w:styleId="NormalWebChar">
    <w:name w:val="Normal (Web) Char"/>
    <w:link w:val="NormalWeb"/>
    <w:uiPriority w:val="99"/>
    <w:locked/>
    <w:rsid w:val="00D11406"/>
    <w:rPr>
      <w:sz w:val="24"/>
      <w:szCs w:val="24"/>
      <w:lang w:eastAsia="en-US"/>
    </w:rPr>
  </w:style>
  <w:style w:type="character" w:customStyle="1" w:styleId="H23GChar">
    <w:name w:val="_ H_2/3_G Char"/>
    <w:link w:val="H23G"/>
    <w:locked/>
    <w:rsid w:val="00D11406"/>
    <w:rPr>
      <w:b/>
      <w:lang w:eastAsia="en-US"/>
    </w:rPr>
  </w:style>
  <w:style w:type="character" w:customStyle="1" w:styleId="paraChar">
    <w:name w:val="para Char"/>
    <w:link w:val="para"/>
    <w:locked/>
    <w:rsid w:val="00D11406"/>
    <w:rPr>
      <w:lang w:eastAsia="en-US"/>
    </w:rPr>
  </w:style>
  <w:style w:type="paragraph" w:customStyle="1" w:styleId="a0">
    <w:name w:val="a)"/>
    <w:basedOn w:val="Normal"/>
    <w:qFormat/>
    <w:rsid w:val="00D11406"/>
    <w:pPr>
      <w:tabs>
        <w:tab w:val="decimal" w:pos="567"/>
      </w:tabs>
      <w:spacing w:after="120"/>
      <w:ind w:left="2835" w:right="1134" w:hanging="567"/>
      <w:jc w:val="both"/>
    </w:pPr>
    <w:rPr>
      <w:lang w:val="fr-CH"/>
    </w:rPr>
  </w:style>
  <w:style w:type="paragraph" w:customStyle="1" w:styleId="Point0">
    <w:name w:val="Point 0"/>
    <w:basedOn w:val="Normal"/>
    <w:rsid w:val="00D11406"/>
    <w:pPr>
      <w:suppressAutoHyphens w:val="0"/>
      <w:spacing w:before="120" w:after="120" w:line="240" w:lineRule="auto"/>
      <w:ind w:left="850" w:hanging="850"/>
      <w:jc w:val="both"/>
    </w:pPr>
    <w:rPr>
      <w:sz w:val="24"/>
      <w:lang w:eastAsia="en-GB"/>
    </w:rPr>
  </w:style>
  <w:style w:type="paragraph" w:customStyle="1" w:styleId="TableHeading">
    <w:name w:val="Table Heading"/>
    <w:basedOn w:val="Normal"/>
    <w:rsid w:val="00D11406"/>
    <w:pPr>
      <w:tabs>
        <w:tab w:val="left" w:pos="1134"/>
      </w:tabs>
      <w:suppressAutoHyphens w:val="0"/>
      <w:spacing w:before="40" w:after="20" w:line="240" w:lineRule="auto"/>
      <w:ind w:left="1134"/>
    </w:pPr>
    <w:rPr>
      <w:rFonts w:cs="Arial"/>
      <w:b/>
      <w:bCs/>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SingleTxtG">
    <w:name w:val="ArticleSection"/>
    <w:pPr>
      <w:numPr>
        <w:numId w:val="15"/>
      </w:numPr>
    </w:pPr>
  </w:style>
  <w:style w:type="numbering" w:customStyle="1" w:styleId="HMG">
    <w:name w:val="1ai"/>
    <w:pPr>
      <w:numPr>
        <w:numId w:val="14"/>
      </w:numPr>
    </w:pPr>
  </w:style>
  <w:style w:type="numbering" w:customStyle="1" w:styleId="HChG">
    <w:name w:val="111111"/>
    <w:pPr>
      <w:numPr>
        <w:numId w:val="13"/>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achelard\AppData\Roaming\Microsoft\Templates\ECE+PlainPage\ENGLISH%20my%20AMEND%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BD47FF9-1E22-4DC0-8312-DE4A221224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ENGLISH my AMEND template.dotx</Template>
  <TotalTime>17</TotalTime>
  <Pages>9</Pages>
  <Words>2922</Words>
  <Characters>16660</Characters>
  <Application>Microsoft Office Word</Application>
  <DocSecurity>0</DocSecurity>
  <Lines>138</Lines>
  <Paragraphs>39</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CSD</Company>
  <LinksUpToDate>false</LinksUpToDate>
  <CharactersWithSpaces>19543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08</dc:creator>
  <cp:lastModifiedBy>Rev.24</cp:lastModifiedBy>
  <cp:revision>5</cp:revision>
  <cp:lastPrinted>2016-02-04T14:43:00Z</cp:lastPrinted>
  <dcterms:created xsi:type="dcterms:W3CDTF">2015-09-24T12:26:00Z</dcterms:created>
  <dcterms:modified xsi:type="dcterms:W3CDTF">2016-02-04T14:43:00Z</dcterms:modified>
</cp:coreProperties>
</file>