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07F74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0AFC" w:rsidRPr="00F07F74" w:rsidRDefault="00A00AFC" w:rsidP="00A00AFC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F07F74">
              <w:rPr>
                <w:sz w:val="40"/>
                <w:lang w:val="en-GB"/>
              </w:rPr>
              <w:t>E</w:t>
            </w:r>
            <w:r w:rsidRPr="00F07F74">
              <w:rPr>
                <w:lang w:val="en-GB"/>
              </w:rPr>
              <w:t>/ECE/324/Rev.1/Add.60/Amend.3−</w:t>
            </w:r>
            <w:r w:rsidRPr="00F07F74">
              <w:rPr>
                <w:sz w:val="40"/>
                <w:lang w:val="en-GB"/>
              </w:rPr>
              <w:t>E</w:t>
            </w:r>
            <w:r w:rsidRPr="00F07F74">
              <w:rPr>
                <w:lang w:val="en-GB"/>
              </w:rPr>
              <w:t>/ECE/TRANS/505/Rev.1/Add.60/Amend.3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F07F74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A00AFC" w:rsidP="00457676">
            <w:pPr>
              <w:spacing w:before="480" w:line="240" w:lineRule="exact"/>
            </w:pPr>
            <w:r>
              <w:t>11 juillet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A00AFC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00AFC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A00AFC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00AFC">
        <w:t>60 −</w:t>
      </w:r>
      <w:r w:rsidR="00421A10" w:rsidRPr="006549FF">
        <w:t xml:space="preserve">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00AFC">
        <w:t>61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A00AFC">
        <w:t>Amendement 3</w:t>
      </w:r>
    </w:p>
    <w:p w:rsidR="00A00AFC" w:rsidRPr="008E732C" w:rsidRDefault="00A00AFC" w:rsidP="00A00AFC">
      <w:pPr>
        <w:pStyle w:val="SingleTxtG"/>
      </w:pPr>
      <w:r w:rsidRPr="008E732C">
        <w:t>Complément 3 à la version initiale du Règlement – Date d’entrée en vigueur : 18 juin 2016</w:t>
      </w:r>
    </w:p>
    <w:p w:rsidR="00A00AFC" w:rsidRPr="008E732C" w:rsidRDefault="00A00AFC" w:rsidP="00A00AFC">
      <w:pPr>
        <w:pStyle w:val="H1G"/>
      </w:pPr>
      <w:r w:rsidRPr="008E732C">
        <w:tab/>
      </w:r>
      <w:r w:rsidRPr="008E732C">
        <w:tab/>
        <w:t xml:space="preserve">Prescriptions uniformes relatives à l’homologation des véhicules </w:t>
      </w:r>
      <w:r w:rsidRPr="008E732C">
        <w:br/>
        <w:t>utilitaires en ce qui concerne leurs saillies extérieures à l’avant</w:t>
      </w:r>
      <w:r w:rsidRPr="008E732C">
        <w:br/>
        <w:t>de la cloison postérieure de la cabine</w:t>
      </w:r>
    </w:p>
    <w:p w:rsidR="00A00AFC" w:rsidRPr="00A00AFC" w:rsidRDefault="00A00AFC" w:rsidP="00A00AFC">
      <w:pPr>
        <w:pStyle w:val="SingleTxtG"/>
        <w:rPr>
          <w:spacing w:val="-2"/>
          <w:lang w:eastAsia="en-GB"/>
        </w:rPr>
      </w:pPr>
      <w:r w:rsidRPr="00A00AFC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>
        <w:rPr>
          <w:spacing w:val="-2"/>
          <w:lang w:eastAsia="en-GB"/>
        </w:rPr>
        <w:t> :</w:t>
      </w:r>
      <w:r w:rsidRPr="00A00AFC">
        <w:rPr>
          <w:spacing w:val="-2"/>
          <w:lang w:eastAsia="en-GB"/>
        </w:rPr>
        <w:t xml:space="preserve"> ECE/TRANS/WP.29/2015/86.</w:t>
      </w:r>
    </w:p>
    <w:p w:rsidR="00A00AFC" w:rsidRPr="008E732C" w:rsidRDefault="00A00AFC" w:rsidP="00A00AFC">
      <w:pPr>
        <w:pStyle w:val="SingleTxtG"/>
      </w:pPr>
      <w:r>
        <w:rPr>
          <w:spacing w:val="-6"/>
          <w:lang w:eastAsia="en-GB"/>
        </w:rPr>
        <w:lastRenderedPageBreak/>
        <w:br w:type="page"/>
      </w:r>
      <w:r w:rsidRPr="00A00AFC">
        <w:rPr>
          <w:i/>
          <w:iCs/>
        </w:rPr>
        <w:lastRenderedPageBreak/>
        <w:t>Paragraphe 1.1 et note de bas de page 1</w:t>
      </w:r>
      <w:r w:rsidRPr="008E732C">
        <w:t>,</w:t>
      </w:r>
      <w:r w:rsidRPr="008E732C">
        <w:rPr>
          <w:iCs/>
        </w:rPr>
        <w:t xml:space="preserve"> lire </w:t>
      </w:r>
      <w:r w:rsidRPr="008E732C">
        <w:t>:</w:t>
      </w:r>
    </w:p>
    <w:p w:rsidR="00A00AFC" w:rsidRPr="008E732C" w:rsidRDefault="00A00AFC" w:rsidP="00A00AFC">
      <w:pPr>
        <w:pStyle w:val="SingleTxtG"/>
        <w:ind w:left="2268" w:hanging="1134"/>
      </w:pPr>
      <w:r>
        <w:t>« </w:t>
      </w:r>
      <w:r w:rsidRPr="008E732C">
        <w:t>1.1</w:t>
      </w:r>
      <w:r w:rsidRPr="008E732C">
        <w:tab/>
        <w:t>Le présent Règlement s’applique aux saillies extérieures des véhicules utilitaires des catégories N</w:t>
      </w:r>
      <w:r w:rsidRPr="008E732C">
        <w:rPr>
          <w:vertAlign w:val="subscript"/>
        </w:rPr>
        <w:t>1</w:t>
      </w:r>
      <w:r w:rsidRPr="008E732C">
        <w:t>, N</w:t>
      </w:r>
      <w:r w:rsidRPr="008E732C">
        <w:rPr>
          <w:vertAlign w:val="subscript"/>
        </w:rPr>
        <w:t>2</w:t>
      </w:r>
      <w:r w:rsidRPr="008E732C">
        <w:t xml:space="preserve"> et N</w:t>
      </w:r>
      <w:r w:rsidRPr="008E732C">
        <w:rPr>
          <w:vertAlign w:val="subscript"/>
        </w:rPr>
        <w:t>3</w:t>
      </w:r>
      <w:r w:rsidRPr="00A00AFC">
        <w:rPr>
          <w:rStyle w:val="FootnoteReference"/>
        </w:rPr>
        <w:t>1</w:t>
      </w:r>
      <w:r w:rsidRPr="008E732C">
        <w:t xml:space="preserve">, limitées à la </w:t>
      </w:r>
      <w:r>
        <w:t>“</w:t>
      </w:r>
      <w:r w:rsidRPr="008E732C">
        <w:t>surface extérieure</w:t>
      </w:r>
      <w:r>
        <w:t>”</w:t>
      </w:r>
      <w:r w:rsidRPr="008E732C">
        <w:t xml:space="preserve"> ainsi qu’elle est définie ci-après. Il ne s’applique pas aux dispositifs extérieurs de vision indirecte, y compris leur support, ni aux accessoires tels que les antennes-radio et les porte-bagages.</w:t>
      </w:r>
    </w:p>
    <w:p w:rsidR="00A00AFC" w:rsidRPr="0029791D" w:rsidRDefault="00A00AFC" w:rsidP="00A00AFC">
      <w:pPr>
        <w:pStyle w:val="FootnoteText"/>
        <w:tabs>
          <w:tab w:val="clear" w:pos="1021"/>
          <w:tab w:val="right" w:pos="2155"/>
        </w:tabs>
        <w:spacing w:after="80" w:line="240" w:lineRule="atLeast"/>
        <w:ind w:left="680" w:right="0" w:firstLine="0"/>
        <w:rPr>
          <w:u w:val="single"/>
        </w:rPr>
      </w:pPr>
      <w:r>
        <w:rPr>
          <w:u w:val="single"/>
        </w:rPr>
        <w:tab/>
      </w:r>
    </w:p>
    <w:p w:rsidR="00A00AFC" w:rsidRPr="00A00AFC" w:rsidRDefault="00A00AFC" w:rsidP="004255A2">
      <w:pPr>
        <w:pStyle w:val="FootnoteText"/>
        <w:rPr>
          <w:spacing w:val="-2"/>
          <w:lang w:eastAsia="nl-NL"/>
        </w:rPr>
      </w:pPr>
      <w:r w:rsidRPr="00A00AFC">
        <w:tab/>
      </w:r>
      <w:r w:rsidRPr="00A00AFC">
        <w:rPr>
          <w:vertAlign w:val="superscript"/>
        </w:rPr>
        <w:t>1</w:t>
      </w:r>
      <w:r w:rsidRPr="00A00AFC">
        <w:tab/>
      </w:r>
      <w:r w:rsidRPr="00A00AFC">
        <w:rPr>
          <w:spacing w:val="-2"/>
          <w:szCs w:val="18"/>
        </w:rPr>
        <w:t>Selon les définitions figurant dans la Résolution d’ensemble sur la construction des véhicules (R.E.3), document ECE/TRANS/WP.29/78/Rev.4 − www.unece.org/trans/main/wp29/wp29wgs/wp29gen/</w:t>
      </w:r>
      <w:r>
        <w:rPr>
          <w:spacing w:val="-2"/>
          <w:szCs w:val="18"/>
        </w:rPr>
        <w:br/>
      </w:r>
      <w:r w:rsidRPr="00A00AFC">
        <w:rPr>
          <w:spacing w:val="-2"/>
          <w:szCs w:val="18"/>
        </w:rPr>
        <w:t>wp29resolutions.html.</w:t>
      </w:r>
      <w:r w:rsidRPr="00A00AFC">
        <w:rPr>
          <w:spacing w:val="-2"/>
          <w:sz w:val="20"/>
        </w:rPr>
        <w:t> ».</w:t>
      </w:r>
    </w:p>
    <w:p w:rsidR="005F0207" w:rsidRPr="00A00AFC" w:rsidRDefault="00A00AFC" w:rsidP="00A00A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00AFC" w:rsidSect="00A00AF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5" w:rsidRDefault="001C3685"/>
  </w:endnote>
  <w:endnote w:type="continuationSeparator" w:id="0">
    <w:p w:rsidR="001C3685" w:rsidRDefault="001C3685">
      <w:pPr>
        <w:pStyle w:val="Footer"/>
      </w:pPr>
    </w:p>
  </w:endnote>
  <w:endnote w:type="continuationNotice" w:id="1">
    <w:p w:rsidR="001C3685" w:rsidRPr="00C451B9" w:rsidRDefault="001C368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C" w:rsidRPr="00A00AFC" w:rsidRDefault="00A00AFC" w:rsidP="00A00AFC">
    <w:pPr>
      <w:pStyle w:val="Footer"/>
      <w:tabs>
        <w:tab w:val="right" w:pos="9638"/>
      </w:tabs>
    </w:pPr>
    <w:r w:rsidRPr="00A00AFC">
      <w:rPr>
        <w:b/>
        <w:sz w:val="18"/>
      </w:rPr>
      <w:fldChar w:fldCharType="begin"/>
    </w:r>
    <w:r w:rsidRPr="00A00AFC">
      <w:rPr>
        <w:b/>
        <w:sz w:val="18"/>
      </w:rPr>
      <w:instrText xml:space="preserve"> PAGE  \* MERGEFORMAT </w:instrText>
    </w:r>
    <w:r w:rsidRPr="00A00AFC">
      <w:rPr>
        <w:b/>
        <w:sz w:val="18"/>
      </w:rPr>
      <w:fldChar w:fldCharType="separate"/>
    </w:r>
    <w:r w:rsidR="00F07F74">
      <w:rPr>
        <w:b/>
        <w:noProof/>
        <w:sz w:val="18"/>
      </w:rPr>
      <w:t>2</w:t>
    </w:r>
    <w:r w:rsidRPr="00A00AFC">
      <w:rPr>
        <w:b/>
        <w:sz w:val="18"/>
      </w:rPr>
      <w:fldChar w:fldCharType="end"/>
    </w:r>
    <w:r>
      <w:rPr>
        <w:b/>
        <w:sz w:val="18"/>
      </w:rPr>
      <w:tab/>
    </w:r>
    <w:r>
      <w:t>GE.16-11475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C" w:rsidRPr="00A00AFC" w:rsidRDefault="00A00AFC" w:rsidP="00A00AFC">
    <w:pPr>
      <w:pStyle w:val="Footer"/>
      <w:tabs>
        <w:tab w:val="right" w:pos="9638"/>
      </w:tabs>
      <w:rPr>
        <w:b/>
        <w:sz w:val="18"/>
      </w:rPr>
    </w:pPr>
    <w:r>
      <w:t>GE.16-11475</w:t>
    </w:r>
    <w:r>
      <w:tab/>
    </w:r>
    <w:r w:rsidRPr="00A00AFC">
      <w:rPr>
        <w:b/>
        <w:sz w:val="18"/>
      </w:rPr>
      <w:fldChar w:fldCharType="begin"/>
    </w:r>
    <w:r w:rsidRPr="00A00AFC">
      <w:rPr>
        <w:b/>
        <w:sz w:val="18"/>
      </w:rPr>
      <w:instrText xml:space="preserve"> PAGE  \* MERGEFORMAT </w:instrText>
    </w:r>
    <w:r w:rsidRPr="00A00AFC">
      <w:rPr>
        <w:b/>
        <w:sz w:val="18"/>
      </w:rPr>
      <w:fldChar w:fldCharType="separate"/>
    </w:r>
    <w:r w:rsidR="00F07F74">
      <w:rPr>
        <w:b/>
        <w:noProof/>
        <w:sz w:val="18"/>
      </w:rPr>
      <w:t>3</w:t>
    </w:r>
    <w:r w:rsidRPr="00A00A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AF4843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AF4843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A00AFC" w:rsidRDefault="00A00AFC" w:rsidP="00A00AFC">
    <w:pPr>
      <w:pStyle w:val="Footer"/>
      <w:spacing w:before="120"/>
      <w:rPr>
        <w:sz w:val="20"/>
      </w:rPr>
    </w:pPr>
    <w:r>
      <w:rPr>
        <w:sz w:val="20"/>
      </w:rPr>
      <w:t>GE.16-11475  (F)    061216    071216</w:t>
    </w:r>
    <w:r>
      <w:rPr>
        <w:sz w:val="20"/>
      </w:rPr>
      <w:br/>
    </w:r>
    <w:r w:rsidRPr="00A00AFC">
      <w:rPr>
        <w:rFonts w:ascii="C39T30Lfz" w:hAnsi="C39T30Lfz"/>
        <w:sz w:val="56"/>
      </w:rPr>
      <w:t></w:t>
    </w:r>
    <w:r w:rsidRPr="00A00AFC">
      <w:rPr>
        <w:rFonts w:ascii="C39T30Lfz" w:hAnsi="C39T30Lfz"/>
        <w:sz w:val="56"/>
      </w:rPr>
      <w:t></w:t>
    </w:r>
    <w:r w:rsidRPr="00A00AFC">
      <w:rPr>
        <w:rFonts w:ascii="C39T30Lfz" w:hAnsi="C39T30Lfz"/>
        <w:sz w:val="56"/>
      </w:rPr>
      <w:t></w:t>
    </w:r>
    <w:r w:rsidRPr="00A00AFC">
      <w:rPr>
        <w:rFonts w:ascii="C39T30Lfz" w:hAnsi="C39T30Lfz"/>
        <w:sz w:val="56"/>
      </w:rPr>
      <w:t></w:t>
    </w:r>
    <w:r w:rsidRPr="00A00AFC">
      <w:rPr>
        <w:rFonts w:ascii="C39T30Lfz" w:hAnsi="C39T30Lfz"/>
        <w:sz w:val="56"/>
      </w:rPr>
      <w:t></w:t>
    </w:r>
    <w:r w:rsidRPr="00A00AFC">
      <w:rPr>
        <w:rFonts w:ascii="C39T30Lfz" w:hAnsi="C39T30Lfz"/>
        <w:sz w:val="56"/>
      </w:rPr>
      <w:t></w:t>
    </w:r>
    <w:r w:rsidRPr="00A00AFC">
      <w:rPr>
        <w:rFonts w:ascii="C39T30Lfz" w:hAnsi="C39T30Lfz"/>
        <w:sz w:val="56"/>
      </w:rPr>
      <w:t></w:t>
    </w:r>
    <w:r w:rsidRPr="00A00AFC">
      <w:rPr>
        <w:rFonts w:ascii="C39T30Lfz" w:hAnsi="C39T30Lfz"/>
        <w:sz w:val="56"/>
      </w:rPr>
      <w:t></w:t>
    </w:r>
    <w:r w:rsidRPr="00A00AFC">
      <w:rPr>
        <w:rFonts w:ascii="C39T30Lfz" w:hAnsi="C39T30Lfz"/>
        <w:sz w:val="56"/>
      </w:rPr>
      <w:t></w:t>
    </w:r>
    <w:r w:rsidR="00AF4843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1/Add.60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1/Add.60/Amend.3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5" w:rsidRPr="00D27D5E" w:rsidRDefault="001C368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3685" w:rsidRPr="00D171D4" w:rsidRDefault="001C368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C3685" w:rsidRPr="00C451B9" w:rsidRDefault="001C3685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C" w:rsidRPr="00F07F74" w:rsidRDefault="00A00AFC">
    <w:pPr>
      <w:pStyle w:val="Header"/>
      <w:rPr>
        <w:lang w:val="en-GB"/>
      </w:rPr>
    </w:pPr>
    <w:r w:rsidRPr="00F07F74">
      <w:rPr>
        <w:lang w:val="en-GB"/>
      </w:rPr>
      <w:t>E/ECE/324/Rev.1/Add.60/Amend.3</w:t>
    </w:r>
    <w:r w:rsidRPr="00F07F74">
      <w:rPr>
        <w:lang w:val="en-GB"/>
      </w:rPr>
      <w:br/>
      <w:t>E/ECE/TRANS/505/Rev.1/Add.60/Amend.3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FC" w:rsidRPr="00F07F74" w:rsidRDefault="00A00AFC" w:rsidP="00A00AFC">
    <w:pPr>
      <w:pStyle w:val="Header"/>
      <w:jc w:val="right"/>
      <w:rPr>
        <w:lang w:val="en-GB"/>
      </w:rPr>
    </w:pPr>
    <w:r w:rsidRPr="00F07F74">
      <w:rPr>
        <w:lang w:val="en-GB"/>
      </w:rPr>
      <w:t>E/ECE/324/Rev.1/Add.60/Amend.3</w:t>
    </w:r>
    <w:r w:rsidRPr="00F07F74">
      <w:rPr>
        <w:lang w:val="en-GB"/>
      </w:rPr>
      <w:br/>
      <w:t>E/ECE/TRANS/505/Rev.1/Add.60/Amend.3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685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255A2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0AFC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AF4843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07F74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3C5FB845-6FEB-408B-8735-F1AD099F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,PP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,PP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character" w:customStyle="1" w:styleId="H1GChar">
    <w:name w:val="_ H_1_G Char"/>
    <w:link w:val="H1G"/>
    <w:rsid w:val="00A00AFC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E/ECE/324/Rev.1/Add.60/Amend.3-E/ECE/TRANS/505/Rev.1/Add.60/Amend.3</vt:lpstr>
      <vt:lpstr>E/ECE/324/Rev.1/Add.60/Amend.3-E/ECE/TRANS/505/Rev.1/Add.60/Amend.3</vt:lpstr>
    </vt:vector>
  </TitlesOfParts>
  <Company>CSD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E/ECE/324/Rev.1/Add.60/Amend.3-E/ECE/TRANS/505/Rev.1/Add.60/Amend.3</dc:title>
  <dc:subject/>
  <dc:creator>Morin</dc:creator>
  <cp:keywords/>
  <dc:description/>
  <cp:lastModifiedBy>Lucille</cp:lastModifiedBy>
  <cp:revision>2</cp:revision>
  <cp:lastPrinted>2016-12-07T15:33:00Z</cp:lastPrinted>
  <dcterms:created xsi:type="dcterms:W3CDTF">2016-12-08T10:36:00Z</dcterms:created>
  <dcterms:modified xsi:type="dcterms:W3CDTF">2016-12-08T10:36:00Z</dcterms:modified>
</cp:coreProperties>
</file>