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147FB6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</w:t>
            </w:r>
            <w:r w:rsidR="00FC2CA9">
              <w:t>2</w:t>
            </w:r>
            <w:r w:rsidR="000F17F6">
              <w:t>/</w:t>
            </w:r>
            <w:r>
              <w:t>Add.</w:t>
            </w:r>
            <w:r w:rsidR="00FC2CA9">
              <w:t>1</w:t>
            </w:r>
            <w:r w:rsidR="00147FB6">
              <w:t>27</w:t>
            </w:r>
            <w:r>
              <w:t>/Amend.</w:t>
            </w:r>
            <w:r w:rsidR="00147FB6">
              <w:t>3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147FB6">
              <w:t>/Rev.2/Add.127/Amend.3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C92C8B" w:rsidRPr="00DB58B5" w:rsidRDefault="008F60CC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C92C8B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147FB6">
        <w:t>127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47FB6">
        <w:t>128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0314C7">
        <w:t xml:space="preserve">Amendement </w:t>
      </w:r>
      <w:r w:rsidR="00147FB6">
        <w:t>3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147FB6">
        <w:rPr>
          <w:spacing w:val="-2"/>
        </w:rPr>
        <w:t>3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147FB6">
        <w:rPr>
          <w:spacing w:val="-2"/>
        </w:rPr>
        <w:t>version originale du</w:t>
      </w:r>
      <w:r w:rsidR="00015650" w:rsidRPr="00FC2CA9">
        <w:rPr>
          <w:spacing w:val="-2"/>
        </w:rPr>
        <w:t xml:space="preserve"> Règlement − Date d’entrée en vigueur: 15 jui</w:t>
      </w:r>
      <w:r w:rsidR="00A92017" w:rsidRPr="00FC2CA9">
        <w:rPr>
          <w:spacing w:val="-2"/>
        </w:rPr>
        <w:t>n 2015</w:t>
      </w:r>
      <w:r w:rsidR="00015650" w:rsidRPr="00FC2CA9">
        <w:rPr>
          <w:spacing w:val="-2"/>
        </w:rPr>
        <w:t xml:space="preserve"> </w:t>
      </w:r>
    </w:p>
    <w:p w:rsidR="00DD1ED8" w:rsidRPr="00147FB6" w:rsidRDefault="00DD1ED8" w:rsidP="00242268">
      <w:pPr>
        <w:pStyle w:val="H1G"/>
        <w:spacing w:line="260" w:lineRule="exact"/>
        <w:rPr>
          <w:spacing w:val="-2"/>
          <w:szCs w:val="24"/>
        </w:rPr>
      </w:pPr>
      <w:r>
        <w:tab/>
      </w:r>
      <w:r>
        <w:tab/>
      </w:r>
      <w:r w:rsidR="00147FB6" w:rsidRPr="00147FB6">
        <w:rPr>
          <w:szCs w:val="24"/>
          <w:lang w:val="fr-FR"/>
        </w:rPr>
        <w:t>Prescriptions uniformes concernant l’homologation des sources lumineuses à diodes électroluminescentes (DEL) destinées à être utilisées dans les feux homologués des véhicules à moteur et de leurs remorques</w:t>
      </w:r>
    </w:p>
    <w:p w:rsidR="00D5218B" w:rsidRDefault="001D3393" w:rsidP="00147FB6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FC2CA9">
        <w:rPr>
          <w:lang w:val="en-GB" w:eastAsia="en-GB"/>
        </w:rPr>
        <w:t>4/</w:t>
      </w:r>
      <w:r w:rsidR="00147FB6">
        <w:rPr>
          <w:lang w:val="en-GB" w:eastAsia="en-GB"/>
        </w:rPr>
        <w:t>64</w:t>
      </w:r>
      <w:r w:rsidR="0011579D">
        <w:rPr>
          <w:lang w:val="en-GB" w:eastAsia="en-GB"/>
        </w:rPr>
        <w:t>.</w:t>
      </w:r>
    </w:p>
    <w:p w:rsidR="0011579D" w:rsidRDefault="00DD1ED8" w:rsidP="00147FB6">
      <w:pPr>
        <w:spacing w:after="120"/>
        <w:ind w:left="1134"/>
        <w:rPr>
          <w:rFonts w:eastAsia="MS Mincho"/>
          <w:i/>
          <w:lang w:val="fr-FR"/>
        </w:rPr>
      </w:pPr>
      <w:r>
        <w:br w:type="page"/>
      </w:r>
      <w:r w:rsidR="00147FB6" w:rsidRPr="00A10706">
        <w:rPr>
          <w:rFonts w:eastAsia="MS Mincho"/>
          <w:i/>
          <w:lang w:val="fr-FR"/>
        </w:rPr>
        <w:lastRenderedPageBreak/>
        <w:t>Annex</w:t>
      </w:r>
      <w:r w:rsidR="00147FB6" w:rsidRPr="004C3785">
        <w:rPr>
          <w:rFonts w:eastAsia="MS Mincho"/>
          <w:i/>
          <w:lang w:val="fr-FR"/>
        </w:rPr>
        <w:t>e</w:t>
      </w:r>
      <w:r w:rsidR="00147FB6" w:rsidRPr="00A10706">
        <w:rPr>
          <w:rFonts w:eastAsia="MS Mincho"/>
          <w:i/>
          <w:lang w:val="fr-FR"/>
        </w:rPr>
        <w:t xml:space="preserve"> 1, </w:t>
      </w:r>
    </w:p>
    <w:p w:rsidR="00147FB6" w:rsidRDefault="0011579D" w:rsidP="00147FB6">
      <w:pPr>
        <w:spacing w:after="120"/>
        <w:ind w:left="1134"/>
        <w:rPr>
          <w:rFonts w:eastAsia="MS Mincho"/>
          <w:lang w:val="fr-FR"/>
        </w:rPr>
      </w:pPr>
      <w:r w:rsidRPr="007273AE">
        <w:rPr>
          <w:i/>
        </w:rPr>
        <w:t>F</w:t>
      </w:r>
      <w:proofErr w:type="spellStart"/>
      <w:r w:rsidR="00147FB6">
        <w:rPr>
          <w:rFonts w:eastAsia="MS Mincho"/>
          <w:i/>
          <w:lang w:val="fr-FR"/>
        </w:rPr>
        <w:t>euille</w:t>
      </w:r>
      <w:proofErr w:type="spellEnd"/>
      <w:r w:rsidR="00147FB6" w:rsidRPr="00A10706">
        <w:rPr>
          <w:rFonts w:eastAsia="MS Mincho"/>
          <w:i/>
          <w:lang w:val="fr-FR"/>
        </w:rPr>
        <w:t xml:space="preserve"> </w:t>
      </w:r>
      <w:r w:rsidR="00147FB6" w:rsidRPr="00A10706">
        <w:rPr>
          <w:rFonts w:eastAsia="MS Mincho"/>
          <w:i/>
          <w:lang w:val="fr-FR" w:eastAsia="ja-JP"/>
        </w:rPr>
        <w:t>LW2</w:t>
      </w:r>
      <w:r w:rsidR="00147FB6" w:rsidRPr="00A10706">
        <w:rPr>
          <w:rFonts w:eastAsia="MS Mincho"/>
          <w:i/>
          <w:lang w:val="fr-FR"/>
        </w:rPr>
        <w:t>/1</w:t>
      </w:r>
      <w:r w:rsidR="00147FB6" w:rsidRPr="00207842">
        <w:rPr>
          <w:rFonts w:eastAsia="MS Mincho"/>
          <w:i/>
          <w:lang w:val="fr-FR"/>
        </w:rPr>
        <w:t>,</w:t>
      </w:r>
      <w:r w:rsidR="00147FB6" w:rsidRPr="00A10706">
        <w:rPr>
          <w:rFonts w:eastAsia="MS Mincho"/>
          <w:i/>
          <w:lang w:val="fr-FR"/>
        </w:rPr>
        <w:t xml:space="preserve"> </w:t>
      </w:r>
      <w:r w:rsidR="00147FB6" w:rsidRPr="004C3785">
        <w:rPr>
          <w:rFonts w:eastAsia="MS Mincho"/>
          <w:i/>
          <w:lang w:val="fr-FR"/>
        </w:rPr>
        <w:t>tableau</w:t>
      </w:r>
      <w:r w:rsidR="00147FB6" w:rsidRPr="00207842">
        <w:rPr>
          <w:rFonts w:eastAsia="MS Mincho"/>
          <w:lang w:val="fr-FR"/>
        </w:rPr>
        <w:t xml:space="preserve">, </w:t>
      </w:r>
      <w:proofErr w:type="gramStart"/>
      <w:r w:rsidR="00147FB6" w:rsidRPr="004C3785">
        <w:rPr>
          <w:rFonts w:eastAsia="MS Mincho"/>
          <w:lang w:val="fr-FR"/>
        </w:rPr>
        <w:t>modifier</w:t>
      </w:r>
      <w:proofErr w:type="gramEnd"/>
      <w:r w:rsidR="00147FB6" w:rsidRPr="004C3785">
        <w:rPr>
          <w:rFonts w:eastAsia="MS Mincho"/>
          <w:lang w:val="fr-FR"/>
        </w:rPr>
        <w:t xml:space="preserve"> comme suit</w:t>
      </w:r>
      <w:r w:rsidR="00147FB6" w:rsidRPr="00A10706">
        <w:rPr>
          <w:rFonts w:eastAsia="MS Mincho"/>
          <w:lang w:val="fr-FR"/>
        </w:rPr>
        <w:t>:</w:t>
      </w:r>
    </w:p>
    <w:p w:rsidR="00147FB6" w:rsidRDefault="00147FB6" w:rsidP="00147FB6">
      <w:pPr>
        <w:pStyle w:val="SingleTxtG"/>
        <w:rPr>
          <w:lang w:val="fr-FR"/>
        </w:rPr>
      </w:pPr>
      <w:r>
        <w:rPr>
          <w:lang w:val="fr-FR"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34"/>
        <w:gridCol w:w="3401"/>
        <w:gridCol w:w="1984"/>
      </w:tblGrid>
      <w:tr w:rsidR="00147FB6" w:rsidRPr="00BE2D4A" w:rsidTr="009D6AD5">
        <w:trPr>
          <w:trHeight w:val="820"/>
        </w:trPr>
        <w:tc>
          <w:tcPr>
            <w:tcW w:w="851" w:type="dxa"/>
            <w:shd w:val="clear" w:color="auto" w:fill="auto"/>
            <w:vAlign w:val="center"/>
          </w:tcPr>
          <w:p w:rsidR="00147FB6" w:rsidRPr="00BE2D4A" w:rsidRDefault="00147FB6" w:rsidP="009D6AD5">
            <w:pPr>
              <w:spacing w:before="40" w:after="120"/>
              <w:ind w:left="113" w:right="113"/>
              <w:rPr>
                <w:rFonts w:eastAsia="MS Mincho"/>
              </w:rPr>
            </w:pPr>
            <w:r w:rsidRPr="00C951A2">
              <w:t>Culot: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FB6" w:rsidRPr="00BE2D4A" w:rsidRDefault="00147FB6" w:rsidP="009D6AD5">
            <w:pPr>
              <w:spacing w:before="40" w:after="120"/>
              <w:ind w:right="113"/>
              <w:rPr>
                <w:rFonts w:eastAsia="MS Mincho"/>
              </w:rPr>
            </w:pPr>
            <w:r w:rsidRPr="00BE2D4A">
              <w:rPr>
                <w:sz w:val="18"/>
                <w:szCs w:val="18"/>
                <w:lang w:val="fr-FR"/>
              </w:rPr>
              <w:t>PGJY50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47FB6" w:rsidRPr="00BE2D4A" w:rsidRDefault="00147FB6" w:rsidP="009D6AD5">
            <w:pPr>
              <w:spacing w:before="40" w:after="120"/>
              <w:ind w:right="113"/>
              <w:rPr>
                <w:rFonts w:eastAsia="MS Mincho"/>
              </w:rPr>
            </w:pPr>
            <w:r w:rsidRPr="00C951A2">
              <w:t>Suivant la publication 60061</w:t>
            </w:r>
            <w:r>
              <w:t xml:space="preserve"> </w:t>
            </w:r>
            <w:r w:rsidRPr="00C951A2">
              <w:t>de la CEI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FB6" w:rsidRPr="00BE2D4A" w:rsidRDefault="00147FB6" w:rsidP="009D6AD5">
            <w:pPr>
              <w:spacing w:before="40" w:after="120"/>
              <w:ind w:right="113"/>
              <w:rPr>
                <w:rFonts w:eastAsia="MS Mincho"/>
              </w:rPr>
            </w:pPr>
            <w:r w:rsidRPr="00C951A2">
              <w:t>(feuille 7004-</w:t>
            </w:r>
            <w:r w:rsidRPr="00BE2D4A">
              <w:rPr>
                <w:bCs/>
              </w:rPr>
              <w:t>182-1</w:t>
            </w:r>
            <w:r w:rsidRPr="00C951A2">
              <w:t>)</w:t>
            </w:r>
          </w:p>
        </w:tc>
      </w:tr>
    </w:tbl>
    <w:p w:rsidR="00147FB6" w:rsidRPr="001876AA" w:rsidRDefault="00147FB6" w:rsidP="00147FB6">
      <w:pPr>
        <w:pStyle w:val="SingleTxtG"/>
        <w:spacing w:after="0"/>
        <w:jc w:val="right"/>
      </w:pPr>
      <w:r w:rsidRPr="001876AA">
        <w:t>»</w:t>
      </w:r>
      <w:r>
        <w:t>.</w:t>
      </w:r>
    </w:p>
    <w:p w:rsidR="00147FB6" w:rsidRPr="00207842" w:rsidRDefault="00147FB6" w:rsidP="00147FB6">
      <w:pPr>
        <w:pStyle w:val="SingleTxtG"/>
        <w:spacing w:before="240" w:after="0"/>
        <w:jc w:val="center"/>
        <w:rPr>
          <w:u w:val="single"/>
        </w:rPr>
      </w:pPr>
      <w:r>
        <w:rPr>
          <w:rFonts w:eastAsia="MS Mincho"/>
          <w:u w:val="single"/>
          <w:lang w:val="fr-FR"/>
        </w:rPr>
        <w:tab/>
      </w:r>
      <w:r>
        <w:rPr>
          <w:rFonts w:eastAsia="MS Mincho"/>
          <w:u w:val="single"/>
          <w:lang w:val="fr-FR"/>
        </w:rPr>
        <w:tab/>
      </w:r>
      <w:r>
        <w:rPr>
          <w:rFonts w:eastAsia="MS Mincho"/>
          <w:u w:val="single"/>
          <w:lang w:val="fr-FR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87" w:rsidRDefault="00EF1187"/>
  </w:endnote>
  <w:endnote w:type="continuationSeparator" w:id="0">
    <w:p w:rsidR="00EF1187" w:rsidRDefault="00EF1187">
      <w:pPr>
        <w:pStyle w:val="Footer"/>
      </w:pPr>
    </w:p>
  </w:endnote>
  <w:endnote w:type="continuationNotice" w:id="1">
    <w:p w:rsidR="00EF1187" w:rsidRPr="00C451B9" w:rsidRDefault="00EF118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8F60CC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8F60CC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8F60CC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87" w:rsidRPr="00D27D5E" w:rsidRDefault="00EF118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1187" w:rsidRPr="00D171D4" w:rsidRDefault="00EF118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EF1187" w:rsidRPr="00C451B9" w:rsidRDefault="00EF1187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</w:t>
    </w:r>
    <w:proofErr w:type="spellStart"/>
    <w:r>
      <w:t>ECE</w:t>
    </w:r>
    <w:proofErr w:type="spellEnd"/>
    <w:r>
      <w:t>/324</w:t>
    </w:r>
    <w:r w:rsidR="00147FB6" w:rsidRPr="00147FB6">
      <w:t>/Rev.2/Add.127/Amend.3</w:t>
    </w:r>
    <w:r>
      <w:br/>
      <w:t>E/</w:t>
    </w:r>
    <w:proofErr w:type="spellStart"/>
    <w:r>
      <w:t>ECE</w:t>
    </w:r>
    <w:proofErr w:type="spellEnd"/>
    <w:r>
      <w:t>/TRANS/505</w:t>
    </w:r>
    <w:r w:rsidR="00147FB6" w:rsidRPr="00147FB6">
      <w:t>/Rev.2/Add.127/Amend.3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/324/Rev.2/Add.103/Rev.1/Amend.2</w:t>
    </w:r>
    <w:r>
      <w:br/>
      <w:t>E/</w:t>
    </w:r>
    <w:proofErr w:type="spellStart"/>
    <w:r>
      <w:t>ECE</w:t>
    </w:r>
    <w:proofErr w:type="spellEnd"/>
    <w:r>
      <w:t>/TRANS/505/Rev.2/Add.103/Rev.1/Amend.2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FB6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3EA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1579D"/>
    <w:rsid w:val="00125446"/>
    <w:rsid w:val="001358D9"/>
    <w:rsid w:val="00141E26"/>
    <w:rsid w:val="00143EB9"/>
    <w:rsid w:val="00147FB6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273AE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8F60CC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D6AD5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1475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2C8B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1187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  <w:style w:type="character" w:customStyle="1" w:styleId="SingleTxtGCar">
    <w:name w:val="_ Single Txt_G Car"/>
    <w:rsid w:val="00147FB6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03</dc:creator>
  <cp:lastModifiedBy>04</cp:lastModifiedBy>
  <cp:revision>4</cp:revision>
  <cp:lastPrinted>2015-06-05T09:57:00Z</cp:lastPrinted>
  <dcterms:created xsi:type="dcterms:W3CDTF">2015-06-15T09:14:00Z</dcterms:created>
  <dcterms:modified xsi:type="dcterms:W3CDTF">2015-06-22T09:43:00Z</dcterms:modified>
</cp:coreProperties>
</file>