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Tr="00165E82">
        <w:trPr>
          <w:cantSplit/>
          <w:trHeight w:hRule="exact" w:val="851"/>
        </w:trPr>
        <w:tc>
          <w:tcPr>
            <w:tcW w:w="1276" w:type="dxa"/>
            <w:tcBorders>
              <w:bottom w:val="single" w:sz="4" w:space="0" w:color="auto"/>
            </w:tcBorders>
            <w:vAlign w:val="bottom"/>
          </w:tcPr>
          <w:p w:rsidR="0064636E" w:rsidRDefault="0064636E" w:rsidP="003C3936"/>
        </w:tc>
        <w:tc>
          <w:tcPr>
            <w:tcW w:w="8363" w:type="dxa"/>
            <w:gridSpan w:val="2"/>
            <w:tcBorders>
              <w:bottom w:val="single" w:sz="4" w:space="0" w:color="auto"/>
            </w:tcBorders>
            <w:vAlign w:val="bottom"/>
          </w:tcPr>
          <w:p w:rsidR="0064636E" w:rsidRPr="00D47EEA" w:rsidRDefault="0064636E" w:rsidP="003A5BC4">
            <w:pPr>
              <w:jc w:val="right"/>
            </w:pPr>
            <w:r w:rsidRPr="00014D07">
              <w:rPr>
                <w:sz w:val="40"/>
              </w:rPr>
              <w:t>E</w:t>
            </w:r>
            <w:r>
              <w:t>/ECE/324/</w:t>
            </w:r>
            <w:r w:rsidR="00841EB5">
              <w:t>Rev.</w:t>
            </w:r>
            <w:r w:rsidR="003A5BC4">
              <w:t>2</w:t>
            </w:r>
            <w:r w:rsidR="00841EB5">
              <w:t>/</w:t>
            </w:r>
            <w:r>
              <w:t>Add.</w:t>
            </w:r>
            <w:r w:rsidR="003A5BC4">
              <w:t>120</w:t>
            </w:r>
            <w:r>
              <w:t>/Rev.</w:t>
            </w:r>
            <w:r w:rsidR="003A5BC4">
              <w:t>1</w:t>
            </w:r>
            <w:r>
              <w:t>/</w:t>
            </w:r>
            <w:r w:rsidR="00D623A7">
              <w:t>Amend.</w:t>
            </w:r>
            <w:r w:rsidR="003A5BC4">
              <w:t>5</w:t>
            </w:r>
            <w:r>
              <w:t>−</w:t>
            </w:r>
            <w:r w:rsidRPr="00014D07">
              <w:rPr>
                <w:sz w:val="40"/>
              </w:rPr>
              <w:t>E</w:t>
            </w:r>
            <w:r>
              <w:t>/ECE/TRANS/505</w:t>
            </w:r>
            <w:r w:rsidR="003A5BC4">
              <w:t>/Rev.2/Add.120/Rev.1/Amend.5</w:t>
            </w:r>
          </w:p>
        </w:tc>
      </w:tr>
      <w:tr w:rsidR="003C3936" w:rsidTr="003D5113">
        <w:trPr>
          <w:cantSplit/>
          <w:trHeight w:hRule="exact" w:val="2554"/>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3C3936" w:rsidP="003C3936">
            <w:pPr>
              <w:spacing w:before="120"/>
            </w:pPr>
          </w:p>
          <w:p w:rsidR="00D623A7" w:rsidRDefault="00D623A7" w:rsidP="003C3936">
            <w:pPr>
              <w:spacing w:before="120"/>
            </w:pPr>
          </w:p>
          <w:p w:rsidR="00C84414" w:rsidRDefault="00C84414" w:rsidP="003C3936">
            <w:pPr>
              <w:spacing w:before="120"/>
            </w:pPr>
          </w:p>
          <w:p w:rsidR="00C84414" w:rsidRDefault="00A77146" w:rsidP="003C3936">
            <w:pPr>
              <w:spacing w:before="120"/>
            </w:pPr>
            <w:r>
              <w:t>22</w:t>
            </w:r>
            <w:bookmarkStart w:id="0" w:name="_GoBack"/>
            <w:bookmarkEnd w:id="0"/>
            <w:r w:rsidR="00CD6FE1" w:rsidRPr="00CD6FE1">
              <w:t xml:space="preserve"> June 2015</w:t>
            </w:r>
          </w:p>
        </w:tc>
      </w:tr>
    </w:tbl>
    <w:p w:rsidR="00C711C7" w:rsidRPr="00392A12" w:rsidRDefault="00C711C7" w:rsidP="00C711C7">
      <w:pPr>
        <w:pStyle w:val="HChG"/>
      </w:pPr>
      <w:r w:rsidRPr="00392A12">
        <w:tab/>
      </w:r>
      <w:r w:rsidRPr="00392A12">
        <w:tab/>
      </w:r>
      <w:bookmarkStart w:id="1" w:name="_Toc340666199"/>
      <w:bookmarkStart w:id="2" w:name="_Toc340745062"/>
      <w:r w:rsidRPr="00392A12">
        <w:t>Agreement</w:t>
      </w:r>
      <w:bookmarkEnd w:id="1"/>
      <w:bookmarkEnd w:id="2"/>
    </w:p>
    <w:p w:rsidR="00C711C7" w:rsidRPr="00392A12" w:rsidRDefault="00C711C7" w:rsidP="00C711C7">
      <w:pPr>
        <w:pStyle w:val="H1G"/>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proofErr w:type="gramStart"/>
      <w:r w:rsidR="00EA0ED6">
        <w:t>F</w:t>
      </w:r>
      <w:r w:rsidRPr="006A6FBE">
        <w:t>itted</w:t>
      </w:r>
      <w:proofErr w:type="gramEnd"/>
      <w:r w:rsidRPr="006A6FBE">
        <w:t xml:space="preserve">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rsidR="00C711C7" w:rsidRPr="00392A12" w:rsidRDefault="00C711C7" w:rsidP="00C711C7">
      <w:pPr>
        <w:pStyle w:val="SingleTxtG"/>
        <w:spacing w:before="120"/>
      </w:pPr>
      <w:r w:rsidRPr="00392A12">
        <w:t>(Revision 2, including the amendments which entered into force on 16 October 1995)</w:t>
      </w:r>
    </w:p>
    <w:p w:rsidR="0064636E" w:rsidRDefault="00C711C7" w:rsidP="00B32121">
      <w:pPr>
        <w:pStyle w:val="H1G"/>
        <w:spacing w:before="120"/>
        <w:ind w:left="0" w:right="0" w:firstLine="0"/>
        <w:jc w:val="center"/>
      </w:pPr>
      <w:r>
        <w:t>_________</w:t>
      </w:r>
    </w:p>
    <w:p w:rsidR="0064636E" w:rsidRDefault="0064636E" w:rsidP="0064636E">
      <w:pPr>
        <w:pStyle w:val="H1G"/>
      </w:pPr>
      <w:r>
        <w:tab/>
      </w:r>
      <w:r>
        <w:tab/>
        <w:t xml:space="preserve">Addendum </w:t>
      </w:r>
      <w:r w:rsidR="003D5113">
        <w:t>120</w:t>
      </w:r>
      <w:r>
        <w:t xml:space="preserve"> – Regulation No.</w:t>
      </w:r>
      <w:r w:rsidR="00271A7F">
        <w:t xml:space="preserve"> </w:t>
      </w:r>
      <w:r w:rsidR="003D5113">
        <w:t>121</w:t>
      </w:r>
    </w:p>
    <w:p w:rsidR="0064636E" w:rsidRPr="00014D07" w:rsidRDefault="0064636E" w:rsidP="0064636E">
      <w:pPr>
        <w:pStyle w:val="H1G"/>
      </w:pPr>
      <w:r>
        <w:tab/>
      </w:r>
      <w:r>
        <w:tab/>
      </w:r>
      <w:r w:rsidRPr="00014D07">
        <w:t xml:space="preserve">Revision </w:t>
      </w:r>
      <w:r w:rsidR="003D5113">
        <w:t>1</w:t>
      </w:r>
      <w:r w:rsidRPr="00014D07">
        <w:t xml:space="preserve"> - </w:t>
      </w:r>
      <w:r w:rsidR="00D623A7">
        <w:t>Amendment</w:t>
      </w:r>
      <w:r w:rsidRPr="00014D07">
        <w:t xml:space="preserve"> </w:t>
      </w:r>
      <w:r w:rsidR="003D5113">
        <w:t>5</w:t>
      </w:r>
    </w:p>
    <w:p w:rsidR="0064636E" w:rsidRPr="00272880" w:rsidRDefault="003D5113" w:rsidP="0064636E">
      <w:pPr>
        <w:pStyle w:val="SingleTxtG"/>
        <w:spacing w:after="360"/>
        <w:rPr>
          <w:spacing w:val="-2"/>
        </w:rPr>
      </w:pPr>
      <w:r>
        <w:rPr>
          <w:spacing w:val="-2"/>
        </w:rPr>
        <w:t>01</w:t>
      </w:r>
      <w:r w:rsidR="00D623A7">
        <w:rPr>
          <w:spacing w:val="-2"/>
        </w:rPr>
        <w:t xml:space="preserve"> series of amendments</w:t>
      </w:r>
      <w:r w:rsidR="0064636E" w:rsidRPr="00272880">
        <w:rPr>
          <w:spacing w:val="-2"/>
        </w:rPr>
        <w:t xml:space="preserve"> – Date of entry into force: </w:t>
      </w:r>
      <w:r>
        <w:t>15 June 2015</w:t>
      </w:r>
    </w:p>
    <w:p w:rsidR="003D5113" w:rsidRPr="003D5113" w:rsidRDefault="0064636E" w:rsidP="003D5113">
      <w:pPr>
        <w:pStyle w:val="H1G"/>
      </w:pPr>
      <w:r>
        <w:rPr>
          <w:lang w:val="en-US"/>
        </w:rPr>
        <w:tab/>
      </w:r>
      <w:r>
        <w:rPr>
          <w:lang w:val="en-US"/>
        </w:rPr>
        <w:tab/>
      </w:r>
      <w:r w:rsidR="003D5113" w:rsidRPr="003D5113">
        <w:t xml:space="preserve">Uniform provisions concerning the approval of vehicles with regard to the location and identification of hand </w:t>
      </w:r>
      <w:r w:rsidR="003D5113" w:rsidRPr="003D5113">
        <w:rPr>
          <w:rStyle w:val="H1GChar"/>
        </w:rPr>
        <w:t>controls</w:t>
      </w:r>
      <w:r w:rsidR="003D5113" w:rsidRPr="003D5113">
        <w:t>, tell-tales and indicators</w:t>
      </w:r>
    </w:p>
    <w:p w:rsidR="00B32121" w:rsidRDefault="00B32121" w:rsidP="003D5113">
      <w:pPr>
        <w:pStyle w:val="SingleTxtG"/>
        <w:rPr>
          <w:spacing w:val="-6"/>
          <w:lang w:eastAsia="en-GB"/>
        </w:rPr>
      </w:pPr>
      <w:r w:rsidRPr="00B32121">
        <w:rPr>
          <w:spacing w:val="-4"/>
          <w:lang w:eastAsia="en-GB"/>
        </w:rPr>
        <w:t>This document is meant purely as documentation tool. The authentic and legal binding text</w:t>
      </w:r>
      <w:r w:rsidR="003D5113">
        <w:rPr>
          <w:spacing w:val="-4"/>
          <w:lang w:eastAsia="en-GB"/>
        </w:rPr>
        <w:t>s</w:t>
      </w:r>
      <w:r w:rsidRPr="00B32121">
        <w:rPr>
          <w:spacing w:val="-4"/>
          <w:lang w:eastAsia="en-GB"/>
        </w:rPr>
        <w:t xml:space="preserve"> </w:t>
      </w:r>
      <w:r w:rsidR="003D5113">
        <w:rPr>
          <w:spacing w:val="-4"/>
          <w:lang w:eastAsia="en-GB"/>
        </w:rPr>
        <w:t>are</w:t>
      </w:r>
      <w:r w:rsidRPr="00B32121">
        <w:rPr>
          <w:spacing w:val="-4"/>
          <w:lang w:eastAsia="en-GB"/>
        </w:rPr>
        <w:t>:</w:t>
      </w:r>
      <w:r>
        <w:rPr>
          <w:lang w:eastAsia="en-GB"/>
        </w:rPr>
        <w:t xml:space="preserve"> </w:t>
      </w:r>
      <w:r w:rsidR="003D5113">
        <w:rPr>
          <w:lang w:eastAsia="en-GB"/>
        </w:rPr>
        <w:t>-</w:t>
      </w:r>
      <w:r w:rsidR="003D5113">
        <w:rPr>
          <w:lang w:eastAsia="en-GB"/>
        </w:rPr>
        <w:tab/>
      </w:r>
      <w:proofErr w:type="spellStart"/>
      <w:r>
        <w:rPr>
          <w:spacing w:val="-6"/>
          <w:lang w:eastAsia="en-GB"/>
        </w:rPr>
        <w:t>ECE</w:t>
      </w:r>
      <w:proofErr w:type="spellEnd"/>
      <w:r>
        <w:rPr>
          <w:spacing w:val="-6"/>
          <w:lang w:eastAsia="en-GB"/>
        </w:rPr>
        <w:t>/TRANS/WP.29/201</w:t>
      </w:r>
      <w:r w:rsidR="003D5113">
        <w:rPr>
          <w:spacing w:val="-6"/>
          <w:lang w:eastAsia="en-GB"/>
        </w:rPr>
        <w:t>2</w:t>
      </w:r>
      <w:r>
        <w:rPr>
          <w:spacing w:val="-6"/>
          <w:lang w:eastAsia="en-GB"/>
        </w:rPr>
        <w:t>/</w:t>
      </w:r>
      <w:r w:rsidR="003D5113">
        <w:rPr>
          <w:spacing w:val="-6"/>
          <w:lang w:eastAsia="en-GB"/>
        </w:rPr>
        <w:t>30</w:t>
      </w:r>
      <w:r w:rsidR="003D5113">
        <w:rPr>
          <w:spacing w:val="-6"/>
          <w:lang w:eastAsia="en-GB"/>
        </w:rPr>
        <w:br/>
      </w:r>
      <w:r w:rsidR="003D5113">
        <w:rPr>
          <w:lang w:eastAsia="en-GB"/>
        </w:rPr>
        <w:t>-</w:t>
      </w:r>
      <w:r w:rsidR="003D5113">
        <w:rPr>
          <w:lang w:eastAsia="en-GB"/>
        </w:rPr>
        <w:tab/>
      </w:r>
      <w:proofErr w:type="spellStart"/>
      <w:r w:rsidR="003D5113">
        <w:rPr>
          <w:spacing w:val="-6"/>
          <w:lang w:eastAsia="en-GB"/>
        </w:rPr>
        <w:t>ECE</w:t>
      </w:r>
      <w:proofErr w:type="spellEnd"/>
      <w:r w:rsidR="003D5113">
        <w:rPr>
          <w:spacing w:val="-6"/>
          <w:lang w:eastAsia="en-GB"/>
        </w:rPr>
        <w:t>/TRANS/WP.29/2012/30/Corr.1</w:t>
      </w:r>
      <w:r w:rsidR="00C61C6B">
        <w:rPr>
          <w:spacing w:val="-6"/>
          <w:lang w:eastAsia="en-GB"/>
        </w:rPr>
        <w:t>.</w:t>
      </w:r>
    </w:p>
    <w:p w:rsidR="000D3A4F" w:rsidRPr="000D3A4F" w:rsidRDefault="000D3A4F" w:rsidP="000D3A4F">
      <w:pPr>
        <w:suppressAutoHyphens w:val="0"/>
        <w:spacing w:line="240" w:lineRule="auto"/>
        <w:jc w:val="center"/>
        <w:rPr>
          <w:b/>
          <w:sz w:val="24"/>
        </w:rPr>
      </w:pPr>
      <w:r w:rsidRPr="000D3A4F">
        <w:rPr>
          <w:b/>
          <w:sz w:val="24"/>
        </w:rPr>
        <w:t>_________</w:t>
      </w:r>
    </w:p>
    <w:p w:rsidR="000D3A4F" w:rsidRPr="000D3A4F" w:rsidRDefault="00A77146" w:rsidP="000D3A4F">
      <w:pPr>
        <w:suppressAutoHyphens w:val="0"/>
        <w:spacing w:line="240" w:lineRule="auto"/>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margin-left:200pt;margin-top:13.4pt;width:81pt;height:65.1pt;z-index:251657728;visibility:visible;mso-wrap-distance-bottom:10.8pt">
            <v:imagedata r:id="rId8" o:title="" cropleft="-4983f" cropright="-4983f"/>
            <w10:wrap type="topAndBottom"/>
          </v:shape>
        </w:pict>
      </w:r>
    </w:p>
    <w:p w:rsidR="000D3A4F" w:rsidRPr="000D3A4F" w:rsidRDefault="000D3A4F" w:rsidP="000D3A4F">
      <w:pPr>
        <w:suppressAutoHyphens w:val="0"/>
        <w:spacing w:line="240" w:lineRule="auto"/>
        <w:jc w:val="center"/>
        <w:rPr>
          <w:b/>
          <w:sz w:val="24"/>
        </w:rPr>
      </w:pPr>
      <w:r w:rsidRPr="000D3A4F">
        <w:rPr>
          <w:b/>
          <w:sz w:val="24"/>
        </w:rPr>
        <w:t>UNITED NATIONS</w:t>
      </w:r>
    </w:p>
    <w:p w:rsidR="00D623A7" w:rsidRDefault="00D623A7">
      <w:pPr>
        <w:suppressAutoHyphens w:val="0"/>
        <w:spacing w:line="240" w:lineRule="auto"/>
      </w:pPr>
    </w:p>
    <w:p w:rsidR="00713BD8" w:rsidRDefault="00713BD8">
      <w:pPr>
        <w:suppressAutoHyphens w:val="0"/>
        <w:spacing w:line="240" w:lineRule="auto"/>
      </w:pPr>
    </w:p>
    <w:p w:rsidR="003D5113" w:rsidRPr="003D5113" w:rsidRDefault="003D5113" w:rsidP="003D5113">
      <w:pPr>
        <w:keepLines/>
        <w:spacing w:after="120"/>
        <w:ind w:left="1143" w:right="1134" w:hanging="9"/>
        <w:jc w:val="both"/>
        <w:rPr>
          <w:i/>
        </w:rPr>
      </w:pPr>
      <w:r w:rsidRPr="003D5113">
        <w:rPr>
          <w:i/>
        </w:rPr>
        <w:t xml:space="preserve">Paragraph 4.2., </w:t>
      </w:r>
      <w:r w:rsidRPr="003D5113">
        <w:t>amend the words "at present 00 for the Regulation in its original form" to read "at present 01 corresponding to the 01 series of amendments to the Regulation".</w:t>
      </w:r>
    </w:p>
    <w:p w:rsidR="003D5113" w:rsidRPr="003D5113" w:rsidRDefault="003D5113" w:rsidP="00EA3798">
      <w:pPr>
        <w:tabs>
          <w:tab w:val="left" w:pos="2268"/>
        </w:tabs>
        <w:spacing w:after="240"/>
        <w:ind w:left="2268" w:right="1134" w:hanging="1134"/>
        <w:jc w:val="both"/>
        <w:rPr>
          <w:i/>
        </w:rPr>
      </w:pPr>
      <w:r w:rsidRPr="003D5113">
        <w:rPr>
          <w:i/>
        </w:rPr>
        <w:t xml:space="preserve">Add new paragraphs 12. </w:t>
      </w:r>
      <w:proofErr w:type="gramStart"/>
      <w:r w:rsidRPr="003D5113">
        <w:rPr>
          <w:i/>
        </w:rPr>
        <w:t>to</w:t>
      </w:r>
      <w:proofErr w:type="gramEnd"/>
      <w:r w:rsidRPr="003D5113">
        <w:rPr>
          <w:i/>
        </w:rPr>
        <w:t xml:space="preserve"> 12.3., </w:t>
      </w:r>
      <w:r w:rsidRPr="003D5113">
        <w:t>to read:</w:t>
      </w:r>
    </w:p>
    <w:p w:rsidR="003D5113" w:rsidRPr="003D5113" w:rsidRDefault="003D5113" w:rsidP="00EA3798">
      <w:pPr>
        <w:tabs>
          <w:tab w:val="left" w:pos="2268"/>
        </w:tabs>
        <w:spacing w:after="240"/>
        <w:ind w:left="2268" w:right="1134" w:hanging="1134"/>
        <w:jc w:val="both"/>
      </w:pPr>
      <w:r w:rsidRPr="003D5113">
        <w:t>"12.</w:t>
      </w:r>
      <w:r w:rsidRPr="003D5113">
        <w:tab/>
        <w:t>Transitional provisions</w:t>
      </w:r>
    </w:p>
    <w:p w:rsidR="003D5113" w:rsidRPr="003D5113" w:rsidRDefault="003D5113" w:rsidP="00EA3798">
      <w:pPr>
        <w:tabs>
          <w:tab w:val="left" w:pos="2268"/>
        </w:tabs>
        <w:spacing w:after="240"/>
        <w:ind w:left="2268" w:right="1134" w:hanging="1134"/>
        <w:jc w:val="both"/>
      </w:pPr>
      <w:r w:rsidRPr="003D5113">
        <w:t>12.1.</w:t>
      </w:r>
      <w:r w:rsidRPr="003D5113">
        <w:tab/>
        <w:t>As from the official date of entry into force of the 01 series of amendment to this Regulation, no Contracting Party applying this Regulation shall refuse national</w:t>
      </w:r>
      <w:r w:rsidRPr="003D5113">
        <w:rPr>
          <w:i/>
          <w:lang w:eastAsia="ja-JP"/>
        </w:rPr>
        <w:t xml:space="preserve"> </w:t>
      </w:r>
      <w:r w:rsidRPr="003D5113">
        <w:rPr>
          <w:iCs/>
          <w:lang w:eastAsia="ja-JP"/>
        </w:rPr>
        <w:t>or regional</w:t>
      </w:r>
      <w:r w:rsidRPr="003D5113">
        <w:rPr>
          <w:i/>
          <w:lang w:eastAsia="ja-JP"/>
        </w:rPr>
        <w:t xml:space="preserve"> </w:t>
      </w:r>
      <w:r w:rsidRPr="003D5113">
        <w:t>type approval of a vehicle type approved to the 01 series of amendment to this Regulation.</w:t>
      </w:r>
    </w:p>
    <w:p w:rsidR="003D5113" w:rsidRPr="003D5113" w:rsidRDefault="003D5113" w:rsidP="00EA3798">
      <w:pPr>
        <w:tabs>
          <w:tab w:val="left" w:pos="2268"/>
        </w:tabs>
        <w:spacing w:after="240"/>
        <w:ind w:left="2268" w:right="1134" w:hanging="1134"/>
        <w:jc w:val="both"/>
      </w:pPr>
      <w:r w:rsidRPr="003D5113">
        <w:t>12.2.</w:t>
      </w:r>
      <w:r w:rsidRPr="003D5113">
        <w:tab/>
        <w:t>Contracting Parties applying this Regulation shall not refuse to grant extensions of approval according to the preceding series of amendments to this Regulation.</w:t>
      </w:r>
    </w:p>
    <w:p w:rsidR="003D5113" w:rsidRDefault="003D5113" w:rsidP="00EA3798">
      <w:pPr>
        <w:tabs>
          <w:tab w:val="left" w:pos="2268"/>
        </w:tabs>
        <w:spacing w:after="240"/>
        <w:ind w:left="2268" w:right="1134" w:hanging="1134"/>
        <w:jc w:val="both"/>
        <w:rPr>
          <w:bCs/>
        </w:rPr>
      </w:pPr>
      <w:r w:rsidRPr="003D5113">
        <w:rPr>
          <w:bCs/>
        </w:rPr>
        <w:t>12.3.</w:t>
      </w:r>
      <w:r w:rsidRPr="003D5113">
        <w:rPr>
          <w:bCs/>
        </w:rPr>
        <w:tab/>
        <w:t>As from 24 months after the date of entry into force of the 01 series of amendments, Contracting Parties applying this Regulation shall grant type approvals only if the vehicle type to be approved meets the requirements of this Regulation as amended by the 01 series of amendments.</w:t>
      </w:r>
    </w:p>
    <w:p w:rsidR="003D5113" w:rsidRPr="003D5113" w:rsidRDefault="003D5113" w:rsidP="00EA3798">
      <w:pPr>
        <w:tabs>
          <w:tab w:val="left" w:pos="2268"/>
        </w:tabs>
        <w:spacing w:after="240"/>
        <w:ind w:left="2268" w:right="1134" w:hanging="1134"/>
        <w:jc w:val="both"/>
      </w:pPr>
      <w:r w:rsidRPr="003D5113">
        <w:t>"</w:t>
      </w:r>
    </w:p>
    <w:p w:rsidR="003D5113" w:rsidRPr="003D5113" w:rsidRDefault="003D5113" w:rsidP="00EA3798">
      <w:pPr>
        <w:tabs>
          <w:tab w:val="left" w:pos="2268"/>
        </w:tabs>
        <w:spacing w:after="240"/>
        <w:ind w:left="2268" w:right="1134" w:hanging="1134"/>
        <w:jc w:val="both"/>
      </w:pPr>
      <w:r w:rsidRPr="003D5113">
        <w:rPr>
          <w:i/>
        </w:rPr>
        <w:t>Table 1</w:t>
      </w:r>
      <w:r w:rsidRPr="003D5113">
        <w:t xml:space="preserve">, amend to read (including the insertion of new footnote </w:t>
      </w:r>
      <w:r w:rsidR="00010357" w:rsidRPr="003D5113">
        <w:rPr>
          <w:rFonts w:eastAsia="Arial Unicode MS"/>
          <w:u w:val="single"/>
        </w:rPr>
        <w:t>21</w:t>
      </w:r>
      <w:r w:rsidR="00010357" w:rsidRPr="003D5113">
        <w:rPr>
          <w:rFonts w:eastAsia="Arial Unicode MS"/>
        </w:rPr>
        <w:t>/</w:t>
      </w:r>
      <w:r w:rsidRPr="003D5113">
        <w:t>):</w:t>
      </w:r>
    </w:p>
    <w:tbl>
      <w:tblPr>
        <w:tblW w:w="8832" w:type="dxa"/>
        <w:tblInd w:w="1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76"/>
        <w:gridCol w:w="2531"/>
        <w:gridCol w:w="1823"/>
        <w:gridCol w:w="1114"/>
        <w:gridCol w:w="1612"/>
        <w:gridCol w:w="1276"/>
      </w:tblGrid>
      <w:tr w:rsidR="003D5113" w:rsidRPr="003D5113" w:rsidTr="009453CC">
        <w:trPr>
          <w:cantSplit/>
          <w:trHeight w:val="436"/>
        </w:trPr>
        <w:tc>
          <w:tcPr>
            <w:tcW w:w="476" w:type="dxa"/>
            <w:tcBorders>
              <w:top w:val="single" w:sz="6" w:space="0" w:color="auto"/>
              <w:left w:val="single" w:sz="6" w:space="0" w:color="auto"/>
              <w:right w:val="single" w:sz="6" w:space="0" w:color="auto"/>
            </w:tcBorders>
            <w:vAlign w:val="center"/>
          </w:tcPr>
          <w:p w:rsidR="003D5113" w:rsidRPr="003D5113" w:rsidRDefault="003D5113" w:rsidP="003D5113">
            <w:pPr>
              <w:ind w:left="-108" w:right="-108"/>
              <w:jc w:val="center"/>
            </w:pPr>
            <w:r w:rsidRPr="003D5113">
              <w:t>No.</w:t>
            </w:r>
          </w:p>
        </w:tc>
        <w:tc>
          <w:tcPr>
            <w:tcW w:w="2531" w:type="dxa"/>
            <w:tcBorders>
              <w:top w:val="single" w:sz="6" w:space="0" w:color="auto"/>
              <w:left w:val="single" w:sz="6" w:space="0" w:color="auto"/>
              <w:right w:val="single" w:sz="6" w:space="0" w:color="auto"/>
            </w:tcBorders>
            <w:vAlign w:val="center"/>
          </w:tcPr>
          <w:p w:rsidR="003D5113" w:rsidRPr="003D5113" w:rsidRDefault="003D5113" w:rsidP="003D5113">
            <w:pPr>
              <w:jc w:val="center"/>
            </w:pPr>
            <w:r w:rsidRPr="003D5113">
              <w:t>Column 1</w:t>
            </w:r>
          </w:p>
        </w:tc>
        <w:tc>
          <w:tcPr>
            <w:tcW w:w="1823" w:type="dxa"/>
            <w:tcBorders>
              <w:top w:val="single" w:sz="6" w:space="0" w:color="auto"/>
              <w:left w:val="single" w:sz="6" w:space="0" w:color="auto"/>
              <w:right w:val="single" w:sz="6" w:space="0" w:color="auto"/>
            </w:tcBorders>
            <w:vAlign w:val="center"/>
          </w:tcPr>
          <w:p w:rsidR="003D5113" w:rsidRPr="003D5113" w:rsidRDefault="003D5113" w:rsidP="003D5113">
            <w:pPr>
              <w:jc w:val="center"/>
              <w:outlineLvl w:val="2"/>
              <w:rPr>
                <w:bCs/>
              </w:rPr>
            </w:pPr>
            <w:r w:rsidRPr="003D5113">
              <w:rPr>
                <w:bCs/>
              </w:rPr>
              <w:t>Column 2</w:t>
            </w:r>
          </w:p>
        </w:tc>
        <w:tc>
          <w:tcPr>
            <w:tcW w:w="1114" w:type="dxa"/>
            <w:tcBorders>
              <w:top w:val="single" w:sz="6" w:space="0" w:color="auto"/>
              <w:left w:val="single" w:sz="6" w:space="0" w:color="auto"/>
              <w:right w:val="single" w:sz="6" w:space="0" w:color="auto"/>
            </w:tcBorders>
            <w:vAlign w:val="center"/>
          </w:tcPr>
          <w:p w:rsidR="003D5113" w:rsidRPr="003D5113" w:rsidRDefault="003D5113" w:rsidP="003D5113">
            <w:pPr>
              <w:jc w:val="center"/>
            </w:pPr>
            <w:r w:rsidRPr="003D5113">
              <w:t>Column 3</w:t>
            </w:r>
          </w:p>
        </w:tc>
        <w:tc>
          <w:tcPr>
            <w:tcW w:w="1612" w:type="dxa"/>
            <w:tcBorders>
              <w:top w:val="single" w:sz="6" w:space="0" w:color="auto"/>
              <w:left w:val="single" w:sz="6" w:space="0" w:color="auto"/>
              <w:right w:val="single" w:sz="6" w:space="0" w:color="auto"/>
            </w:tcBorders>
            <w:vAlign w:val="center"/>
          </w:tcPr>
          <w:p w:rsidR="003D5113" w:rsidRPr="003D5113" w:rsidRDefault="003D5113" w:rsidP="003D5113">
            <w:pPr>
              <w:jc w:val="center"/>
            </w:pPr>
            <w:r w:rsidRPr="003D5113">
              <w:t>Column 4</w:t>
            </w:r>
          </w:p>
        </w:tc>
        <w:tc>
          <w:tcPr>
            <w:tcW w:w="1276" w:type="dxa"/>
            <w:tcBorders>
              <w:top w:val="single" w:sz="6" w:space="0" w:color="auto"/>
              <w:left w:val="single" w:sz="6" w:space="0" w:color="auto"/>
              <w:right w:val="single" w:sz="6" w:space="0" w:color="auto"/>
            </w:tcBorders>
            <w:vAlign w:val="center"/>
          </w:tcPr>
          <w:p w:rsidR="003D5113" w:rsidRPr="003D5113" w:rsidRDefault="003D5113" w:rsidP="003D5113">
            <w:pPr>
              <w:jc w:val="center"/>
            </w:pPr>
            <w:r w:rsidRPr="003D5113">
              <w:t>Column 5</w:t>
            </w:r>
          </w:p>
        </w:tc>
      </w:tr>
      <w:tr w:rsidR="003D5113" w:rsidRPr="003D5113" w:rsidTr="009453CC">
        <w:trPr>
          <w:cantSplit/>
          <w:trHeight w:val="348"/>
        </w:trPr>
        <w:tc>
          <w:tcPr>
            <w:tcW w:w="476" w:type="dxa"/>
            <w:tcBorders>
              <w:top w:val="single" w:sz="6" w:space="0" w:color="auto"/>
              <w:left w:val="single" w:sz="6" w:space="0" w:color="auto"/>
              <w:right w:val="single" w:sz="6" w:space="0" w:color="auto"/>
            </w:tcBorders>
          </w:tcPr>
          <w:p w:rsidR="003D5113" w:rsidRPr="003D5113" w:rsidRDefault="003D5113" w:rsidP="003D5113">
            <w:pPr>
              <w:ind w:left="-108" w:right="-108"/>
              <w:jc w:val="center"/>
            </w:pPr>
          </w:p>
        </w:tc>
        <w:tc>
          <w:tcPr>
            <w:tcW w:w="2531" w:type="dxa"/>
            <w:tcBorders>
              <w:top w:val="single" w:sz="6" w:space="0" w:color="auto"/>
              <w:left w:val="single" w:sz="6" w:space="0" w:color="auto"/>
              <w:right w:val="single" w:sz="6" w:space="0" w:color="auto"/>
            </w:tcBorders>
          </w:tcPr>
          <w:p w:rsidR="003D5113" w:rsidRPr="003D5113" w:rsidRDefault="003D5113" w:rsidP="003D5113">
            <w:pPr>
              <w:jc w:val="center"/>
              <w:rPr>
                <w:bCs/>
                <w:sz w:val="18"/>
              </w:rPr>
            </w:pPr>
            <w:r w:rsidRPr="003D5113">
              <w:rPr>
                <w:bCs/>
                <w:sz w:val="18"/>
              </w:rPr>
              <w:t>ITEM</w:t>
            </w:r>
          </w:p>
        </w:tc>
        <w:tc>
          <w:tcPr>
            <w:tcW w:w="1823" w:type="dxa"/>
            <w:tcBorders>
              <w:top w:val="single" w:sz="6" w:space="0" w:color="auto"/>
              <w:left w:val="single" w:sz="6" w:space="0" w:color="auto"/>
              <w:right w:val="single" w:sz="6" w:space="0" w:color="auto"/>
            </w:tcBorders>
          </w:tcPr>
          <w:p w:rsidR="003D5113" w:rsidRPr="003D5113" w:rsidRDefault="003D5113" w:rsidP="003D5113">
            <w:pPr>
              <w:jc w:val="center"/>
              <w:rPr>
                <w:bCs/>
                <w:sz w:val="18"/>
              </w:rPr>
            </w:pPr>
            <w:r w:rsidRPr="003D5113">
              <w:rPr>
                <w:bCs/>
                <w:sz w:val="18"/>
              </w:rPr>
              <w:t xml:space="preserve">SYMBOL </w:t>
            </w:r>
            <w:r w:rsidRPr="003D5113">
              <w:rPr>
                <w:bCs/>
                <w:sz w:val="18"/>
                <w:u w:val="single"/>
              </w:rPr>
              <w:t>2</w:t>
            </w:r>
            <w:r w:rsidRPr="003D5113">
              <w:rPr>
                <w:bCs/>
                <w:sz w:val="18"/>
              </w:rPr>
              <w:t>/</w:t>
            </w:r>
          </w:p>
        </w:tc>
        <w:tc>
          <w:tcPr>
            <w:tcW w:w="1114" w:type="dxa"/>
            <w:tcBorders>
              <w:top w:val="single" w:sz="6" w:space="0" w:color="auto"/>
              <w:left w:val="single" w:sz="6" w:space="0" w:color="auto"/>
              <w:right w:val="single" w:sz="6" w:space="0" w:color="auto"/>
            </w:tcBorders>
          </w:tcPr>
          <w:p w:rsidR="003D5113" w:rsidRPr="003D5113" w:rsidRDefault="003D5113" w:rsidP="003D5113">
            <w:pPr>
              <w:jc w:val="center"/>
              <w:rPr>
                <w:bCs/>
                <w:sz w:val="18"/>
              </w:rPr>
            </w:pPr>
            <w:r w:rsidRPr="003D5113">
              <w:rPr>
                <w:bCs/>
                <w:sz w:val="18"/>
              </w:rPr>
              <w:t>FUNCTION</w:t>
            </w:r>
          </w:p>
        </w:tc>
        <w:tc>
          <w:tcPr>
            <w:tcW w:w="1612" w:type="dxa"/>
            <w:tcBorders>
              <w:top w:val="single" w:sz="6" w:space="0" w:color="auto"/>
              <w:left w:val="single" w:sz="6" w:space="0" w:color="auto"/>
              <w:right w:val="single" w:sz="6" w:space="0" w:color="auto"/>
            </w:tcBorders>
          </w:tcPr>
          <w:p w:rsidR="003D5113" w:rsidRPr="003D5113" w:rsidRDefault="003D5113" w:rsidP="003D5113">
            <w:pPr>
              <w:jc w:val="center"/>
              <w:outlineLvl w:val="4"/>
              <w:rPr>
                <w:bCs/>
                <w:sz w:val="18"/>
              </w:rPr>
            </w:pPr>
            <w:r w:rsidRPr="003D5113">
              <w:rPr>
                <w:bCs/>
                <w:sz w:val="18"/>
              </w:rPr>
              <w:t>ILLUMINATION</w:t>
            </w:r>
          </w:p>
        </w:tc>
        <w:tc>
          <w:tcPr>
            <w:tcW w:w="1276" w:type="dxa"/>
            <w:tcBorders>
              <w:top w:val="single" w:sz="6" w:space="0" w:color="auto"/>
              <w:left w:val="single" w:sz="6" w:space="0" w:color="auto"/>
              <w:right w:val="single" w:sz="6" w:space="0" w:color="auto"/>
            </w:tcBorders>
          </w:tcPr>
          <w:p w:rsidR="003D5113" w:rsidRPr="003D5113" w:rsidRDefault="003D5113" w:rsidP="003D5113">
            <w:pPr>
              <w:jc w:val="center"/>
              <w:rPr>
                <w:bCs/>
                <w:sz w:val="18"/>
              </w:rPr>
            </w:pPr>
            <w:r w:rsidRPr="003D5113">
              <w:rPr>
                <w:bCs/>
                <w:sz w:val="18"/>
              </w:rPr>
              <w:t>COLOUR</w:t>
            </w:r>
          </w:p>
        </w:tc>
      </w:tr>
      <w:tr w:rsidR="003D5113" w:rsidRPr="003D5113" w:rsidTr="009453CC">
        <w:trPr>
          <w:cantSplit/>
          <w:trHeight w:val="411"/>
        </w:trPr>
        <w:tc>
          <w:tcPr>
            <w:tcW w:w="476" w:type="dxa"/>
            <w:tcBorders>
              <w:top w:val="single" w:sz="6" w:space="0" w:color="auto"/>
              <w:left w:val="single" w:sz="6" w:space="0" w:color="auto"/>
              <w:right w:val="single" w:sz="6" w:space="0" w:color="auto"/>
            </w:tcBorders>
          </w:tcPr>
          <w:p w:rsidR="003D5113" w:rsidRPr="003D5113" w:rsidRDefault="003D5113" w:rsidP="003D5113">
            <w:pPr>
              <w:spacing w:before="80" w:after="80"/>
              <w:jc w:val="center"/>
            </w:pPr>
            <w:r w:rsidRPr="003D5113">
              <w:t>…</w:t>
            </w:r>
          </w:p>
        </w:tc>
        <w:tc>
          <w:tcPr>
            <w:tcW w:w="2531" w:type="dxa"/>
            <w:tcBorders>
              <w:top w:val="single" w:sz="6" w:space="0" w:color="auto"/>
              <w:left w:val="single" w:sz="6" w:space="0" w:color="auto"/>
              <w:right w:val="single" w:sz="6" w:space="0" w:color="auto"/>
            </w:tcBorders>
          </w:tcPr>
          <w:p w:rsidR="003D5113" w:rsidRPr="003D5113" w:rsidRDefault="003D5113" w:rsidP="003D5113">
            <w:pPr>
              <w:spacing w:before="80" w:after="80"/>
              <w:jc w:val="center"/>
            </w:pPr>
            <w:r w:rsidRPr="003D5113">
              <w:t>…</w:t>
            </w:r>
          </w:p>
        </w:tc>
        <w:tc>
          <w:tcPr>
            <w:tcW w:w="1823" w:type="dxa"/>
            <w:tcBorders>
              <w:top w:val="single" w:sz="6" w:space="0" w:color="auto"/>
              <w:left w:val="single" w:sz="6" w:space="0" w:color="auto"/>
              <w:right w:val="single" w:sz="6" w:space="0" w:color="auto"/>
            </w:tcBorders>
          </w:tcPr>
          <w:p w:rsidR="003D5113" w:rsidRPr="003D5113" w:rsidRDefault="003D5113" w:rsidP="003D5113">
            <w:pPr>
              <w:suppressAutoHyphens w:val="0"/>
              <w:spacing w:before="80" w:after="80"/>
              <w:jc w:val="center"/>
              <w:rPr>
                <w:rFonts w:eastAsia="Arial Unicode MS"/>
              </w:rPr>
            </w:pPr>
            <w:r w:rsidRPr="003D5113">
              <w:rPr>
                <w:rFonts w:eastAsia="Arial Unicode MS"/>
              </w:rPr>
              <w:t>…</w:t>
            </w:r>
          </w:p>
        </w:tc>
        <w:tc>
          <w:tcPr>
            <w:tcW w:w="1114" w:type="dxa"/>
            <w:tcBorders>
              <w:top w:val="single" w:sz="6" w:space="0" w:color="auto"/>
              <w:left w:val="single" w:sz="6" w:space="0" w:color="auto"/>
              <w:right w:val="single" w:sz="6" w:space="0" w:color="auto"/>
            </w:tcBorders>
          </w:tcPr>
          <w:p w:rsidR="003D5113" w:rsidRPr="003D5113" w:rsidRDefault="003D5113" w:rsidP="003D5113">
            <w:pPr>
              <w:spacing w:before="80" w:after="80"/>
              <w:jc w:val="center"/>
            </w:pPr>
            <w:r w:rsidRPr="003D5113">
              <w:t>…</w:t>
            </w:r>
          </w:p>
        </w:tc>
        <w:tc>
          <w:tcPr>
            <w:tcW w:w="1612" w:type="dxa"/>
            <w:tcBorders>
              <w:top w:val="single" w:sz="6" w:space="0" w:color="auto"/>
              <w:left w:val="single" w:sz="6" w:space="0" w:color="auto"/>
              <w:right w:val="single" w:sz="6" w:space="0" w:color="auto"/>
            </w:tcBorders>
          </w:tcPr>
          <w:p w:rsidR="003D5113" w:rsidRPr="003D5113" w:rsidRDefault="003D5113" w:rsidP="003D5113">
            <w:pPr>
              <w:spacing w:before="80" w:after="80"/>
              <w:jc w:val="center"/>
            </w:pPr>
            <w:r w:rsidRPr="003D5113">
              <w:t>…</w:t>
            </w:r>
          </w:p>
        </w:tc>
        <w:tc>
          <w:tcPr>
            <w:tcW w:w="1276" w:type="dxa"/>
            <w:tcBorders>
              <w:top w:val="single" w:sz="6" w:space="0" w:color="auto"/>
              <w:left w:val="single" w:sz="6" w:space="0" w:color="auto"/>
              <w:right w:val="single" w:sz="6" w:space="0" w:color="auto"/>
            </w:tcBorders>
          </w:tcPr>
          <w:p w:rsidR="003D5113" w:rsidRPr="003D5113" w:rsidRDefault="003D5113" w:rsidP="003D5113">
            <w:pPr>
              <w:spacing w:before="80" w:after="80"/>
              <w:jc w:val="center"/>
            </w:pPr>
            <w:r w:rsidRPr="003D5113">
              <w:t>…</w:t>
            </w:r>
          </w:p>
        </w:tc>
      </w:tr>
      <w:tr w:rsidR="003D5113" w:rsidRPr="003D5113" w:rsidTr="009453CC">
        <w:trPr>
          <w:cantSplit/>
          <w:trHeight w:val="1712"/>
        </w:trPr>
        <w:tc>
          <w:tcPr>
            <w:tcW w:w="476" w:type="dxa"/>
            <w:tcBorders>
              <w:top w:val="single" w:sz="6" w:space="0" w:color="auto"/>
              <w:left w:val="single" w:sz="6" w:space="0" w:color="auto"/>
              <w:right w:val="single" w:sz="6" w:space="0" w:color="auto"/>
            </w:tcBorders>
          </w:tcPr>
          <w:p w:rsidR="003D5113" w:rsidRPr="003D5113" w:rsidRDefault="003D5113" w:rsidP="003D5113">
            <w:pPr>
              <w:spacing w:before="80" w:after="80"/>
            </w:pPr>
            <w:r w:rsidRPr="003D5113">
              <w:t>43.</w:t>
            </w:r>
          </w:p>
        </w:tc>
        <w:tc>
          <w:tcPr>
            <w:tcW w:w="2531" w:type="dxa"/>
            <w:tcBorders>
              <w:top w:val="single" w:sz="6" w:space="0" w:color="auto"/>
              <w:left w:val="single" w:sz="6" w:space="0" w:color="auto"/>
              <w:right w:val="single" w:sz="6" w:space="0" w:color="auto"/>
            </w:tcBorders>
          </w:tcPr>
          <w:p w:rsidR="003D5113" w:rsidRPr="003D5113" w:rsidRDefault="003D5113" w:rsidP="003D5113">
            <w:pPr>
              <w:spacing w:before="80" w:after="80"/>
            </w:pPr>
            <w:r w:rsidRPr="003D5113">
              <w:t>Electronic stability control</w:t>
            </w:r>
          </w:p>
        </w:tc>
        <w:tc>
          <w:tcPr>
            <w:tcW w:w="1823" w:type="dxa"/>
            <w:tcBorders>
              <w:top w:val="single" w:sz="6" w:space="0" w:color="auto"/>
              <w:left w:val="single" w:sz="6" w:space="0" w:color="auto"/>
              <w:right w:val="single" w:sz="6" w:space="0" w:color="auto"/>
            </w:tcBorders>
          </w:tcPr>
          <w:p w:rsidR="003D5113" w:rsidRPr="003D5113" w:rsidRDefault="00A77146" w:rsidP="003D5113">
            <w:pPr>
              <w:suppressAutoHyphens w:val="0"/>
              <w:spacing w:before="80" w:after="80"/>
              <w:jc w:val="center"/>
              <w:rPr>
                <w:rFonts w:eastAsia="Arial Unicode MS"/>
              </w:rPr>
            </w:pPr>
            <w:r>
              <w:rPr>
                <w:rFonts w:eastAsia="Arial Unicode MS"/>
              </w:rPr>
              <w:pict>
                <v:shape id="_x0000_i1025" type="#_x0000_t75" style="width:32.4pt;height:38.4pt">
                  <v:imagedata r:id="rId9" o:title=""/>
                </v:shape>
              </w:pict>
            </w:r>
          </w:p>
          <w:p w:rsidR="003D5113" w:rsidRPr="003D5113" w:rsidRDefault="003D5113" w:rsidP="003D5113">
            <w:pPr>
              <w:suppressAutoHyphens w:val="0"/>
              <w:spacing w:before="80" w:after="80"/>
              <w:jc w:val="center"/>
              <w:rPr>
                <w:rFonts w:eastAsia="Arial Unicode MS"/>
              </w:rPr>
            </w:pPr>
            <w:r w:rsidRPr="003D5113">
              <w:rPr>
                <w:rFonts w:eastAsia="Arial Unicode MS"/>
              </w:rPr>
              <w:t>or ESC</w:t>
            </w:r>
          </w:p>
          <w:p w:rsidR="003D5113" w:rsidRPr="003D5113" w:rsidRDefault="003D5113" w:rsidP="003D5113">
            <w:pPr>
              <w:suppressAutoHyphens w:val="0"/>
              <w:spacing w:before="80" w:after="80"/>
              <w:jc w:val="center"/>
              <w:rPr>
                <w:rFonts w:eastAsia="Arial Unicode MS"/>
              </w:rPr>
            </w:pPr>
            <w:r w:rsidRPr="003D5113">
              <w:rPr>
                <w:rFonts w:eastAsia="Arial Unicode MS"/>
                <w:u w:val="single"/>
              </w:rPr>
              <w:t>17</w:t>
            </w:r>
            <w:r w:rsidRPr="003D5113">
              <w:rPr>
                <w:rFonts w:eastAsia="Arial Unicode MS"/>
              </w:rPr>
              <w:t>/</w:t>
            </w:r>
          </w:p>
        </w:tc>
        <w:tc>
          <w:tcPr>
            <w:tcW w:w="1114" w:type="dxa"/>
            <w:tcBorders>
              <w:top w:val="single" w:sz="6" w:space="0" w:color="auto"/>
              <w:left w:val="single" w:sz="6" w:space="0" w:color="auto"/>
              <w:right w:val="single" w:sz="6" w:space="0" w:color="auto"/>
            </w:tcBorders>
          </w:tcPr>
          <w:p w:rsidR="003D5113" w:rsidRPr="003D5113" w:rsidRDefault="003D5113" w:rsidP="003D5113">
            <w:pPr>
              <w:spacing w:before="80" w:after="80"/>
            </w:pPr>
            <w:r w:rsidRPr="003D5113">
              <w:t>Tell-tale</w:t>
            </w:r>
          </w:p>
        </w:tc>
        <w:tc>
          <w:tcPr>
            <w:tcW w:w="1612" w:type="dxa"/>
            <w:tcBorders>
              <w:top w:val="single" w:sz="6" w:space="0" w:color="auto"/>
              <w:left w:val="single" w:sz="6" w:space="0" w:color="auto"/>
              <w:right w:val="single" w:sz="6" w:space="0" w:color="auto"/>
            </w:tcBorders>
          </w:tcPr>
          <w:p w:rsidR="003D5113" w:rsidRPr="003D5113" w:rsidRDefault="003D5113" w:rsidP="003D5113">
            <w:pPr>
              <w:spacing w:before="80" w:after="80"/>
              <w:jc w:val="center"/>
            </w:pPr>
            <w:r w:rsidRPr="003D5113">
              <w:t>Yes</w:t>
            </w:r>
          </w:p>
        </w:tc>
        <w:tc>
          <w:tcPr>
            <w:tcW w:w="1276" w:type="dxa"/>
            <w:tcBorders>
              <w:top w:val="single" w:sz="6" w:space="0" w:color="auto"/>
              <w:left w:val="single" w:sz="6" w:space="0" w:color="auto"/>
              <w:right w:val="single" w:sz="6" w:space="0" w:color="auto"/>
            </w:tcBorders>
          </w:tcPr>
          <w:p w:rsidR="003D5113" w:rsidRPr="003D5113" w:rsidRDefault="003D5113" w:rsidP="003D5113">
            <w:pPr>
              <w:spacing w:before="80" w:after="80"/>
              <w:jc w:val="center"/>
            </w:pPr>
            <w:r w:rsidRPr="003D5113">
              <w:t>Yellow</w:t>
            </w:r>
          </w:p>
        </w:tc>
      </w:tr>
      <w:tr w:rsidR="003D5113" w:rsidRPr="003D5113" w:rsidTr="009453CC">
        <w:trPr>
          <w:cantSplit/>
          <w:trHeight w:val="847"/>
        </w:trPr>
        <w:tc>
          <w:tcPr>
            <w:tcW w:w="476" w:type="dxa"/>
            <w:vMerge w:val="restart"/>
            <w:tcBorders>
              <w:top w:val="single" w:sz="6" w:space="0" w:color="auto"/>
              <w:left w:val="single" w:sz="6" w:space="0" w:color="auto"/>
              <w:right w:val="single" w:sz="6" w:space="0" w:color="auto"/>
            </w:tcBorders>
          </w:tcPr>
          <w:p w:rsidR="003D5113" w:rsidRPr="003D5113" w:rsidRDefault="003D5113" w:rsidP="003D5113">
            <w:pPr>
              <w:spacing w:before="80" w:after="80"/>
              <w:jc w:val="center"/>
            </w:pPr>
            <w:r w:rsidRPr="003D5113">
              <w:t>44.</w:t>
            </w:r>
          </w:p>
        </w:tc>
        <w:tc>
          <w:tcPr>
            <w:tcW w:w="2531" w:type="dxa"/>
            <w:vMerge w:val="restart"/>
            <w:tcBorders>
              <w:top w:val="single" w:sz="6" w:space="0" w:color="auto"/>
              <w:left w:val="single" w:sz="6" w:space="0" w:color="auto"/>
              <w:right w:val="single" w:sz="6" w:space="0" w:color="auto"/>
            </w:tcBorders>
          </w:tcPr>
          <w:p w:rsidR="003D5113" w:rsidRPr="003D5113" w:rsidRDefault="003D5113" w:rsidP="003D5113">
            <w:pPr>
              <w:spacing w:before="80" w:after="80"/>
            </w:pPr>
            <w:r w:rsidRPr="003D5113">
              <w:t>Electronic stability control system "OFF"</w:t>
            </w:r>
          </w:p>
        </w:tc>
        <w:tc>
          <w:tcPr>
            <w:tcW w:w="1823" w:type="dxa"/>
            <w:vMerge w:val="restart"/>
            <w:tcBorders>
              <w:top w:val="single" w:sz="6" w:space="0" w:color="auto"/>
              <w:left w:val="single" w:sz="6" w:space="0" w:color="auto"/>
              <w:right w:val="single" w:sz="6" w:space="0" w:color="auto"/>
            </w:tcBorders>
          </w:tcPr>
          <w:p w:rsidR="003D5113" w:rsidRPr="003D5113" w:rsidRDefault="00A77146" w:rsidP="003D5113">
            <w:pPr>
              <w:suppressAutoHyphens w:val="0"/>
              <w:spacing w:before="80" w:after="80"/>
              <w:jc w:val="center"/>
            </w:pPr>
            <w:r>
              <w:rPr>
                <w:rFonts w:eastAsia="Arial Unicode MS"/>
              </w:rPr>
              <w:pict>
                <v:shape id="_x0000_i1026" type="#_x0000_t75" style="width:35.4pt;height:45.6pt">
                  <v:imagedata r:id="rId10" o:title=""/>
                </v:shape>
              </w:pict>
            </w:r>
          </w:p>
          <w:p w:rsidR="003D5113" w:rsidRPr="003D5113" w:rsidRDefault="003D5113" w:rsidP="003D5113">
            <w:pPr>
              <w:suppressAutoHyphens w:val="0"/>
              <w:spacing w:before="80" w:after="80"/>
              <w:jc w:val="center"/>
              <w:rPr>
                <w:bCs/>
              </w:rPr>
            </w:pPr>
            <w:r w:rsidRPr="003D5113">
              <w:t xml:space="preserve">or </w:t>
            </w:r>
            <w:r w:rsidRPr="003D5113">
              <w:rPr>
                <w:bCs/>
              </w:rPr>
              <w:t>ESC OFF</w:t>
            </w:r>
          </w:p>
          <w:p w:rsidR="003D5113" w:rsidRPr="003D5113" w:rsidRDefault="003D5113" w:rsidP="003D5113">
            <w:pPr>
              <w:suppressAutoHyphens w:val="0"/>
              <w:spacing w:before="80" w:after="80"/>
              <w:jc w:val="center"/>
            </w:pPr>
            <w:r w:rsidRPr="003D5113">
              <w:rPr>
                <w:rFonts w:eastAsia="Arial Unicode MS"/>
                <w:u w:val="single"/>
              </w:rPr>
              <w:t>17</w:t>
            </w:r>
            <w:r w:rsidRPr="003D5113">
              <w:rPr>
                <w:rFonts w:eastAsia="Arial Unicode MS"/>
              </w:rPr>
              <w:t xml:space="preserve">/ </w:t>
            </w:r>
            <w:r w:rsidRPr="003D5113">
              <w:rPr>
                <w:rFonts w:eastAsia="Arial Unicode MS"/>
                <w:u w:val="single"/>
              </w:rPr>
              <w:t>21</w:t>
            </w:r>
            <w:r w:rsidRPr="003D5113">
              <w:rPr>
                <w:rFonts w:eastAsia="Arial Unicode MS"/>
              </w:rPr>
              <w:t>/</w:t>
            </w:r>
          </w:p>
        </w:tc>
        <w:tc>
          <w:tcPr>
            <w:tcW w:w="1114" w:type="dxa"/>
            <w:tcBorders>
              <w:top w:val="single" w:sz="6" w:space="0" w:color="auto"/>
              <w:left w:val="single" w:sz="6" w:space="0" w:color="auto"/>
              <w:bottom w:val="single" w:sz="6" w:space="0" w:color="auto"/>
              <w:right w:val="single" w:sz="6" w:space="0" w:color="auto"/>
            </w:tcBorders>
          </w:tcPr>
          <w:p w:rsidR="003D5113" w:rsidRPr="003D5113" w:rsidRDefault="003D5113" w:rsidP="003D5113">
            <w:pPr>
              <w:spacing w:before="80" w:after="80"/>
            </w:pPr>
            <w:r w:rsidRPr="003D5113">
              <w:t>Control</w:t>
            </w:r>
          </w:p>
        </w:tc>
        <w:tc>
          <w:tcPr>
            <w:tcW w:w="1612" w:type="dxa"/>
            <w:tcBorders>
              <w:top w:val="single" w:sz="6" w:space="0" w:color="auto"/>
              <w:left w:val="single" w:sz="6" w:space="0" w:color="auto"/>
              <w:bottom w:val="single" w:sz="6" w:space="0" w:color="auto"/>
              <w:right w:val="single" w:sz="6" w:space="0" w:color="auto"/>
            </w:tcBorders>
          </w:tcPr>
          <w:p w:rsidR="003D5113" w:rsidRPr="003D5113" w:rsidRDefault="003D5113" w:rsidP="003D5113">
            <w:pPr>
              <w:spacing w:before="80" w:after="80"/>
              <w:jc w:val="center"/>
            </w:pPr>
            <w:r w:rsidRPr="003D5113">
              <w:t>Yes</w:t>
            </w:r>
          </w:p>
        </w:tc>
        <w:tc>
          <w:tcPr>
            <w:tcW w:w="1276" w:type="dxa"/>
            <w:tcBorders>
              <w:top w:val="single" w:sz="6" w:space="0" w:color="auto"/>
              <w:left w:val="single" w:sz="6" w:space="0" w:color="auto"/>
              <w:bottom w:val="single" w:sz="6" w:space="0" w:color="auto"/>
              <w:right w:val="single" w:sz="6" w:space="0" w:color="auto"/>
            </w:tcBorders>
          </w:tcPr>
          <w:p w:rsidR="003D5113" w:rsidRPr="003D5113" w:rsidRDefault="003D5113" w:rsidP="003D5113">
            <w:pPr>
              <w:spacing w:before="80" w:after="80"/>
              <w:jc w:val="center"/>
            </w:pPr>
          </w:p>
        </w:tc>
      </w:tr>
      <w:tr w:rsidR="003D5113" w:rsidRPr="003D5113" w:rsidTr="009453CC">
        <w:trPr>
          <w:cantSplit/>
        </w:trPr>
        <w:tc>
          <w:tcPr>
            <w:tcW w:w="476" w:type="dxa"/>
            <w:vMerge/>
            <w:tcBorders>
              <w:left w:val="single" w:sz="6" w:space="0" w:color="auto"/>
              <w:bottom w:val="single" w:sz="6" w:space="0" w:color="auto"/>
              <w:right w:val="single" w:sz="6" w:space="0" w:color="auto"/>
            </w:tcBorders>
          </w:tcPr>
          <w:p w:rsidR="003D5113" w:rsidRPr="003D5113" w:rsidRDefault="003D5113" w:rsidP="003D5113">
            <w:pPr>
              <w:spacing w:before="80" w:after="80"/>
              <w:jc w:val="center"/>
            </w:pPr>
          </w:p>
        </w:tc>
        <w:tc>
          <w:tcPr>
            <w:tcW w:w="2531" w:type="dxa"/>
            <w:vMerge/>
            <w:tcBorders>
              <w:left w:val="single" w:sz="6" w:space="0" w:color="auto"/>
              <w:bottom w:val="single" w:sz="6" w:space="0" w:color="auto"/>
              <w:right w:val="single" w:sz="6" w:space="0" w:color="auto"/>
            </w:tcBorders>
          </w:tcPr>
          <w:p w:rsidR="003D5113" w:rsidRPr="003D5113" w:rsidRDefault="003D5113" w:rsidP="003D5113">
            <w:pPr>
              <w:spacing w:before="80" w:after="80"/>
            </w:pPr>
          </w:p>
        </w:tc>
        <w:tc>
          <w:tcPr>
            <w:tcW w:w="1823" w:type="dxa"/>
            <w:vMerge/>
            <w:tcBorders>
              <w:left w:val="single" w:sz="6" w:space="0" w:color="auto"/>
              <w:bottom w:val="single" w:sz="6" w:space="0" w:color="auto"/>
              <w:right w:val="single" w:sz="6" w:space="0" w:color="auto"/>
            </w:tcBorders>
          </w:tcPr>
          <w:p w:rsidR="003D5113" w:rsidRPr="003D5113" w:rsidRDefault="003D5113" w:rsidP="003D5113">
            <w:pPr>
              <w:spacing w:before="80" w:after="80"/>
              <w:jc w:val="center"/>
            </w:pPr>
          </w:p>
        </w:tc>
        <w:tc>
          <w:tcPr>
            <w:tcW w:w="1114" w:type="dxa"/>
            <w:tcBorders>
              <w:top w:val="single" w:sz="6" w:space="0" w:color="auto"/>
              <w:left w:val="single" w:sz="6" w:space="0" w:color="auto"/>
              <w:bottom w:val="single" w:sz="6" w:space="0" w:color="auto"/>
              <w:right w:val="single" w:sz="6" w:space="0" w:color="auto"/>
            </w:tcBorders>
          </w:tcPr>
          <w:p w:rsidR="003D5113" w:rsidRPr="003D5113" w:rsidRDefault="003D5113" w:rsidP="003D5113">
            <w:pPr>
              <w:spacing w:before="80" w:after="80"/>
            </w:pPr>
            <w:r w:rsidRPr="003D5113">
              <w:t>Tell-tale</w:t>
            </w:r>
          </w:p>
        </w:tc>
        <w:tc>
          <w:tcPr>
            <w:tcW w:w="1612" w:type="dxa"/>
            <w:tcBorders>
              <w:top w:val="single" w:sz="6" w:space="0" w:color="auto"/>
              <w:left w:val="single" w:sz="6" w:space="0" w:color="auto"/>
              <w:bottom w:val="single" w:sz="6" w:space="0" w:color="auto"/>
              <w:right w:val="single" w:sz="6" w:space="0" w:color="auto"/>
            </w:tcBorders>
          </w:tcPr>
          <w:p w:rsidR="003D5113" w:rsidRPr="003D5113" w:rsidRDefault="003D5113" w:rsidP="003D5113">
            <w:pPr>
              <w:spacing w:before="80" w:after="80"/>
              <w:jc w:val="center"/>
            </w:pPr>
            <w:r w:rsidRPr="003D5113">
              <w:t>Yes</w:t>
            </w:r>
          </w:p>
        </w:tc>
        <w:tc>
          <w:tcPr>
            <w:tcW w:w="1276" w:type="dxa"/>
            <w:tcBorders>
              <w:top w:val="single" w:sz="6" w:space="0" w:color="auto"/>
              <w:left w:val="single" w:sz="6" w:space="0" w:color="auto"/>
              <w:bottom w:val="single" w:sz="6" w:space="0" w:color="auto"/>
              <w:right w:val="single" w:sz="6" w:space="0" w:color="auto"/>
            </w:tcBorders>
          </w:tcPr>
          <w:p w:rsidR="003D5113" w:rsidRPr="003D5113" w:rsidRDefault="003D5113" w:rsidP="003D5113">
            <w:pPr>
              <w:spacing w:before="80" w:after="80"/>
              <w:jc w:val="center"/>
            </w:pPr>
            <w:r w:rsidRPr="003D5113">
              <w:t>Yellow</w:t>
            </w:r>
          </w:p>
        </w:tc>
      </w:tr>
    </w:tbl>
    <w:p w:rsidR="003D5113" w:rsidRPr="003D5113" w:rsidRDefault="003D5113" w:rsidP="003D5113">
      <w:pPr>
        <w:tabs>
          <w:tab w:val="left" w:pos="993"/>
        </w:tabs>
        <w:spacing w:before="120" w:after="120"/>
        <w:ind w:left="992" w:hanging="425"/>
        <w:jc w:val="both"/>
        <w:rPr>
          <w:sz w:val="18"/>
          <w:szCs w:val="18"/>
          <w:lang w:eastAsia="ja-JP"/>
        </w:rPr>
      </w:pPr>
      <w:r w:rsidRPr="003D5113">
        <w:rPr>
          <w:sz w:val="18"/>
          <w:szCs w:val="18"/>
          <w:lang w:eastAsia="ja-JP"/>
        </w:rPr>
        <w:t>_________________</w:t>
      </w:r>
    </w:p>
    <w:p w:rsidR="003D5113" w:rsidRPr="003D5113" w:rsidRDefault="00010357" w:rsidP="00EA3798">
      <w:pPr>
        <w:tabs>
          <w:tab w:val="left" w:pos="1700"/>
        </w:tabs>
        <w:spacing w:after="120"/>
        <w:ind w:left="1700" w:right="1134" w:hanging="566"/>
        <w:jc w:val="both"/>
        <w:rPr>
          <w:sz w:val="18"/>
          <w:szCs w:val="18"/>
        </w:rPr>
      </w:pPr>
      <w:r w:rsidRPr="003D5113">
        <w:rPr>
          <w:rFonts w:eastAsia="Arial Unicode MS"/>
          <w:u w:val="single"/>
        </w:rPr>
        <w:t>21</w:t>
      </w:r>
      <w:r w:rsidRPr="003D5113">
        <w:rPr>
          <w:rFonts w:eastAsia="Arial Unicode MS"/>
        </w:rPr>
        <w:t>/</w:t>
      </w:r>
      <w:r w:rsidR="003D5113" w:rsidRPr="003D5113">
        <w:rPr>
          <w:sz w:val="18"/>
          <w:szCs w:val="18"/>
        </w:rPr>
        <w:tab/>
      </w:r>
      <w:proofErr w:type="gramStart"/>
      <w:r w:rsidR="003D5113" w:rsidRPr="003D5113">
        <w:rPr>
          <w:sz w:val="18"/>
          <w:szCs w:val="18"/>
        </w:rPr>
        <w:t>The</w:t>
      </w:r>
      <w:proofErr w:type="gramEnd"/>
      <w:r w:rsidR="003D5113" w:rsidRPr="003D5113">
        <w:rPr>
          <w:sz w:val="18"/>
          <w:szCs w:val="18"/>
        </w:rPr>
        <w:t xml:space="preserve"> supplementary letters "OFF" may be positioned on or adjacent to the outline of the symbol of item No. 43. The font of the letters "OFF" or "ESC OFF" is not intended to be restrictive (Note: the letters "OFF" and "ESC OFF" shall be kept in English and shall not be translated)."</w:t>
      </w:r>
    </w:p>
    <w:p w:rsidR="003D5113" w:rsidRPr="003D5113" w:rsidRDefault="003D5113" w:rsidP="003D5113">
      <w:pPr>
        <w:spacing w:after="120"/>
        <w:ind w:left="1134"/>
        <w:jc w:val="both"/>
      </w:pPr>
    </w:p>
    <w:p w:rsidR="003D5113" w:rsidRPr="003D5113" w:rsidRDefault="003D5113" w:rsidP="003D5113">
      <w:pPr>
        <w:spacing w:after="120"/>
        <w:ind w:left="1134"/>
        <w:jc w:val="both"/>
      </w:pPr>
      <w:r w:rsidRPr="003D5113">
        <w:rPr>
          <w:i/>
        </w:rPr>
        <w:br w:type="page"/>
      </w:r>
      <w:r w:rsidRPr="003D5113">
        <w:rPr>
          <w:i/>
        </w:rPr>
        <w:lastRenderedPageBreak/>
        <w:t>Annex 2, approval mark models A and B,</w:t>
      </w:r>
      <w:r w:rsidRPr="003D5113">
        <w:t xml:space="preserve"> amend to read (existing footnote </w:t>
      </w:r>
      <w:r w:rsidRPr="003D5113">
        <w:rPr>
          <w:vertAlign w:val="superscript"/>
        </w:rPr>
        <w:t>1</w:t>
      </w:r>
      <w:r w:rsidRPr="003D5113">
        <w:t xml:space="preserve"> remains unchanged):</w:t>
      </w:r>
    </w:p>
    <w:p w:rsidR="003D5113" w:rsidRPr="003D5113" w:rsidRDefault="003D5113" w:rsidP="003D5113">
      <w:pPr>
        <w:spacing w:after="120"/>
        <w:ind w:left="1134" w:right="1134"/>
        <w:jc w:val="both"/>
      </w:pPr>
      <w:r w:rsidRPr="003D5113">
        <w:t>"Model A</w:t>
      </w:r>
    </w:p>
    <w:p w:rsidR="003D5113" w:rsidRPr="003D5113" w:rsidRDefault="003D5113" w:rsidP="003D5113">
      <w:pPr>
        <w:spacing w:after="120"/>
        <w:ind w:left="1134" w:right="1134"/>
        <w:jc w:val="both"/>
      </w:pPr>
      <w:r w:rsidRPr="003D5113">
        <w:t>(See paragraph 4.4. of this Regulation)</w:t>
      </w:r>
    </w:p>
    <w:p w:rsidR="003D5113" w:rsidRPr="003D5113" w:rsidRDefault="00A77146" w:rsidP="003D5113">
      <w:pPr>
        <w:tabs>
          <w:tab w:val="center" w:pos="4734"/>
          <w:tab w:val="left" w:pos="5040"/>
          <w:tab w:val="left" w:pos="5554"/>
          <w:tab w:val="left" w:pos="6804"/>
          <w:tab w:val="left" w:pos="7200"/>
          <w:tab w:val="left" w:pos="7655"/>
          <w:tab w:val="left" w:pos="7920"/>
          <w:tab w:val="left" w:pos="8640"/>
          <w:tab w:val="left" w:pos="9360"/>
        </w:tabs>
        <w:jc w:val="center"/>
      </w:pPr>
      <w:r>
        <w:pict>
          <v:shape id="_x0000_i1027" type="#_x0000_t75" style="width:362.4pt;height:85.8pt">
            <v:imagedata r:id="rId11" o:title=""/>
          </v:shape>
        </w:pict>
      </w:r>
    </w:p>
    <w:p w:rsidR="003D5113" w:rsidRPr="003D5113" w:rsidRDefault="003D5113" w:rsidP="003D5113">
      <w:pPr>
        <w:tabs>
          <w:tab w:val="left" w:pos="-1246"/>
          <w:tab w:val="left" w:pos="-720"/>
          <w:tab w:val="left" w:pos="0"/>
          <w:tab w:val="left" w:pos="720"/>
          <w:tab w:val="left" w:pos="1530"/>
          <w:tab w:val="left" w:pos="2160"/>
          <w:tab w:val="left" w:pos="2880"/>
          <w:tab w:val="left" w:pos="5040"/>
          <w:tab w:val="left" w:pos="5554"/>
          <w:tab w:val="left" w:pos="6804"/>
          <w:tab w:val="left" w:pos="7200"/>
          <w:tab w:val="left" w:pos="7920"/>
          <w:tab w:val="left" w:pos="8640"/>
          <w:tab w:val="left" w:pos="9360"/>
        </w:tabs>
        <w:spacing w:after="120"/>
        <w:ind w:right="1139"/>
        <w:jc w:val="right"/>
      </w:pPr>
      <w:r w:rsidRPr="003D5113">
        <w:tab/>
      </w:r>
      <w:r w:rsidRPr="003D5113">
        <w:tab/>
      </w:r>
      <w:r w:rsidRPr="003D5113">
        <w:tab/>
      </w:r>
      <w:r w:rsidRPr="003D5113">
        <w:tab/>
      </w:r>
      <w:r w:rsidRPr="003D5113">
        <w:tab/>
      </w:r>
      <w:r w:rsidRPr="003D5113">
        <w:tab/>
      </w:r>
      <w:r w:rsidRPr="003D5113">
        <w:tab/>
        <w:t>a = 8 mm min.</w:t>
      </w:r>
    </w:p>
    <w:p w:rsidR="003D5113" w:rsidRPr="003D5113" w:rsidRDefault="003D5113" w:rsidP="00C61C6B">
      <w:pPr>
        <w:spacing w:after="240"/>
        <w:ind w:left="1134" w:right="1134" w:firstLine="567"/>
        <w:jc w:val="both"/>
      </w:pPr>
      <w:r w:rsidRPr="003D5113">
        <w:t>The above approval mark affixed to a vehicle shows that the vehicle type concerned has, with regard to the location and identification of hand controls, tell-tales and indicators, been approved in the Netherlands (E4) pursuant to Regulation No. 121 under the approval No. 011234.  The first two digits (01) of the approval number indicated that the approval was granted in accordance with the requirements of Regulation No. 121 as amended by the 01 series of amendments.</w:t>
      </w:r>
    </w:p>
    <w:p w:rsidR="003D5113" w:rsidRPr="003D5113" w:rsidRDefault="003D5113" w:rsidP="003D5113">
      <w:pPr>
        <w:spacing w:after="120"/>
        <w:ind w:left="1134" w:right="1134"/>
        <w:jc w:val="both"/>
      </w:pPr>
      <w:r w:rsidRPr="003D5113">
        <w:t>Model B</w:t>
      </w:r>
    </w:p>
    <w:p w:rsidR="003D5113" w:rsidRPr="003D5113" w:rsidRDefault="003D5113" w:rsidP="003D5113">
      <w:pPr>
        <w:spacing w:after="120"/>
        <w:ind w:left="1134" w:right="1134"/>
        <w:jc w:val="both"/>
      </w:pPr>
      <w:r w:rsidRPr="003D5113">
        <w:t>(See paragraph 4.5. of this Regulation)</w:t>
      </w:r>
    </w:p>
    <w:p w:rsidR="003D5113" w:rsidRPr="003D5113" w:rsidRDefault="00A77146" w:rsidP="003D5113">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jc w:val="center"/>
      </w:pPr>
      <w:r>
        <w:pict>
          <v:shape id="_x0000_i1028" type="#_x0000_t75" style="width:428.4pt;height:86.4pt">
            <v:imagedata r:id="rId12" o:title=""/>
          </v:shape>
        </w:pict>
      </w:r>
    </w:p>
    <w:p w:rsidR="003D5113" w:rsidRPr="003D5113" w:rsidRDefault="003D5113" w:rsidP="003D5113">
      <w:pPr>
        <w:tabs>
          <w:tab w:val="left" w:pos="6946"/>
          <w:tab w:val="right" w:pos="9900"/>
        </w:tabs>
        <w:spacing w:after="120"/>
        <w:ind w:right="1139"/>
        <w:jc w:val="right"/>
      </w:pPr>
      <w:r w:rsidRPr="003D5113">
        <w:tab/>
        <w:t>a = 8 mm min.</w:t>
      </w:r>
    </w:p>
    <w:p w:rsidR="003D5113" w:rsidRPr="003D5113" w:rsidRDefault="003D5113" w:rsidP="00C61C6B">
      <w:pPr>
        <w:spacing w:after="120"/>
        <w:ind w:left="1134" w:right="1134" w:firstLine="567"/>
        <w:jc w:val="both"/>
      </w:pPr>
      <w:r w:rsidRPr="003D5113">
        <w:t>The above approval mark affixed to a vehicle shows that the vehicle type concerned has been approved in the Netherlands (E4) pursuant to Regulation No. 121 and Regulation No. 33</w:t>
      </w:r>
      <w:r w:rsidRPr="003D5113">
        <w:rPr>
          <w:sz w:val="18"/>
          <w:szCs w:val="18"/>
          <w:vertAlign w:val="superscript"/>
        </w:rPr>
        <w:t>1</w:t>
      </w:r>
      <w:r w:rsidRPr="003D5113">
        <w:t>. The approval number indicates that, at the dates when the respective approvals were granted in accordance with Regulation No. 121 as amended by the 01 series of amendments and with Regulation No. 33 which was still in its original form."</w:t>
      </w:r>
    </w:p>
    <w:p w:rsidR="003D5113" w:rsidRPr="003D5113" w:rsidRDefault="003D5113" w:rsidP="003D5113">
      <w:pPr>
        <w:keepNext/>
        <w:spacing w:before="240" w:after="120"/>
        <w:ind w:left="1134" w:right="1134"/>
        <w:jc w:val="center"/>
        <w:rPr>
          <w:u w:val="single"/>
        </w:rPr>
      </w:pPr>
      <w:r w:rsidRPr="003D5113">
        <w:rPr>
          <w:u w:val="single"/>
        </w:rPr>
        <w:tab/>
      </w:r>
      <w:r w:rsidRPr="003D5113">
        <w:rPr>
          <w:u w:val="single"/>
        </w:rPr>
        <w:tab/>
      </w:r>
      <w:r w:rsidRPr="003D5113">
        <w:rPr>
          <w:u w:val="single"/>
        </w:rPr>
        <w:tab/>
      </w:r>
    </w:p>
    <w:p w:rsidR="00776D12" w:rsidRDefault="00776D12" w:rsidP="00C711C7">
      <w:pPr>
        <w:jc w:val="center"/>
      </w:pPr>
    </w:p>
    <w:sectPr w:rsidR="00776D12" w:rsidSect="008311A3">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D90" w:rsidRDefault="002B6D90"/>
  </w:endnote>
  <w:endnote w:type="continuationSeparator" w:id="0">
    <w:p w:rsidR="002B6D90" w:rsidRDefault="002B6D90"/>
  </w:endnote>
  <w:endnote w:type="continuationNotice" w:id="1">
    <w:p w:rsidR="002B6D90" w:rsidRDefault="002B6D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A77146">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A77146">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A7714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recycle_English" style="position:absolute;margin-left:405.4pt;margin-top:-6.25pt;width:73.25pt;height:18.15pt;z-index:251657728;visibility:visible">
          <v:imagedata r:id="rId1" o:title="recycle_English"/>
          <w10:anchorlock/>
        </v:shape>
      </w:pict>
    </w:r>
    <w:r w:rsidR="00B701B3">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D90" w:rsidRPr="000B175B" w:rsidRDefault="002B6D90" w:rsidP="000B175B">
      <w:pPr>
        <w:tabs>
          <w:tab w:val="right" w:pos="2155"/>
        </w:tabs>
        <w:spacing w:after="80"/>
        <w:ind w:left="680"/>
        <w:rPr>
          <w:u w:val="single"/>
        </w:rPr>
      </w:pPr>
      <w:r>
        <w:rPr>
          <w:u w:val="single"/>
        </w:rPr>
        <w:tab/>
      </w:r>
    </w:p>
  </w:footnote>
  <w:footnote w:type="continuationSeparator" w:id="0">
    <w:p w:rsidR="002B6D90" w:rsidRPr="00FC68B7" w:rsidRDefault="002B6D90" w:rsidP="00FC68B7">
      <w:pPr>
        <w:tabs>
          <w:tab w:val="left" w:pos="2155"/>
        </w:tabs>
        <w:spacing w:after="80"/>
        <w:ind w:left="680"/>
        <w:rPr>
          <w:u w:val="single"/>
        </w:rPr>
      </w:pPr>
      <w:r>
        <w:rPr>
          <w:u w:val="single"/>
        </w:rPr>
        <w:tab/>
      </w:r>
    </w:p>
  </w:footnote>
  <w:footnote w:type="continuationNotice" w:id="1">
    <w:p w:rsidR="002B6D90" w:rsidRDefault="002B6D90"/>
  </w:footnote>
  <w:footnote w:id="2">
    <w:p w:rsidR="00B701B3" w:rsidRPr="009E5D87" w:rsidRDefault="00B701B3" w:rsidP="00C711C7">
      <w:pPr>
        <w:pStyle w:val="FootnoteText"/>
        <w:rPr>
          <w:lang w:val="fr-CH"/>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36" w:rsidRPr="00BF4A36" w:rsidRDefault="00B701B3" w:rsidP="003A5BC4">
    <w:pPr>
      <w:pStyle w:val="Header"/>
    </w:pPr>
    <w:r w:rsidRPr="00D623A7">
      <w:t>E/</w:t>
    </w:r>
    <w:proofErr w:type="spellStart"/>
    <w:r w:rsidRPr="00D623A7">
      <w:t>ECE</w:t>
    </w:r>
    <w:proofErr w:type="spellEnd"/>
    <w:r w:rsidRPr="00D623A7">
      <w:t>/324</w:t>
    </w:r>
    <w:r w:rsidR="003A5BC4">
      <w:t>/Rev.2/Add.120/Rev.1/Amend.5</w:t>
    </w:r>
    <w:r>
      <w:br/>
    </w:r>
    <w:r w:rsidRPr="00D623A7">
      <w:t>E/</w:t>
    </w:r>
    <w:proofErr w:type="spellStart"/>
    <w:r w:rsidRPr="00D623A7">
      <w:t>ECE</w:t>
    </w:r>
    <w:proofErr w:type="spellEnd"/>
    <w:r w:rsidRPr="00D623A7">
      <w:t>/TRANS/505</w:t>
    </w:r>
    <w:r w:rsidR="003A5BC4">
      <w:t>/Rev.2/Add.120/Rev.1/Amend.5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36" w:rsidRPr="00BF4A36" w:rsidRDefault="00B701B3" w:rsidP="003A5BC4">
    <w:pPr>
      <w:pStyle w:val="Header"/>
      <w:jc w:val="right"/>
    </w:pPr>
    <w:r w:rsidRPr="00D623A7">
      <w:t>E/</w:t>
    </w:r>
    <w:proofErr w:type="spellStart"/>
    <w:r w:rsidRPr="00D623A7">
      <w:t>ECE</w:t>
    </w:r>
    <w:proofErr w:type="spellEnd"/>
    <w:r w:rsidRPr="00D623A7">
      <w:t>/324</w:t>
    </w:r>
    <w:r w:rsidR="003A5BC4">
      <w:t>/Rev.2/Add.120/Rev.1/Amend.5</w:t>
    </w:r>
    <w:r>
      <w:br/>
    </w:r>
    <w:r w:rsidRPr="00D623A7">
      <w:t>E/</w:t>
    </w:r>
    <w:proofErr w:type="spellStart"/>
    <w:r w:rsidRPr="00D623A7">
      <w:t>ECE</w:t>
    </w:r>
    <w:proofErr w:type="spellEnd"/>
    <w:r w:rsidRPr="00D623A7">
      <w:t>/TRANS/505</w:t>
    </w:r>
    <w:r w:rsidR="003A5BC4">
      <w:t>/Rev.2/Add.120/Rev.1/Amend.5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5BC4"/>
    <w:rsid w:val="00010357"/>
    <w:rsid w:val="00050F6B"/>
    <w:rsid w:val="000632C4"/>
    <w:rsid w:val="00072C8C"/>
    <w:rsid w:val="000931C0"/>
    <w:rsid w:val="000B175B"/>
    <w:rsid w:val="000B3A0F"/>
    <w:rsid w:val="000D3A4F"/>
    <w:rsid w:val="000E0415"/>
    <w:rsid w:val="001220B8"/>
    <w:rsid w:val="00134B40"/>
    <w:rsid w:val="001352D9"/>
    <w:rsid w:val="00165E82"/>
    <w:rsid w:val="001B4B04"/>
    <w:rsid w:val="001C6663"/>
    <w:rsid w:val="001C7895"/>
    <w:rsid w:val="001D26DF"/>
    <w:rsid w:val="001F77DB"/>
    <w:rsid w:val="00211E0B"/>
    <w:rsid w:val="002405A7"/>
    <w:rsid w:val="00271A7F"/>
    <w:rsid w:val="002A1E3A"/>
    <w:rsid w:val="002B6D90"/>
    <w:rsid w:val="00301FAC"/>
    <w:rsid w:val="003107FA"/>
    <w:rsid w:val="003229D8"/>
    <w:rsid w:val="0033745A"/>
    <w:rsid w:val="0039277A"/>
    <w:rsid w:val="003972E0"/>
    <w:rsid w:val="003A5BC4"/>
    <w:rsid w:val="003C2CC4"/>
    <w:rsid w:val="003C3936"/>
    <w:rsid w:val="003D4B23"/>
    <w:rsid w:val="003D5113"/>
    <w:rsid w:val="003F1ED3"/>
    <w:rsid w:val="004325CB"/>
    <w:rsid w:val="00445C26"/>
    <w:rsid w:val="00446DE4"/>
    <w:rsid w:val="00476ED8"/>
    <w:rsid w:val="004A41CA"/>
    <w:rsid w:val="004E3FEB"/>
    <w:rsid w:val="00503228"/>
    <w:rsid w:val="00505384"/>
    <w:rsid w:val="005420F2"/>
    <w:rsid w:val="0054561B"/>
    <w:rsid w:val="005B3DB3"/>
    <w:rsid w:val="00611FC4"/>
    <w:rsid w:val="006176FB"/>
    <w:rsid w:val="00627ED0"/>
    <w:rsid w:val="00640B26"/>
    <w:rsid w:val="0064636E"/>
    <w:rsid w:val="00665595"/>
    <w:rsid w:val="0069341E"/>
    <w:rsid w:val="006A7392"/>
    <w:rsid w:val="006E564B"/>
    <w:rsid w:val="00713BD8"/>
    <w:rsid w:val="0072632A"/>
    <w:rsid w:val="00743CD6"/>
    <w:rsid w:val="00750602"/>
    <w:rsid w:val="00776D12"/>
    <w:rsid w:val="007B6BA5"/>
    <w:rsid w:val="007C3390"/>
    <w:rsid w:val="007C4F4B"/>
    <w:rsid w:val="007C7F0F"/>
    <w:rsid w:val="007F0B83"/>
    <w:rsid w:val="007F6611"/>
    <w:rsid w:val="008175E9"/>
    <w:rsid w:val="008242D7"/>
    <w:rsid w:val="00827E05"/>
    <w:rsid w:val="008311A3"/>
    <w:rsid w:val="00841EB5"/>
    <w:rsid w:val="008510A6"/>
    <w:rsid w:val="00871FD5"/>
    <w:rsid w:val="008979B1"/>
    <w:rsid w:val="008A6B25"/>
    <w:rsid w:val="008A6C4F"/>
    <w:rsid w:val="008E0E46"/>
    <w:rsid w:val="00907AD2"/>
    <w:rsid w:val="009453CC"/>
    <w:rsid w:val="00963CBA"/>
    <w:rsid w:val="00974A8D"/>
    <w:rsid w:val="00991261"/>
    <w:rsid w:val="009F3A17"/>
    <w:rsid w:val="00A1427D"/>
    <w:rsid w:val="00A569D6"/>
    <w:rsid w:val="00A72F22"/>
    <w:rsid w:val="00A748A6"/>
    <w:rsid w:val="00A77146"/>
    <w:rsid w:val="00A85956"/>
    <w:rsid w:val="00A879A4"/>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41A28"/>
    <w:rsid w:val="00C463DD"/>
    <w:rsid w:val="00C61C6B"/>
    <w:rsid w:val="00C711C7"/>
    <w:rsid w:val="00C745C3"/>
    <w:rsid w:val="00C84414"/>
    <w:rsid w:val="00CD6FE1"/>
    <w:rsid w:val="00CE4A8F"/>
    <w:rsid w:val="00CE5E33"/>
    <w:rsid w:val="00D2031B"/>
    <w:rsid w:val="00D25FE2"/>
    <w:rsid w:val="00D317BB"/>
    <w:rsid w:val="00D43252"/>
    <w:rsid w:val="00D5540C"/>
    <w:rsid w:val="00D623A7"/>
    <w:rsid w:val="00D6614F"/>
    <w:rsid w:val="00D978C6"/>
    <w:rsid w:val="00DA67AD"/>
    <w:rsid w:val="00DB5D0F"/>
    <w:rsid w:val="00DC3F07"/>
    <w:rsid w:val="00DF12F7"/>
    <w:rsid w:val="00E02C81"/>
    <w:rsid w:val="00E130AB"/>
    <w:rsid w:val="00E43866"/>
    <w:rsid w:val="00E506F0"/>
    <w:rsid w:val="00E7260F"/>
    <w:rsid w:val="00E87921"/>
    <w:rsid w:val="00E96630"/>
    <w:rsid w:val="00EA0ED6"/>
    <w:rsid w:val="00EA264E"/>
    <w:rsid w:val="00EA3798"/>
    <w:rsid w:val="00ED7A2A"/>
    <w:rsid w:val="00EF1D7F"/>
    <w:rsid w:val="00F53EDA"/>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6" w:qFormat="1"/>
    <w:lsdException w:name="footer" w:uiPriority="99"/>
    <w:lsdException w:name="caption" w:semiHidden="1" w:unhideWhenUsed="1"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AMEN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AMEND template.dot</Template>
  <TotalTime>1</TotalTime>
  <Pages>3</Pages>
  <Words>551</Words>
  <Characters>3142</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dc:creator>
  <cp:lastModifiedBy>04</cp:lastModifiedBy>
  <cp:revision>4</cp:revision>
  <cp:lastPrinted>2015-06-05T12:44:00Z</cp:lastPrinted>
  <dcterms:created xsi:type="dcterms:W3CDTF">2015-06-15T09:49:00Z</dcterms:created>
  <dcterms:modified xsi:type="dcterms:W3CDTF">2015-06-22T09:36:00Z</dcterms:modified>
</cp:coreProperties>
</file>