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7012AB" w:rsidP="00F012F8">
            <w:pPr>
              <w:jc w:val="right"/>
            </w:pPr>
            <w:r w:rsidRPr="00014D07">
              <w:rPr>
                <w:sz w:val="40"/>
              </w:rPr>
              <w:t>E</w:t>
            </w:r>
            <w:r>
              <w:t>/ECE/324/Rev.2/Add.11</w:t>
            </w:r>
            <w:r w:rsidR="00F012F8">
              <w:t>2</w:t>
            </w:r>
            <w:r>
              <w:t>/Rev.3/Amend.4−</w:t>
            </w:r>
            <w:r w:rsidRPr="00014D07">
              <w:rPr>
                <w:sz w:val="40"/>
              </w:rPr>
              <w:t>E</w:t>
            </w:r>
            <w:r>
              <w:t>/ECE/TRANS/505/Rev.2/Add.11</w:t>
            </w:r>
            <w:r w:rsidR="00F012F8">
              <w:t>2</w:t>
            </w:r>
            <w:r>
              <w:t>/Rev.3/Amend.4</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290984"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96DED">
      <w:pPr>
        <w:pStyle w:val="H1G"/>
        <w:spacing w:before="220" w:after="100" w:line="240" w:lineRule="exact"/>
      </w:pPr>
      <w:r>
        <w:tab/>
      </w:r>
      <w:r>
        <w:tab/>
      </w:r>
      <w:r w:rsidR="00421A10" w:rsidRPr="006549FF">
        <w:t xml:space="preserve">Additif </w:t>
      </w:r>
      <w:r w:rsidR="007012AB">
        <w:t>112</w:t>
      </w:r>
      <w:r w:rsidR="00421A10" w:rsidRPr="006549FF">
        <w:t>: Règlement</w:t>
      </w:r>
      <w:r w:rsidR="00421A10">
        <w:t xml:space="preserve"> </w:t>
      </w:r>
      <w:r w:rsidR="00421A10" w:rsidRPr="00B371BF">
        <w:t>n</w:t>
      </w:r>
      <w:r w:rsidR="00421A10" w:rsidRPr="00296DED">
        <w:t>o</w:t>
      </w:r>
      <w:r w:rsidR="00421A10">
        <w:t> </w:t>
      </w:r>
      <w:r w:rsidR="007012AB">
        <w:t>113</w:t>
      </w:r>
    </w:p>
    <w:p w:rsidR="00421A10" w:rsidRPr="006549FF" w:rsidRDefault="0029791D" w:rsidP="00242268">
      <w:pPr>
        <w:pStyle w:val="H1G"/>
        <w:spacing w:before="220" w:after="100" w:line="240" w:lineRule="exact"/>
      </w:pPr>
      <w:r>
        <w:tab/>
      </w:r>
      <w:r>
        <w:tab/>
      </w:r>
      <w:r w:rsidR="00421A10" w:rsidRPr="006549FF">
        <w:t xml:space="preserve">Révision </w:t>
      </w:r>
      <w:r w:rsidR="007012AB">
        <w:t>3</w:t>
      </w:r>
      <w:r w:rsidR="000314C7">
        <w:t xml:space="preserve"> − Amendement </w:t>
      </w:r>
      <w:r w:rsidR="007012AB">
        <w:t>4</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7012AB">
        <w:rPr>
          <w:spacing w:val="-2"/>
        </w:rPr>
        <w:t>5</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7012AB">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7012AB">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7012AB" w:rsidRPr="007012AB">
        <w:rPr>
          <w:spacing w:val="-2"/>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p w:rsidR="00D94D87" w:rsidRDefault="001D3393" w:rsidP="00D94D87">
      <w:pPr>
        <w:pStyle w:val="SingleTxtG"/>
        <w:rPr>
          <w:lang w:val="en-GB" w:eastAsia="en-GB"/>
        </w:rPr>
      </w:pPr>
      <w:r w:rsidRPr="001D3393">
        <w:rPr>
          <w:lang w:val="en-GB" w:eastAsia="en-GB"/>
        </w:rPr>
        <w:t>Ce document constitue un outil de documentation. Le texte authentique et contraignant juridique est</w:t>
      </w:r>
      <w:r w:rsidR="00D94D87" w:rsidRPr="00D94D87">
        <w:rPr>
          <w:lang w:val="en-GB" w:eastAsia="en-GB"/>
        </w:rPr>
        <w:t>: ECE/TRANS/WP.29/2015/30.</w:t>
      </w:r>
    </w:p>
    <w:p w:rsidR="00D94D87" w:rsidRDefault="00DD1ED8" w:rsidP="00D94D87">
      <w:pPr>
        <w:pStyle w:val="SingleTxtG"/>
        <w:keepNext/>
        <w:rPr>
          <w:i/>
        </w:rPr>
      </w:pPr>
      <w:r>
        <w:br w:type="page"/>
      </w:r>
      <w:r w:rsidR="00D94D87" w:rsidRPr="00D94D87">
        <w:rPr>
          <w:i/>
        </w:rPr>
        <w:lastRenderedPageBreak/>
        <w:t xml:space="preserve">Annexe 4, </w:t>
      </w:r>
    </w:p>
    <w:p w:rsidR="00D94D87" w:rsidRPr="00D94D87" w:rsidRDefault="00D94D87" w:rsidP="00D94D87">
      <w:pPr>
        <w:pStyle w:val="SingleTxtG"/>
        <w:keepNext/>
      </w:pPr>
      <w:r>
        <w:rPr>
          <w:i/>
        </w:rPr>
        <w:t>P</w:t>
      </w:r>
      <w:r w:rsidRPr="00D94D87">
        <w:rPr>
          <w:i/>
        </w:rPr>
        <w:t>aragraphe 1.2.1.1</w:t>
      </w:r>
      <w:r w:rsidRPr="00D94D87">
        <w:t>, lire:</w:t>
      </w:r>
    </w:p>
    <w:p w:rsidR="00D94D87" w:rsidRPr="00D94D87" w:rsidRDefault="00D94D87" w:rsidP="00D94D87">
      <w:pPr>
        <w:keepNext/>
        <w:kinsoku w:val="0"/>
        <w:overflowPunct w:val="0"/>
        <w:autoSpaceDE w:val="0"/>
        <w:autoSpaceDN w:val="0"/>
        <w:adjustRightInd w:val="0"/>
        <w:snapToGrid w:val="0"/>
        <w:spacing w:after="120"/>
        <w:ind w:left="2268" w:right="1134" w:hanging="1134"/>
        <w:jc w:val="both"/>
      </w:pPr>
      <w:r w:rsidRPr="00D94D87">
        <w:t>«1.2.1.1</w:t>
      </w:r>
      <w:r w:rsidRPr="00D94D87">
        <w:tab/>
        <w:t>Mélange d’essai</w:t>
      </w:r>
    </w:p>
    <w:p w:rsidR="00D94D87" w:rsidRPr="00D94D87" w:rsidRDefault="00D94D87" w:rsidP="00D94D87">
      <w:pPr>
        <w:keepNext/>
        <w:kinsoku w:val="0"/>
        <w:overflowPunct w:val="0"/>
        <w:autoSpaceDE w:val="0"/>
        <w:autoSpaceDN w:val="0"/>
        <w:adjustRightInd w:val="0"/>
        <w:snapToGrid w:val="0"/>
        <w:spacing w:after="120"/>
        <w:ind w:left="2268" w:right="1134" w:hanging="1134"/>
        <w:jc w:val="both"/>
      </w:pPr>
      <w:r w:rsidRPr="00D94D87">
        <w:t>1.2.1.1.1</w:t>
      </w:r>
      <w:r w:rsidRPr="00D94D87">
        <w:tab/>
        <w:t>Pour les projecteurs à glace extérieure en verre:</w:t>
      </w:r>
    </w:p>
    <w:p w:rsidR="00D94D87" w:rsidRPr="00D94D87" w:rsidRDefault="00D94D87" w:rsidP="00D94D87">
      <w:pPr>
        <w:keepNext/>
        <w:kinsoku w:val="0"/>
        <w:overflowPunct w:val="0"/>
        <w:autoSpaceDE w:val="0"/>
        <w:autoSpaceDN w:val="0"/>
        <w:adjustRightInd w:val="0"/>
        <w:snapToGrid w:val="0"/>
        <w:spacing w:after="120"/>
        <w:ind w:left="2268" w:right="1134"/>
        <w:jc w:val="both"/>
      </w:pPr>
      <w:r w:rsidRPr="00D94D87">
        <w:t>Le mélange d’eau et de polluant à appliquer sur le projecteur est constitué de:</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9 parties (en poids) de sable siliceux ayant une granulométrie comprise entre 0 et 100 micromètres;</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 xml:space="preserve">Une partie (en poids) de poussière de charbon végétal produite à partir de bois de hêtre et ayant une granulométrie comprise entre 0 et 100 micromètres; </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0,2 partie (en poids) de NaCMC</w:t>
      </w:r>
      <w:r w:rsidRPr="00D94D87">
        <w:rPr>
          <w:sz w:val="18"/>
          <w:szCs w:val="18"/>
          <w:vertAlign w:val="superscript"/>
        </w:rPr>
        <w:t>3</w:t>
      </w:r>
      <w:r w:rsidRPr="00D94D87">
        <w:t>;</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5 parties (en poids) de chlorure de sodium (pur à 99 %); et</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 xml:space="preserve">Une quantité suffisante d’eau distillée ayant une conductivité </w:t>
      </w:r>
      <w:r w:rsidRPr="00D94D87">
        <w:rPr>
          <w:spacing w:val="-2"/>
        </w:rPr>
        <w:t>≤</w:t>
      </w:r>
      <w:r w:rsidRPr="00D94D87">
        <w:t xml:space="preserve"> 1 µS/m.</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Le mélange ne doit pas dater de plus de 14 jours.</w:t>
      </w:r>
    </w:p>
    <w:p w:rsidR="00D94D87" w:rsidRPr="00D94D87" w:rsidRDefault="00D94D87" w:rsidP="00D94D87">
      <w:pPr>
        <w:keepNext/>
        <w:kinsoku w:val="0"/>
        <w:overflowPunct w:val="0"/>
        <w:autoSpaceDE w:val="0"/>
        <w:autoSpaceDN w:val="0"/>
        <w:adjustRightInd w:val="0"/>
        <w:snapToGrid w:val="0"/>
        <w:spacing w:after="120"/>
        <w:ind w:left="2268" w:right="1134" w:hanging="1134"/>
        <w:jc w:val="both"/>
      </w:pPr>
      <w:r w:rsidRPr="00D94D87">
        <w:t>1.2.1.1.2</w:t>
      </w:r>
      <w:r w:rsidRPr="00D94D87">
        <w:tab/>
        <w:t xml:space="preserve">Pour un projecteur à glace extérieure en matière plastique: </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ab/>
        <w:t>Le mélange d’eau et de polluant à appliquer sur le projecteur est constitué de:</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9 parties (en poids) de sable siliceux ayant une granulométrie comprise entre 0 et 100 micromètres;</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Une partie (en poids) de poussière de charbon végétal produite à partir de bois de hêtre et ayant une granulométrie comprise entre 0 et 100 micromètres;</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0,2 partie (en poids) de NaCMC</w:t>
      </w:r>
      <w:r w:rsidRPr="00D94D87">
        <w:rPr>
          <w:sz w:val="18"/>
          <w:szCs w:val="18"/>
          <w:vertAlign w:val="superscript"/>
        </w:rPr>
        <w:t>3</w:t>
      </w:r>
      <w:r w:rsidRPr="00D94D87">
        <w:t>;</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5 parties (en poids) de chlorure de sodium (pur à 99 %);</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 xml:space="preserve">13 parties (en poids) d’eau distillée ayant une conductivité </w:t>
      </w:r>
      <w:r w:rsidRPr="00D94D87">
        <w:rPr>
          <w:spacing w:val="-2"/>
        </w:rPr>
        <w:t>≤</w:t>
      </w:r>
      <w:r w:rsidRPr="00D94D87">
        <w:t xml:space="preserve"> 1 µS/m; et</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2 ± 1 parties (en poids) d’agent tensioactif</w:t>
      </w:r>
      <w:r w:rsidRPr="00D94D87">
        <w:rPr>
          <w:sz w:val="18"/>
          <w:szCs w:val="18"/>
          <w:vertAlign w:val="superscript"/>
        </w:rPr>
        <w:t>4</w:t>
      </w:r>
      <w:r w:rsidRPr="00D94D87">
        <w:t>.</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Le mélange ne doit pas dater de plus de 14 jours.».</w:t>
      </w:r>
    </w:p>
    <w:p w:rsidR="00D94D87" w:rsidRDefault="00D94D87" w:rsidP="00D94D87">
      <w:pPr>
        <w:keepNext/>
        <w:kinsoku w:val="0"/>
        <w:overflowPunct w:val="0"/>
        <w:autoSpaceDE w:val="0"/>
        <w:autoSpaceDN w:val="0"/>
        <w:adjustRightInd w:val="0"/>
        <w:snapToGrid w:val="0"/>
        <w:spacing w:after="120"/>
        <w:ind w:left="1134" w:right="1134"/>
        <w:jc w:val="both"/>
        <w:rPr>
          <w:i/>
        </w:rPr>
      </w:pPr>
      <w:r w:rsidRPr="00D94D87">
        <w:rPr>
          <w:i/>
        </w:rPr>
        <w:t xml:space="preserve">Annexe 12, </w:t>
      </w:r>
    </w:p>
    <w:p w:rsidR="00D94D87" w:rsidRPr="00D94D87" w:rsidRDefault="00D94D87" w:rsidP="00D94D87">
      <w:pPr>
        <w:keepNext/>
        <w:kinsoku w:val="0"/>
        <w:overflowPunct w:val="0"/>
        <w:autoSpaceDE w:val="0"/>
        <w:autoSpaceDN w:val="0"/>
        <w:adjustRightInd w:val="0"/>
        <w:snapToGrid w:val="0"/>
        <w:spacing w:after="120"/>
        <w:ind w:left="1134" w:right="1134"/>
        <w:jc w:val="both"/>
      </w:pPr>
      <w:r>
        <w:rPr>
          <w:i/>
        </w:rPr>
        <w:t>P</w:t>
      </w:r>
      <w:r w:rsidRPr="00D94D87">
        <w:rPr>
          <w:i/>
        </w:rPr>
        <w:t>aragraphe 4.2, tableau UV</w:t>
      </w:r>
      <w:r w:rsidRPr="00D94D87">
        <w:t>, lire:</w:t>
      </w:r>
    </w:p>
    <w:p w:rsidR="00D94D87" w:rsidRPr="00D94D87" w:rsidRDefault="00D94D87" w:rsidP="00D94D87">
      <w:pPr>
        <w:keepNext/>
        <w:kinsoku w:val="0"/>
        <w:overflowPunct w:val="0"/>
        <w:autoSpaceDE w:val="0"/>
        <w:autoSpaceDN w:val="0"/>
        <w:adjustRightInd w:val="0"/>
        <w:snapToGrid w:val="0"/>
        <w:spacing w:after="120"/>
        <w:ind w:left="2268" w:right="1134" w:hanging="1134"/>
        <w:jc w:val="both"/>
      </w:pPr>
      <w:r w:rsidRPr="00D94D87">
        <w:t>«Tableau UV</w:t>
      </w:r>
    </w:p>
    <w:p w:rsidR="00D94D87" w:rsidRPr="00D94D87" w:rsidRDefault="00D94D87" w:rsidP="00D94D87">
      <w:pPr>
        <w:kinsoku w:val="0"/>
        <w:overflowPunct w:val="0"/>
        <w:autoSpaceDE w:val="0"/>
        <w:autoSpaceDN w:val="0"/>
        <w:adjustRightInd w:val="0"/>
        <w:snapToGrid w:val="0"/>
        <w:spacing w:after="120"/>
        <w:ind w:left="1134" w:right="1134"/>
        <w:jc w:val="both"/>
      </w:pPr>
      <w:r w:rsidRPr="00D94D87">
        <w:t>Valeurs indiquées dans les “Lignes directrices IRPA/INIRC relatives aux limites d’exposition au rayonnement ultraviolet”. Les longueurs d’onde (en nanomètre) ont été choisies à titre indicatif. Les autres valeurs doivent être calculées par interpolation.</w:t>
      </w:r>
    </w:p>
    <w:tbl>
      <w:tblPr>
        <w:tblW w:w="7371" w:type="dxa"/>
        <w:tblInd w:w="1134" w:type="dxa"/>
        <w:tblLayout w:type="fixed"/>
        <w:tblCellMar>
          <w:left w:w="0" w:type="dxa"/>
          <w:right w:w="0" w:type="dxa"/>
        </w:tblCellMar>
        <w:tblLook w:val="0000" w:firstRow="0" w:lastRow="0" w:firstColumn="0" w:lastColumn="0" w:noHBand="0" w:noVBand="0"/>
      </w:tblPr>
      <w:tblGrid>
        <w:gridCol w:w="851"/>
        <w:gridCol w:w="1417"/>
        <w:gridCol w:w="284"/>
        <w:gridCol w:w="851"/>
        <w:gridCol w:w="1417"/>
        <w:gridCol w:w="283"/>
        <w:gridCol w:w="851"/>
        <w:gridCol w:w="1417"/>
      </w:tblGrid>
      <w:tr w:rsidR="00D94D87" w:rsidRPr="00D94D87" w:rsidTr="000268CC">
        <w:trPr>
          <w:cantSplit/>
          <w:tblHeader/>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sym w:font="Symbol" w:char="F06C"/>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S(</w:t>
            </w:r>
            <w:r w:rsidRPr="00D94D87">
              <w:rPr>
                <w:bCs/>
              </w:rPr>
              <w:sym w:font="Symbol" w:char="F06C"/>
            </w:r>
            <w:r w:rsidRPr="00D94D87">
              <w:rPr>
                <w:bCs/>
              </w:rPr>
              <w:t>)</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sym w:font="Symbol" w:char="F06C"/>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S(</w:t>
            </w:r>
            <w:r w:rsidRPr="00D94D87">
              <w:rPr>
                <w:bCs/>
              </w:rPr>
              <w:sym w:font="Symbol" w:char="F06C"/>
            </w:r>
            <w:r w:rsidRPr="00D94D87">
              <w:rPr>
                <w:bCs/>
              </w:rPr>
              <w:t>)</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sym w:font="Symbol" w:char="F06C"/>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S(</w:t>
            </w:r>
            <w:r w:rsidRPr="00D94D87">
              <w:rPr>
                <w:bCs/>
              </w:rPr>
              <w:sym w:font="Symbol" w:char="F06C"/>
            </w:r>
            <w:r w:rsidRPr="00D94D87">
              <w:rPr>
                <w:bCs/>
              </w:rPr>
              <w:t>)</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250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0,430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305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0,060</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355</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0,000 16</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255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0,520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310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0,015</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360</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0,000 13</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260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0,650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315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0,003</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365</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0,000 11</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265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0,810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320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0,001</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370</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0,000 09</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270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1,000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325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0,000 50</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375</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0,000 077</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lastRenderedPageBreak/>
              <w:t>275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0,960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330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0,000 41</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380</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0,000 064</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280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0,880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335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0,000 34</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385</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0,000 053</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285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0,770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340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0,000 28</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390</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0,000 044</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290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0,640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345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0,000 24</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395</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0,000 036</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295</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0,540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350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0,000 20</w:t>
            </w: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400</w:t>
            </w: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0,000 030</w:t>
            </w:r>
          </w:p>
        </w:tc>
      </w:tr>
      <w:tr w:rsidR="00D94D87" w:rsidRPr="00D94D87" w:rsidTr="000268CC">
        <w:trPr>
          <w:cantSplit/>
        </w:trPr>
        <w:tc>
          <w:tcPr>
            <w:tcW w:w="851"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300</w:t>
            </w: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r w:rsidRPr="00D94D87">
              <w:rPr>
                <w:bCs/>
              </w:rPr>
              <w:t>0,300</w:t>
            </w:r>
          </w:p>
        </w:tc>
        <w:tc>
          <w:tcPr>
            <w:tcW w:w="284"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p>
        </w:tc>
        <w:tc>
          <w:tcPr>
            <w:tcW w:w="1417" w:type="dxa"/>
            <w:tcBorders>
              <w:top w:val="single" w:sz="6" w:space="0" w:color="auto"/>
              <w:left w:val="single" w:sz="6" w:space="0" w:color="auto"/>
              <w:bottom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p>
        </w:tc>
        <w:tc>
          <w:tcPr>
            <w:tcW w:w="283" w:type="dxa"/>
            <w:tcBorders>
              <w:left w:val="single" w:sz="4" w:space="0" w:color="auto"/>
              <w:right w:val="single" w:sz="4"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both"/>
              <w:rPr>
                <w:bCs/>
              </w:rPr>
            </w:pPr>
          </w:p>
        </w:tc>
        <w:tc>
          <w:tcPr>
            <w:tcW w:w="851" w:type="dxa"/>
            <w:tcBorders>
              <w:top w:val="single" w:sz="6" w:space="0" w:color="auto"/>
              <w:left w:val="nil"/>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p>
        </w:tc>
        <w:tc>
          <w:tcPr>
            <w:tcW w:w="1417" w:type="dxa"/>
            <w:tcBorders>
              <w:top w:val="single" w:sz="6" w:space="0" w:color="auto"/>
              <w:left w:val="single" w:sz="6" w:space="0" w:color="auto"/>
              <w:bottom w:val="single" w:sz="6" w:space="0" w:color="auto"/>
              <w:right w:val="single" w:sz="6" w:space="0" w:color="auto"/>
            </w:tcBorders>
            <w:vAlign w:val="center"/>
          </w:tcPr>
          <w:p w:rsidR="00D94D87" w:rsidRPr="00D94D87" w:rsidRDefault="00D94D87" w:rsidP="00D94D87">
            <w:pPr>
              <w:kinsoku w:val="0"/>
              <w:overflowPunct w:val="0"/>
              <w:autoSpaceDE w:val="0"/>
              <w:autoSpaceDN w:val="0"/>
              <w:adjustRightInd w:val="0"/>
              <w:snapToGrid w:val="0"/>
              <w:spacing w:before="60" w:after="60"/>
              <w:ind w:left="57"/>
              <w:jc w:val="center"/>
              <w:rPr>
                <w:bCs/>
              </w:rPr>
            </w:pPr>
          </w:p>
        </w:tc>
      </w:tr>
    </w:tbl>
    <w:p w:rsidR="00D94D87" w:rsidRPr="00D94D87" w:rsidRDefault="00D94D87" w:rsidP="00D94D87">
      <w:pPr>
        <w:kinsoku w:val="0"/>
        <w:overflowPunct w:val="0"/>
        <w:autoSpaceDE w:val="0"/>
        <w:autoSpaceDN w:val="0"/>
        <w:adjustRightInd w:val="0"/>
        <w:snapToGrid w:val="0"/>
        <w:spacing w:after="120"/>
        <w:ind w:left="1134" w:right="1134"/>
        <w:jc w:val="right"/>
      </w:pPr>
      <w:r w:rsidRPr="00D94D87">
        <w:t>».</w:t>
      </w:r>
    </w:p>
    <w:p w:rsidR="00D94D87" w:rsidRPr="00D94D87" w:rsidRDefault="00D94D87" w:rsidP="00D94D87">
      <w:pPr>
        <w:keepNext/>
        <w:kinsoku w:val="0"/>
        <w:overflowPunct w:val="0"/>
        <w:autoSpaceDE w:val="0"/>
        <w:autoSpaceDN w:val="0"/>
        <w:adjustRightInd w:val="0"/>
        <w:snapToGrid w:val="0"/>
        <w:spacing w:after="120"/>
        <w:ind w:left="1134" w:right="1134"/>
        <w:jc w:val="both"/>
      </w:pPr>
      <w:r>
        <w:rPr>
          <w:i/>
        </w:rPr>
        <w:t>P</w:t>
      </w:r>
      <w:r w:rsidRPr="00D94D87">
        <w:rPr>
          <w:i/>
        </w:rPr>
        <w:t>aragraphe 5.2</w:t>
      </w:r>
      <w:r w:rsidRPr="00D94D87">
        <w:t>, lire:</w:t>
      </w:r>
    </w:p>
    <w:p w:rsidR="00D94D87" w:rsidRPr="00D94D87" w:rsidRDefault="00D94D87" w:rsidP="00D94D87">
      <w:pPr>
        <w:keepNext/>
        <w:kinsoku w:val="0"/>
        <w:overflowPunct w:val="0"/>
        <w:autoSpaceDE w:val="0"/>
        <w:autoSpaceDN w:val="0"/>
        <w:adjustRightInd w:val="0"/>
        <w:snapToGrid w:val="0"/>
        <w:spacing w:after="120"/>
        <w:ind w:left="2268" w:right="1134" w:hanging="1134"/>
        <w:jc w:val="both"/>
      </w:pPr>
      <w:r w:rsidRPr="00D94D87">
        <w:t>«5.2</w:t>
      </w:r>
      <w:r w:rsidRPr="00D94D87">
        <w:tab/>
        <w:t>Un module DEL de chaque type est présenté par le fabricant, accompagné du module de régulation de source lumineuse, s’il existe, et d’instructions suffisantes.</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Un système de régulation thermique (par exemple un dissipateur thermique) peut être fourni pour simuler des conditions thermiques identiques aux conditions réelles.</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Avant d’être soumis à l’essai, chaque module DEL doit subir un vieillissement d’au moins 72 h dans des conditions identiques aux conditions réelles.</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Si l’on utilise une sphère d’Ulbricht, celle-ci doit avoir un diamètre minimal de 1 m ou de 10 fois la dimension maximale du module DEL, la valeur la plus élevée étant retenue. Les mesures du flux peuvent également être effectuées par intégration au moyen d’un goniophotomètre. Les prescriptions figurant dans la Publication 84</w:t>
      </w:r>
      <w:r w:rsidRPr="00D94D87">
        <w:noBreakHyphen/>
        <w:t>1989 de la CIE concernant la température de la pièce, le positionnement, etc., doivent être prises en compte.</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Le module DEL doit, avant la mesure, subir un essai de rodage thermique d’environ 1 h dans la sphère fermée ou le goniophotomètre.</w:t>
      </w:r>
    </w:p>
    <w:p w:rsidR="00D94D87" w:rsidRPr="00D94D87" w:rsidRDefault="00D94D87" w:rsidP="00D94D87">
      <w:pPr>
        <w:kinsoku w:val="0"/>
        <w:overflowPunct w:val="0"/>
        <w:autoSpaceDE w:val="0"/>
        <w:autoSpaceDN w:val="0"/>
        <w:adjustRightInd w:val="0"/>
        <w:snapToGrid w:val="0"/>
        <w:spacing w:after="120"/>
        <w:ind w:left="2268" w:right="1134"/>
        <w:jc w:val="both"/>
      </w:pPr>
      <w:r w:rsidRPr="00D94D87">
        <w:t>Le flux est mesuré une fois la stabilité atteinte, comme expliqué au paragraphe 4.3.1.2 de la présente annexe.».</w:t>
      </w:r>
    </w:p>
    <w:p w:rsidR="00D94D87" w:rsidRPr="00D94D87" w:rsidRDefault="00D94D87" w:rsidP="00D94D87">
      <w:pPr>
        <w:kinsoku w:val="0"/>
        <w:overflowPunct w:val="0"/>
        <w:autoSpaceDE w:val="0"/>
        <w:autoSpaceDN w:val="0"/>
        <w:adjustRightInd w:val="0"/>
        <w:snapToGrid w:val="0"/>
        <w:spacing w:before="240"/>
        <w:ind w:left="1134" w:right="1134"/>
        <w:jc w:val="center"/>
        <w:rPr>
          <w:u w:val="single"/>
        </w:rPr>
      </w:pPr>
      <w:r w:rsidRPr="00D94D87">
        <w:rPr>
          <w:u w:val="single"/>
        </w:rPr>
        <w:tab/>
      </w:r>
      <w:r w:rsidRPr="00D94D87">
        <w:rPr>
          <w:u w:val="single"/>
        </w:rPr>
        <w:tab/>
      </w:r>
      <w:r w:rsidRPr="00D94D87">
        <w:rPr>
          <w:u w:val="single"/>
        </w:rPr>
        <w:tab/>
      </w:r>
    </w:p>
    <w:p w:rsidR="00FC2CA9" w:rsidRPr="00972C55" w:rsidRDefault="00FC2CA9" w:rsidP="00D94D87">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3B" w:rsidRDefault="0000313B"/>
  </w:endnote>
  <w:endnote w:type="continuationSeparator" w:id="0">
    <w:p w:rsidR="0000313B" w:rsidRDefault="0000313B">
      <w:pPr>
        <w:pStyle w:val="Footer"/>
      </w:pPr>
    </w:p>
  </w:endnote>
  <w:endnote w:type="continuationNotice" w:id="1">
    <w:p w:rsidR="0000313B" w:rsidRPr="00C451B9" w:rsidRDefault="0000313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290984">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290984">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290984"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3B" w:rsidRPr="00D27D5E" w:rsidRDefault="0000313B" w:rsidP="00D27D5E">
      <w:pPr>
        <w:tabs>
          <w:tab w:val="right" w:pos="2155"/>
        </w:tabs>
        <w:spacing w:after="80"/>
        <w:ind w:left="680"/>
        <w:rPr>
          <w:u w:val="single"/>
        </w:rPr>
      </w:pPr>
      <w:r>
        <w:rPr>
          <w:u w:val="single"/>
        </w:rPr>
        <w:tab/>
      </w:r>
    </w:p>
  </w:footnote>
  <w:footnote w:type="continuationSeparator" w:id="0">
    <w:p w:rsidR="0000313B" w:rsidRPr="00D171D4" w:rsidRDefault="0000313B" w:rsidP="00D171D4">
      <w:pPr>
        <w:tabs>
          <w:tab w:val="right" w:pos="2155"/>
        </w:tabs>
        <w:spacing w:after="80"/>
        <w:ind w:left="680"/>
        <w:rPr>
          <w:u w:val="single"/>
        </w:rPr>
      </w:pPr>
      <w:r w:rsidRPr="00D171D4">
        <w:rPr>
          <w:u w:val="single"/>
        </w:rPr>
        <w:tab/>
      </w:r>
    </w:p>
  </w:footnote>
  <w:footnote w:type="continuationNotice" w:id="1">
    <w:p w:rsidR="0000313B" w:rsidRPr="00C451B9" w:rsidRDefault="0000313B"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D94D87">
    <w:pPr>
      <w:pStyle w:val="Header"/>
    </w:pPr>
    <w:r w:rsidRPr="00D623A7">
      <w:t>E/ECE/324</w:t>
    </w:r>
    <w:r w:rsidRPr="005C26F4">
      <w:t>/Rev.2/Add.11</w:t>
    </w:r>
    <w:r w:rsidR="00F012F8">
      <w:t>2</w:t>
    </w:r>
    <w:r w:rsidRPr="005C26F4">
      <w:t>/Rev.3/Amend.4</w:t>
    </w:r>
    <w:r>
      <w:br/>
    </w:r>
    <w:r w:rsidRPr="00D623A7">
      <w:t>E/ECE/TRANS/505</w:t>
    </w:r>
    <w:r w:rsidRPr="005C26F4">
      <w:t>/Rev.2/Add.11</w:t>
    </w:r>
    <w:r w:rsidR="00F012F8">
      <w:t>2</w:t>
    </w:r>
    <w:r w:rsidRPr="005C26F4">
      <w:t>/Rev.3/Amend.4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D94D87" w:rsidP="000314C7">
    <w:pPr>
      <w:pStyle w:val="Header"/>
      <w:jc w:val="right"/>
    </w:pPr>
    <w:r w:rsidRPr="00D623A7">
      <w:t>E/ECE/324</w:t>
    </w:r>
    <w:r w:rsidRPr="005C26F4">
      <w:t>/Rev.2/Add.11</w:t>
    </w:r>
    <w:r w:rsidR="00F012F8">
      <w:t>2</w:t>
    </w:r>
    <w:r w:rsidRPr="005C26F4">
      <w:t>/Rev.3/Amend.4</w:t>
    </w:r>
    <w:r>
      <w:br/>
    </w:r>
    <w:r w:rsidRPr="00D623A7">
      <w:t>E/ECE/TRANS/505</w:t>
    </w:r>
    <w:r w:rsidRPr="005C26F4">
      <w:t>/Rev.2/Add.11</w:t>
    </w:r>
    <w:r w:rsidR="00F012F8">
      <w:t>2</w:t>
    </w:r>
    <w:r w:rsidRPr="005C26F4">
      <w:t>/Rev.3/Amend.4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F8" w:rsidRPr="00446F25" w:rsidRDefault="00F012F8" w:rsidP="00446F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13B"/>
    <w:rsid w:val="0000313B"/>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0984"/>
    <w:rsid w:val="002928F9"/>
    <w:rsid w:val="00294D5B"/>
    <w:rsid w:val="00296DED"/>
    <w:rsid w:val="0029791D"/>
    <w:rsid w:val="002A2A2C"/>
    <w:rsid w:val="002A5D07"/>
    <w:rsid w:val="002C5B16"/>
    <w:rsid w:val="002D25CA"/>
    <w:rsid w:val="002D3DA4"/>
    <w:rsid w:val="002E2F5C"/>
    <w:rsid w:val="002F0C48"/>
    <w:rsid w:val="003016B7"/>
    <w:rsid w:val="0030754C"/>
    <w:rsid w:val="00317E54"/>
    <w:rsid w:val="00321513"/>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46F25"/>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12AB"/>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94D87"/>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12F8"/>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12</TotalTime>
  <Pages>3</Pages>
  <Words>646</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7</cp:revision>
  <cp:lastPrinted>2015-07-27T08:35:00Z</cp:lastPrinted>
  <dcterms:created xsi:type="dcterms:W3CDTF">2015-07-20T07:03:00Z</dcterms:created>
  <dcterms:modified xsi:type="dcterms:W3CDTF">2015-11-09T08:54:00Z</dcterms:modified>
</cp:coreProperties>
</file>