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0D6D03" w:rsidP="00645358">
            <w:pPr>
              <w:spacing w:before="40" w:after="80" w:line="340" w:lineRule="exact"/>
              <w:jc w:val="right"/>
            </w:pPr>
            <w:r>
              <w:fldChar w:fldCharType="begin"/>
            </w:r>
            <w:r w:rsidRPr="008A75ED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8A75ED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lang w:val="en-US"/>
              </w:rPr>
              <w:t>/</w:t>
            </w:r>
            <w:proofErr w:type="spellStart"/>
            <w:r w:rsidRPr="008A75ED">
              <w:rPr>
                <w:lang w:val="en-US"/>
              </w:rPr>
              <w:t>ECE</w:t>
            </w:r>
            <w:proofErr w:type="spellEnd"/>
            <w:r w:rsidRPr="008A75ED">
              <w:rPr>
                <w:lang w:val="en-US"/>
              </w:rPr>
              <w:t>/324/</w:t>
            </w:r>
            <w:r w:rsidR="00350378">
              <w:t>Rev.2/Add.111/Rev.3/Amend.2</w:t>
            </w:r>
            <w:r w:rsidRPr="008A75ED">
              <w:rPr>
                <w:lang w:val="en-US"/>
              </w:rPr>
              <w:t>−</w:t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sz w:val="19"/>
                <w:szCs w:val="19"/>
                <w:lang w:val="en-US"/>
              </w:rPr>
              <w:t>/</w:t>
            </w:r>
            <w:proofErr w:type="spellStart"/>
            <w:r w:rsidRPr="008A75ED">
              <w:rPr>
                <w:sz w:val="19"/>
                <w:szCs w:val="19"/>
                <w:lang w:val="en-US"/>
              </w:rPr>
              <w:t>ECE</w:t>
            </w:r>
            <w:proofErr w:type="spellEnd"/>
            <w:r w:rsidRPr="008A75ED">
              <w:rPr>
                <w:sz w:val="19"/>
                <w:szCs w:val="19"/>
                <w:lang w:val="en-US"/>
              </w:rPr>
              <w:t>/TRANS/505/</w:t>
            </w:r>
            <w:r w:rsidR="00350378" w:rsidRPr="00350378">
              <w:t>Rev.2/Add.111/Rev.3/Amend.2</w:t>
            </w:r>
            <w:r>
              <w:fldChar w:fldCharType="end"/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E20B8" w:rsidRDefault="00CE20B8" w:rsidP="00CE20B8">
            <w:pPr>
              <w:spacing w:before="40" w:after="40"/>
              <w:rPr>
                <w:lang w:val="en-US"/>
              </w:rPr>
            </w:pPr>
          </w:p>
          <w:p w:rsidR="00CE20B8" w:rsidRDefault="00CE20B8" w:rsidP="00CE20B8">
            <w:pPr>
              <w:spacing w:before="40" w:after="40"/>
              <w:rPr>
                <w:lang w:val="en-US"/>
              </w:rPr>
            </w:pPr>
          </w:p>
          <w:p w:rsidR="00CE20B8" w:rsidRDefault="00CE20B8" w:rsidP="00CE20B8">
            <w:pPr>
              <w:spacing w:before="40" w:after="40"/>
              <w:rPr>
                <w:lang w:val="en-US"/>
              </w:rPr>
            </w:pPr>
          </w:p>
          <w:p w:rsidR="00CE20B8" w:rsidRDefault="00CE20B8" w:rsidP="00CE20B8">
            <w:pPr>
              <w:spacing w:before="40" w:after="40"/>
              <w:rPr>
                <w:lang w:val="en-US"/>
              </w:rPr>
            </w:pPr>
          </w:p>
          <w:p w:rsidR="00CE20B8" w:rsidRDefault="00CE20B8" w:rsidP="00CE20B8">
            <w:pPr>
              <w:spacing w:before="40" w:after="40"/>
              <w:rPr>
                <w:lang w:val="en-US"/>
              </w:rPr>
            </w:pPr>
          </w:p>
          <w:p w:rsidR="000D6D03" w:rsidRPr="00B172D2" w:rsidRDefault="00CE20B8" w:rsidP="00CE20B8">
            <w:pPr>
              <w:spacing w:before="40" w:after="40"/>
            </w:pPr>
            <w:r>
              <w:rPr>
                <w:lang w:val="en-US"/>
              </w:rPr>
              <w:t>22 June 2015</w:t>
            </w:r>
            <w:bookmarkStart w:id="0" w:name="_GoBack"/>
            <w:bookmarkEnd w:id="0"/>
          </w:p>
        </w:tc>
      </w:tr>
    </w:tbl>
    <w:p w:rsidR="00923DB6" w:rsidRDefault="00265FF3" w:rsidP="00265FF3">
      <w:pPr>
        <w:pStyle w:val="HChGR"/>
        <w:spacing w:before="240" w:after="120"/>
      </w:pPr>
      <w:r>
        <w:tab/>
      </w:r>
      <w:r>
        <w:tab/>
      </w:r>
      <w:r w:rsidR="00923DB6">
        <w:t>Соглашение</w:t>
      </w:r>
    </w:p>
    <w:p w:rsidR="00923DB6" w:rsidRPr="00E32F01" w:rsidRDefault="00923DB6" w:rsidP="00923DB6">
      <w:pPr>
        <w:pStyle w:val="H1GR"/>
        <w:spacing w:before="240" w:after="120"/>
        <w:rPr>
          <w:b w:val="0"/>
          <w:lang w:eastAsia="en-US"/>
        </w:rPr>
      </w:pPr>
      <w:r>
        <w:tab/>
      </w:r>
      <w:r>
        <w:tab/>
      </w:r>
      <w:proofErr w:type="gramStart"/>
      <w:r w:rsidRPr="00AA2DC3">
        <w:t>О принятии единообразных технических предписаний для колесных</w:t>
      </w:r>
      <w:r>
        <w:t xml:space="preserve"> </w:t>
      </w:r>
      <w:r w:rsidRPr="00AA2DC3">
        <w:t>транспортных средств, предметов оборудования и частей, которые</w:t>
      </w:r>
      <w:r>
        <w:t xml:space="preserve"> </w:t>
      </w:r>
      <w:r w:rsidRPr="00AA2DC3">
        <w:t>могут быть установлены и/или использованы на колесных</w:t>
      </w:r>
      <w:r>
        <w:t xml:space="preserve"> </w:t>
      </w:r>
      <w:r w:rsidRPr="00AA2DC3">
        <w:t>транспортных средствах, и об условиях взаимного признания официальных</w:t>
      </w:r>
      <w:r w:rsidRPr="00AA2DC3">
        <w:rPr>
          <w:lang w:val="en-US"/>
        </w:rPr>
        <w:t> </w:t>
      </w:r>
      <w:r w:rsidRPr="00AA2DC3">
        <w:t>утверждений, выдаваемых на основе этих предписаний</w:t>
      </w:r>
      <w:r w:rsidRPr="00E32F0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proofErr w:type="gramEnd"/>
    </w:p>
    <w:p w:rsidR="00923DB6" w:rsidRDefault="00923DB6" w:rsidP="00923DB6">
      <w:pPr>
        <w:pStyle w:val="SingleTxtGR"/>
      </w:pPr>
      <w:r>
        <w:t>(Пересмотр 2, включающий поправки, вступившие в силу 16 октября 1995 года)</w:t>
      </w:r>
    </w:p>
    <w:p w:rsidR="00923DB6" w:rsidRDefault="00923DB6" w:rsidP="00923DB6">
      <w:pPr>
        <w:spacing w:before="20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3DB6" w:rsidRDefault="00923DB6" w:rsidP="00265FF3">
      <w:pPr>
        <w:pStyle w:val="H1GR"/>
        <w:spacing w:before="240" w:after="120"/>
      </w:pPr>
      <w:r>
        <w:tab/>
      </w:r>
      <w:r>
        <w:tab/>
        <w:t xml:space="preserve">Добавление </w:t>
      </w:r>
      <w:r w:rsidRPr="00C86403">
        <w:t>111</w:t>
      </w:r>
      <w:r>
        <w:t xml:space="preserve">: Правила № </w:t>
      </w:r>
      <w:r w:rsidRPr="00C86403">
        <w:t>112</w:t>
      </w:r>
    </w:p>
    <w:p w:rsidR="00923DB6" w:rsidRPr="00923DB6" w:rsidRDefault="00923DB6" w:rsidP="00265FF3">
      <w:pPr>
        <w:pStyle w:val="H1GR"/>
        <w:spacing w:before="240" w:after="120"/>
        <w:rPr>
          <w:lang w:val="en-US"/>
        </w:rPr>
      </w:pPr>
      <w:r>
        <w:tab/>
      </w:r>
      <w:r>
        <w:tab/>
        <w:t xml:space="preserve">Пересмотр </w:t>
      </w:r>
      <w:r w:rsidRPr="00822091">
        <w:t>3</w:t>
      </w:r>
      <w:r>
        <w:t xml:space="preserve"> − Поправка </w:t>
      </w:r>
      <w:r>
        <w:rPr>
          <w:lang w:val="en-US"/>
        </w:rPr>
        <w:t>2</w:t>
      </w:r>
    </w:p>
    <w:p w:rsidR="00923DB6" w:rsidRPr="00265FF3" w:rsidRDefault="00923DB6" w:rsidP="00265FF3">
      <w:pPr>
        <w:pStyle w:val="SingleTxtGR"/>
        <w:spacing w:after="80"/>
        <w:jc w:val="left"/>
        <w:rPr>
          <w:sz w:val="18"/>
          <w:szCs w:val="18"/>
          <w:lang w:eastAsia="ru-RU"/>
        </w:rPr>
      </w:pPr>
      <w:r w:rsidRPr="00265FF3">
        <w:rPr>
          <w:sz w:val="18"/>
          <w:szCs w:val="18"/>
          <w:lang w:eastAsia="ru-RU"/>
        </w:rPr>
        <w:t xml:space="preserve">Дополнение </w:t>
      </w:r>
      <w:r w:rsidRPr="00265FF3">
        <w:rPr>
          <w:sz w:val="18"/>
          <w:szCs w:val="18"/>
          <w:lang w:val="en-US" w:eastAsia="ru-RU"/>
        </w:rPr>
        <w:t>5</w:t>
      </w:r>
      <w:r w:rsidRPr="00265FF3">
        <w:rPr>
          <w:sz w:val="18"/>
          <w:szCs w:val="18"/>
          <w:lang w:eastAsia="ru-RU"/>
        </w:rPr>
        <w:t xml:space="preserve"> к поправкам серии 01 − Дата вступления в силу: 15 июня 2015 года</w:t>
      </w:r>
    </w:p>
    <w:p w:rsidR="00923DB6" w:rsidRDefault="00923DB6" w:rsidP="00265FF3">
      <w:pPr>
        <w:pStyle w:val="H1GR"/>
        <w:spacing w:before="240"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7C4606">
        <w:rPr>
          <w:bCs/>
        </w:rPr>
        <w:t xml:space="preserve">Единообразные предписания, касающиеся официального утверждения </w:t>
      </w:r>
      <w:r>
        <w:rPr>
          <w:bCs/>
        </w:rPr>
        <w:t>автомобильных фар, испускающих ассиметричный луч ближнего или дальнего света либо оба луча и оснащенных лампами накаливания и/или светодиодными модулями (СИД)</w:t>
      </w:r>
    </w:p>
    <w:p w:rsidR="00DC4970" w:rsidRPr="00DC4970" w:rsidRDefault="00DC4970" w:rsidP="00DC4970">
      <w:pPr>
        <w:pStyle w:val="SingleTxtGR"/>
        <w:rPr>
          <w:lang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proofErr w:type="spellStart"/>
      <w:r>
        <w:rPr>
          <w:rStyle w:val="hps"/>
        </w:rPr>
        <w:t>ECE</w:t>
      </w:r>
      <w:proofErr w:type="spellEnd"/>
      <w:r>
        <w:rPr>
          <w:rStyle w:val="hps"/>
        </w:rPr>
        <w:t>/</w:t>
      </w:r>
      <w:proofErr w:type="spellStart"/>
      <w:r>
        <w:rPr>
          <w:rStyle w:val="hps"/>
        </w:rPr>
        <w:t>TRANS</w:t>
      </w:r>
      <w:proofErr w:type="spellEnd"/>
      <w:r>
        <w:rPr>
          <w:rStyle w:val="hps"/>
        </w:rPr>
        <w:t>/WP.29/201</w:t>
      </w:r>
      <w:r>
        <w:rPr>
          <w:rStyle w:val="hps"/>
          <w:lang w:val="en-US"/>
        </w:rPr>
        <w:t>3</w:t>
      </w:r>
      <w:r>
        <w:rPr>
          <w:rStyle w:val="hps"/>
        </w:rPr>
        <w:t>/</w:t>
      </w:r>
      <w:r>
        <w:rPr>
          <w:rStyle w:val="hps"/>
          <w:lang w:val="en-US"/>
        </w:rPr>
        <w:t>92/Rev.1</w:t>
      </w:r>
      <w:r>
        <w:rPr>
          <w:rStyle w:val="hps"/>
        </w:rPr>
        <w:t>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CE20B8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350378" w:rsidRDefault="003C1586" w:rsidP="00432F08">
      <w:pPr>
        <w:jc w:val="center"/>
        <w:rPr>
          <w:b/>
        </w:rPr>
      </w:pPr>
      <w:r w:rsidRPr="00752A52">
        <w:rPr>
          <w:b/>
        </w:rPr>
        <w:t>ОРГАНИЗАЦИЯ ОБЪЕДИНЕННЫХ НАЦИЙ</w:t>
      </w:r>
    </w:p>
    <w:p w:rsidR="00D05163" w:rsidRPr="009A3D04" w:rsidRDefault="00350378" w:rsidP="00D05163">
      <w:pPr>
        <w:pStyle w:val="SingleTxtGR"/>
      </w:pPr>
      <w:r>
        <w:rPr>
          <w:b/>
        </w:rPr>
        <w:br w:type="page"/>
      </w:r>
      <w:r w:rsidR="00D05163" w:rsidRPr="009A3D04">
        <w:rPr>
          <w:i/>
        </w:rPr>
        <w:lastRenderedPageBreak/>
        <w:t xml:space="preserve">Приложение </w:t>
      </w:r>
      <w:r w:rsidR="00D05163">
        <w:rPr>
          <w:i/>
        </w:rPr>
        <w:t>7</w:t>
      </w:r>
      <w:r w:rsidR="00D05163" w:rsidRPr="009A3D04">
        <w:rPr>
          <w:i/>
        </w:rPr>
        <w:t>, пункт</w:t>
      </w:r>
      <w:r w:rsidR="00D05163" w:rsidRPr="00633369">
        <w:rPr>
          <w:i/>
        </w:rPr>
        <w:t xml:space="preserve"> 4</w:t>
      </w:r>
      <w:r w:rsidR="00D05163" w:rsidRPr="009A3D04">
        <w:t xml:space="preserve"> изменить следующим образом:</w:t>
      </w:r>
    </w:p>
    <w:p w:rsidR="00D05163" w:rsidRPr="00633369" w:rsidRDefault="00D05163" w:rsidP="00D05163">
      <w:pPr>
        <w:pStyle w:val="SingleTxtGR"/>
      </w:pPr>
      <w:r>
        <w:t>"</w:t>
      </w:r>
      <w:r w:rsidRPr="001B5712">
        <w:t>4</w:t>
      </w:r>
      <w:r w:rsidRPr="00633369">
        <w:t>.</w:t>
      </w:r>
      <w:r w:rsidRPr="00633369">
        <w:tab/>
      </w:r>
      <w:r w:rsidRPr="00633369">
        <w:tab/>
        <w:t>Вертикальное отклонение светотеневой границы</w:t>
      </w:r>
    </w:p>
    <w:p w:rsidR="00D05163" w:rsidRPr="00434B1A" w:rsidRDefault="00D05163" w:rsidP="00D05163">
      <w:pPr>
        <w:pStyle w:val="SingleTxtGR"/>
        <w:ind w:left="2268" w:hanging="1134"/>
      </w:pPr>
      <w:r w:rsidRPr="00434B1A">
        <w:tab/>
      </w:r>
      <w:r w:rsidRPr="00434B1A">
        <w:tab/>
        <w:t>Для проверки вертикального отклонения светотеневой границы под воздействием тепла применяют следующую процедуру</w:t>
      </w:r>
      <w:r>
        <w:t>.</w:t>
      </w:r>
    </w:p>
    <w:p w:rsidR="00D05163" w:rsidRDefault="00D05163" w:rsidP="00D05163">
      <w:pPr>
        <w:pStyle w:val="SingleTxtGR"/>
        <w:ind w:left="2268" w:hanging="1134"/>
      </w:pPr>
      <w:r w:rsidRPr="006E774C">
        <w:tab/>
      </w:r>
      <w:r w:rsidRPr="006E774C">
        <w:tab/>
      </w:r>
      <w:r>
        <w:t>По окончании процедуры отбора, показанной на рис. 1 настоящего приложения, о</w:t>
      </w:r>
      <w:r w:rsidRPr="006E774C">
        <w:t>дну из фар из выборки</w:t>
      </w:r>
      <w:proofErr w:type="gramStart"/>
      <w:r w:rsidRPr="006E774C">
        <w:t xml:space="preserve"> А</w:t>
      </w:r>
      <w:proofErr w:type="gramEnd"/>
      <w:r w:rsidRPr="006E774C">
        <w:t xml:space="preserve"> подвергают испытанию в соответствии с процедурой, описание которой приведено в пун</w:t>
      </w:r>
      <w:r w:rsidRPr="006E774C">
        <w:t>к</w:t>
      </w:r>
      <w:r w:rsidRPr="006E774C">
        <w:t>те</w:t>
      </w:r>
      <w:r>
        <w:t> </w:t>
      </w:r>
      <w:r w:rsidRPr="006E774C">
        <w:t>2.1 приложения</w:t>
      </w:r>
      <w:r>
        <w:t xml:space="preserve"> </w:t>
      </w:r>
      <w:r w:rsidRPr="006E774C">
        <w:t>4, после трехразового последовательного пр</w:t>
      </w:r>
      <w:r w:rsidRPr="006E774C">
        <w:t>о</w:t>
      </w:r>
      <w:r w:rsidRPr="006E774C">
        <w:t>хождения цикла, описанного в пункте 2.2.2 приложения 4.</w:t>
      </w:r>
    </w:p>
    <w:p w:rsidR="00D05163" w:rsidRPr="00553759" w:rsidRDefault="00D05163" w:rsidP="00D05163">
      <w:pPr>
        <w:pStyle w:val="SingleTxtGR"/>
        <w:tabs>
          <w:tab w:val="left" w:pos="4536"/>
          <w:tab w:val="left" w:pos="5103"/>
          <w:tab w:val="left" w:pos="5670"/>
          <w:tab w:val="right" w:pos="6804"/>
        </w:tabs>
        <w:ind w:left="2268" w:hanging="1134"/>
      </w:pPr>
      <w:r w:rsidRPr="00553759">
        <w:tab/>
      </w:r>
      <w:r w:rsidRPr="00553759">
        <w:tab/>
        <w:t xml:space="preserve">Фару считают приемлемой, если </w:t>
      </w:r>
      <w:proofErr w:type="spellStart"/>
      <w:r w:rsidRPr="00553759">
        <w:t>Δr</w:t>
      </w:r>
      <w:proofErr w:type="spellEnd"/>
      <w:r w:rsidRPr="00553759">
        <w:t xml:space="preserve"> не превышает 1,5 мрад в направлении вверх и 2,5 мрад</w:t>
      </w:r>
      <w:r>
        <w:t xml:space="preserve"> </w:t>
      </w:r>
      <w:r w:rsidRPr="00553759">
        <w:t>в направлении вниз.</w:t>
      </w:r>
    </w:p>
    <w:p w:rsidR="00D05163" w:rsidRPr="00D71BD3" w:rsidRDefault="00D05163" w:rsidP="00D05163">
      <w:pPr>
        <w:pStyle w:val="SingleTxtGR"/>
        <w:tabs>
          <w:tab w:val="clear" w:pos="1701"/>
        </w:tabs>
        <w:ind w:left="2268"/>
      </w:pPr>
      <w:r w:rsidRPr="00D71BD3">
        <w:t>Если это значение превышает 1,5 мрад, но не превышает 2,0 мрад в направлении вверх или превышает 2,5 мрад, но составляет не более 3,0 мрад в направлении вниз, то испытанию по</w:t>
      </w:r>
      <w:r>
        <w:t>двергают вторую фару из выборки</w:t>
      </w:r>
      <w:proofErr w:type="gramStart"/>
      <w:r>
        <w:t xml:space="preserve"> </w:t>
      </w:r>
      <w:r w:rsidRPr="00D71BD3">
        <w:t>А</w:t>
      </w:r>
      <w:proofErr w:type="gramEnd"/>
      <w:r w:rsidRPr="00D71BD3">
        <w:t>, причем среднеарифметическое абсолютных значений, зарегистрированных на обоих образцах, не должно пр</w:t>
      </w:r>
      <w:r w:rsidRPr="00D71BD3">
        <w:t>е</w:t>
      </w:r>
      <w:r w:rsidRPr="00D71BD3">
        <w:t>вышать 1,5 мрад в направлении вверх и 2,5 мрад в направлении вниз.</w:t>
      </w:r>
    </w:p>
    <w:p w:rsidR="00D05163" w:rsidRPr="005177F1" w:rsidRDefault="00D05163" w:rsidP="00D05163">
      <w:pPr>
        <w:pStyle w:val="SingleTxtGR"/>
        <w:ind w:left="2268" w:hanging="1134"/>
      </w:pPr>
      <w:r w:rsidRPr="005177F1">
        <w:tab/>
      </w:r>
      <w:r w:rsidRPr="005177F1">
        <w:tab/>
        <w:t>Однако если на выборке</w:t>
      </w:r>
      <w:proofErr w:type="gramStart"/>
      <w:r w:rsidRPr="005177F1">
        <w:t xml:space="preserve"> А</w:t>
      </w:r>
      <w:proofErr w:type="gramEnd"/>
      <w:r w:rsidRPr="005177F1">
        <w:t xml:space="preserve"> это значение 1,5 мрад в направлении вверх и 2,5 мрад в направлении вниз не выдерживается, то такой же процедуре подвергают обе фары из выборки В и значение </w:t>
      </w:r>
      <w:r w:rsidRPr="005177F1">
        <w:sym w:font="Symbol" w:char="F044"/>
      </w:r>
      <w:r w:rsidRPr="005177F1">
        <w:t>r для каждой из них не должно превышать 1,5 мрад в направлении вверх и 2,5 мрад в направлении вниз".</w:t>
      </w:r>
    </w:p>
    <w:p w:rsidR="007A768E" w:rsidRPr="00A633E3" w:rsidRDefault="00D05163" w:rsidP="00D05163">
      <w:pPr>
        <w:spacing w:before="240"/>
        <w:jc w:val="center"/>
        <w:rPr>
          <w:lang w:eastAsia="ru-RU"/>
        </w:rPr>
      </w:pPr>
      <w:r w:rsidRPr="00E50E2D">
        <w:rPr>
          <w:u w:val="single"/>
        </w:rPr>
        <w:tab/>
      </w:r>
      <w:r w:rsidRPr="00E50E2D">
        <w:rPr>
          <w:u w:val="single"/>
        </w:rPr>
        <w:tab/>
      </w:r>
      <w:r w:rsidRPr="00E50E2D">
        <w:rPr>
          <w:u w:val="single"/>
        </w:rPr>
        <w:tab/>
      </w:r>
    </w:p>
    <w:sectPr w:rsidR="007A768E" w:rsidRPr="00A633E3" w:rsidSect="0020341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357" w:rsidRDefault="00801357">
      <w:r>
        <w:rPr>
          <w:lang w:val="en-US"/>
        </w:rPr>
        <w:tab/>
      </w:r>
      <w:r>
        <w:separator/>
      </w:r>
    </w:p>
  </w:endnote>
  <w:endnote w:type="continuationSeparator" w:id="0">
    <w:p w:rsidR="00801357" w:rsidRDefault="0080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E20B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C497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 w:rsidR="005B7F8E">
      <w:rPr>
        <w:sz w:val="20"/>
        <w:lang w:val="ru-RU"/>
      </w:rPr>
      <w:t>5</w:t>
    </w:r>
    <w:r>
      <w:rPr>
        <w:sz w:val="20"/>
        <w:lang w:val="en-US"/>
      </w:rPr>
      <w:t>-</w:t>
    </w:r>
    <w:r>
      <w:rPr>
        <w:sz w:val="20"/>
        <w:lang w:val="en-US"/>
      </w:rPr>
      <w:tab/>
    </w:r>
    <w:r w:rsidR="00C237A4">
      <w:rPr>
        <w:b/>
        <w:noProof/>
        <w:lang w:eastAsia="en-GB"/>
      </w:rPr>
      <w:drawing>
        <wp:inline distT="0" distB="0" distL="0" distR="0">
          <wp:extent cx="2700655" cy="233680"/>
          <wp:effectExtent l="0" t="0" r="4445" b="0"/>
          <wp:docPr id="2" name="Picture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357" w:rsidRPr="00F71F63" w:rsidRDefault="0080135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801357" w:rsidRPr="00F71F63" w:rsidRDefault="0080135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801357" w:rsidRPr="00635E86" w:rsidRDefault="00801357" w:rsidP="00635E86">
      <w:pPr>
        <w:pStyle w:val="Footer"/>
      </w:pPr>
    </w:p>
  </w:footnote>
  <w:footnote w:id="1">
    <w:p w:rsidR="00923DB6" w:rsidRPr="00AA2DC3" w:rsidRDefault="00923DB6" w:rsidP="00923DB6">
      <w:pPr>
        <w:pStyle w:val="FootnoteText"/>
        <w:rPr>
          <w:sz w:val="20"/>
          <w:lang w:val="ru-RU"/>
        </w:rPr>
      </w:pPr>
      <w:r>
        <w:tab/>
      </w:r>
      <w:r w:rsidRPr="00AA2DC3">
        <w:rPr>
          <w:rStyle w:val="FootnoteReference"/>
          <w:sz w:val="20"/>
          <w:vertAlign w:val="baseline"/>
          <w:lang w:val="ru-RU"/>
        </w:rPr>
        <w:t>*</w:t>
      </w:r>
      <w:r w:rsidRPr="00AA2DC3">
        <w:rPr>
          <w:lang w:val="ru-RU"/>
        </w:rPr>
        <w:tab/>
        <w:t>Прежнее название Соглашения:</w:t>
      </w:r>
      <w:r>
        <w:rPr>
          <w:lang w:val="ru-RU"/>
        </w:rPr>
        <w:t xml:space="preserve"> </w:t>
      </w:r>
      <w:r w:rsidRPr="00AA2DC3">
        <w:rPr>
          <w:lang w:val="ru-RU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lang w:val="ru-RU"/>
        </w:rPr>
        <w:t>анспортных средств, совершено в </w:t>
      </w:r>
      <w:r w:rsidRPr="00AA2DC3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350378">
    <w:pPr>
      <w:pStyle w:val="Header"/>
      <w:rPr>
        <w:lang w:val="en-US"/>
      </w:rPr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>
      <w:t>/Rev.2/Add.111/Rev.3/Amend.2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>
      <w:t>/Rev.2/Add.111/Rev.3/Amend.2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5E77FA" w:rsidRPr="00D623A7">
      <w:t>E/</w:t>
    </w:r>
    <w:proofErr w:type="spellStart"/>
    <w:r w:rsidR="005E77FA" w:rsidRPr="00D623A7">
      <w:t>ECE</w:t>
    </w:r>
    <w:proofErr w:type="spellEnd"/>
    <w:r w:rsidR="005E77FA" w:rsidRPr="00D623A7">
      <w:t>/324</w:t>
    </w:r>
    <w:r w:rsidR="005E77FA">
      <w:t>/</w:t>
    </w:r>
    <w:r w:rsidR="008630BE">
      <w:t>Rev.2/Add.111/Rev.3/Amend.2</w:t>
    </w:r>
    <w:r w:rsidR="005E77FA">
      <w:br/>
    </w:r>
    <w:r w:rsidR="005E77FA" w:rsidRPr="00D623A7">
      <w:t>E/</w:t>
    </w:r>
    <w:proofErr w:type="spellStart"/>
    <w:r w:rsidR="005E77FA" w:rsidRPr="00D623A7">
      <w:t>ECE</w:t>
    </w:r>
    <w:proofErr w:type="spellEnd"/>
    <w:r w:rsidR="005E77FA" w:rsidRPr="00D623A7">
      <w:t>/TRANS/505</w:t>
    </w:r>
    <w:r w:rsidR="005E77FA">
      <w:t>/</w:t>
    </w:r>
    <w:r w:rsidR="008630BE">
      <w:t>Rev.2/Add.111/Rev.3/Amend.2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6401A"/>
    <w:rsid w:val="0006672F"/>
    <w:rsid w:val="00072C27"/>
    <w:rsid w:val="0007306D"/>
    <w:rsid w:val="00076E4D"/>
    <w:rsid w:val="00080828"/>
    <w:rsid w:val="00081A7E"/>
    <w:rsid w:val="00084804"/>
    <w:rsid w:val="00086182"/>
    <w:rsid w:val="00090891"/>
    <w:rsid w:val="00092E62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105B9F"/>
    <w:rsid w:val="0011272C"/>
    <w:rsid w:val="00117AEE"/>
    <w:rsid w:val="0012420E"/>
    <w:rsid w:val="00131F2C"/>
    <w:rsid w:val="001352E9"/>
    <w:rsid w:val="00141432"/>
    <w:rsid w:val="001438FE"/>
    <w:rsid w:val="001450FC"/>
    <w:rsid w:val="001463CC"/>
    <w:rsid w:val="001463F7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0DB"/>
    <w:rsid w:val="001A6294"/>
    <w:rsid w:val="001A75D5"/>
    <w:rsid w:val="001A7D40"/>
    <w:rsid w:val="001D07F7"/>
    <w:rsid w:val="001D159F"/>
    <w:rsid w:val="001D568D"/>
    <w:rsid w:val="001D7008"/>
    <w:rsid w:val="001D7B8F"/>
    <w:rsid w:val="001E48EE"/>
    <w:rsid w:val="001F2A18"/>
    <w:rsid w:val="001F2D04"/>
    <w:rsid w:val="002003EC"/>
    <w:rsid w:val="0020059C"/>
    <w:rsid w:val="002019BD"/>
    <w:rsid w:val="0020341D"/>
    <w:rsid w:val="00232D42"/>
    <w:rsid w:val="00237334"/>
    <w:rsid w:val="002444F4"/>
    <w:rsid w:val="002629A0"/>
    <w:rsid w:val="00265FF3"/>
    <w:rsid w:val="00275688"/>
    <w:rsid w:val="0028492B"/>
    <w:rsid w:val="00291C8F"/>
    <w:rsid w:val="002A6FA9"/>
    <w:rsid w:val="002C5036"/>
    <w:rsid w:val="002C6A71"/>
    <w:rsid w:val="002C6D5F"/>
    <w:rsid w:val="002D09EB"/>
    <w:rsid w:val="002D15EA"/>
    <w:rsid w:val="002D2504"/>
    <w:rsid w:val="002D6743"/>
    <w:rsid w:val="002D6C07"/>
    <w:rsid w:val="002E0CE6"/>
    <w:rsid w:val="002E1163"/>
    <w:rsid w:val="002E27D0"/>
    <w:rsid w:val="002E43F3"/>
    <w:rsid w:val="002F6F05"/>
    <w:rsid w:val="0030281E"/>
    <w:rsid w:val="003037A7"/>
    <w:rsid w:val="00314D12"/>
    <w:rsid w:val="00316CA9"/>
    <w:rsid w:val="00317D73"/>
    <w:rsid w:val="003215F5"/>
    <w:rsid w:val="00321C4D"/>
    <w:rsid w:val="0032510F"/>
    <w:rsid w:val="00325BF1"/>
    <w:rsid w:val="00332891"/>
    <w:rsid w:val="00350378"/>
    <w:rsid w:val="003511DF"/>
    <w:rsid w:val="003529EE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86581"/>
    <w:rsid w:val="00386C8B"/>
    <w:rsid w:val="00387100"/>
    <w:rsid w:val="003951D3"/>
    <w:rsid w:val="003978C6"/>
    <w:rsid w:val="003A103E"/>
    <w:rsid w:val="003B2FC1"/>
    <w:rsid w:val="003B40A9"/>
    <w:rsid w:val="003B7D89"/>
    <w:rsid w:val="003C016E"/>
    <w:rsid w:val="003C1586"/>
    <w:rsid w:val="003D0892"/>
    <w:rsid w:val="003D0AF7"/>
    <w:rsid w:val="003D5EBD"/>
    <w:rsid w:val="003E03E1"/>
    <w:rsid w:val="003E4E8A"/>
    <w:rsid w:val="003E6BC5"/>
    <w:rsid w:val="003F41C9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735A"/>
    <w:rsid w:val="004C78B6"/>
    <w:rsid w:val="004D7938"/>
    <w:rsid w:val="004E0669"/>
    <w:rsid w:val="004E0B5D"/>
    <w:rsid w:val="004E6729"/>
    <w:rsid w:val="004F0CBC"/>
    <w:rsid w:val="004F0E47"/>
    <w:rsid w:val="004F5701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E77FA"/>
    <w:rsid w:val="005F0F76"/>
    <w:rsid w:val="005F27EA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23D9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A0B17"/>
    <w:rsid w:val="007A514C"/>
    <w:rsid w:val="007A768E"/>
    <w:rsid w:val="007A79EB"/>
    <w:rsid w:val="007B2CC6"/>
    <w:rsid w:val="007B4051"/>
    <w:rsid w:val="007C749B"/>
    <w:rsid w:val="007D4CA0"/>
    <w:rsid w:val="007D7A23"/>
    <w:rsid w:val="007E38C3"/>
    <w:rsid w:val="007E549E"/>
    <w:rsid w:val="007E71C9"/>
    <w:rsid w:val="007F7553"/>
    <w:rsid w:val="00801357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3BD0"/>
    <w:rsid w:val="00861C52"/>
    <w:rsid w:val="00861FA7"/>
    <w:rsid w:val="008630BE"/>
    <w:rsid w:val="008645F8"/>
    <w:rsid w:val="00867299"/>
    <w:rsid w:val="00867F7C"/>
    <w:rsid w:val="008727A1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79D8"/>
    <w:rsid w:val="008C7B87"/>
    <w:rsid w:val="008D26AA"/>
    <w:rsid w:val="008D6A7A"/>
    <w:rsid w:val="008E24DB"/>
    <w:rsid w:val="008E3E87"/>
    <w:rsid w:val="008E3EEA"/>
    <w:rsid w:val="008E7F13"/>
    <w:rsid w:val="008F3185"/>
    <w:rsid w:val="008F4706"/>
    <w:rsid w:val="008F6CAF"/>
    <w:rsid w:val="009109AE"/>
    <w:rsid w:val="00915B0A"/>
    <w:rsid w:val="0091740B"/>
    <w:rsid w:val="00923DB6"/>
    <w:rsid w:val="0092441F"/>
    <w:rsid w:val="00926904"/>
    <w:rsid w:val="00931CB3"/>
    <w:rsid w:val="009372F0"/>
    <w:rsid w:val="00942165"/>
    <w:rsid w:val="00954C2A"/>
    <w:rsid w:val="00955022"/>
    <w:rsid w:val="00957B4D"/>
    <w:rsid w:val="00964EEA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572A2"/>
    <w:rsid w:val="00A6590E"/>
    <w:rsid w:val="00A72347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F19E9"/>
    <w:rsid w:val="00AF20CB"/>
    <w:rsid w:val="00AF4DF6"/>
    <w:rsid w:val="00B0169F"/>
    <w:rsid w:val="00B05F21"/>
    <w:rsid w:val="00B14EA9"/>
    <w:rsid w:val="00B16E01"/>
    <w:rsid w:val="00B21C6B"/>
    <w:rsid w:val="00B30A3C"/>
    <w:rsid w:val="00B31407"/>
    <w:rsid w:val="00B4277E"/>
    <w:rsid w:val="00B446EB"/>
    <w:rsid w:val="00B4546D"/>
    <w:rsid w:val="00B4554D"/>
    <w:rsid w:val="00B522B4"/>
    <w:rsid w:val="00B52550"/>
    <w:rsid w:val="00B608DC"/>
    <w:rsid w:val="00B66702"/>
    <w:rsid w:val="00B81305"/>
    <w:rsid w:val="00B843BC"/>
    <w:rsid w:val="00B85828"/>
    <w:rsid w:val="00B8744B"/>
    <w:rsid w:val="00B918FF"/>
    <w:rsid w:val="00BA3D5F"/>
    <w:rsid w:val="00BB17DC"/>
    <w:rsid w:val="00BB1AF9"/>
    <w:rsid w:val="00BB489A"/>
    <w:rsid w:val="00BB4C4A"/>
    <w:rsid w:val="00BD3CAE"/>
    <w:rsid w:val="00BD5F3C"/>
    <w:rsid w:val="00BE33B0"/>
    <w:rsid w:val="00BF3E6F"/>
    <w:rsid w:val="00C03544"/>
    <w:rsid w:val="00C07C0F"/>
    <w:rsid w:val="00C145C4"/>
    <w:rsid w:val="00C20D2F"/>
    <w:rsid w:val="00C2131B"/>
    <w:rsid w:val="00C237A4"/>
    <w:rsid w:val="00C24EEA"/>
    <w:rsid w:val="00C338A9"/>
    <w:rsid w:val="00C37AF8"/>
    <w:rsid w:val="00C37C79"/>
    <w:rsid w:val="00C41BBC"/>
    <w:rsid w:val="00C503BA"/>
    <w:rsid w:val="00C51419"/>
    <w:rsid w:val="00C54056"/>
    <w:rsid w:val="00C63367"/>
    <w:rsid w:val="00C6566F"/>
    <w:rsid w:val="00C663A3"/>
    <w:rsid w:val="00C70D9E"/>
    <w:rsid w:val="00C75CB2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20B8"/>
    <w:rsid w:val="00CE3D6F"/>
    <w:rsid w:val="00CE79A5"/>
    <w:rsid w:val="00CF0042"/>
    <w:rsid w:val="00CF262F"/>
    <w:rsid w:val="00D000F2"/>
    <w:rsid w:val="00D025D5"/>
    <w:rsid w:val="00D048FE"/>
    <w:rsid w:val="00D05163"/>
    <w:rsid w:val="00D15816"/>
    <w:rsid w:val="00D16009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809D1"/>
    <w:rsid w:val="00D84ECF"/>
    <w:rsid w:val="00DA2851"/>
    <w:rsid w:val="00DA2B7C"/>
    <w:rsid w:val="00DA5686"/>
    <w:rsid w:val="00DB2FC0"/>
    <w:rsid w:val="00DC4970"/>
    <w:rsid w:val="00DE4AE4"/>
    <w:rsid w:val="00DE68C3"/>
    <w:rsid w:val="00DF18FA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C7101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20EB5"/>
    <w:rsid w:val="00F22712"/>
    <w:rsid w:val="00F275F5"/>
    <w:rsid w:val="00F33188"/>
    <w:rsid w:val="00F35BDE"/>
    <w:rsid w:val="00F52A0E"/>
    <w:rsid w:val="00F71F63"/>
    <w:rsid w:val="00F8711A"/>
    <w:rsid w:val="00F87506"/>
    <w:rsid w:val="00F92C41"/>
    <w:rsid w:val="00F94CA9"/>
    <w:rsid w:val="00F9794B"/>
    <w:rsid w:val="00F97DE4"/>
    <w:rsid w:val="00FA318F"/>
    <w:rsid w:val="00FA5522"/>
    <w:rsid w:val="00FA6E4A"/>
    <w:rsid w:val="00FB2B35"/>
    <w:rsid w:val="00FC227C"/>
    <w:rsid w:val="00FC4AE1"/>
    <w:rsid w:val="00FC6735"/>
    <w:rsid w:val="00FD01F2"/>
    <w:rsid w:val="00FD472E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67657-0653-4918-9C9C-4C8F770A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04</cp:lastModifiedBy>
  <cp:revision>3</cp:revision>
  <cp:lastPrinted>2015-05-29T14:54:00Z</cp:lastPrinted>
  <dcterms:created xsi:type="dcterms:W3CDTF">2015-06-15T09:32:00Z</dcterms:created>
  <dcterms:modified xsi:type="dcterms:W3CDTF">2015-06-22T09:52:00Z</dcterms:modified>
</cp:coreProperties>
</file>