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8C0F59">
            <w:pPr>
              <w:jc w:val="right"/>
            </w:pPr>
            <w:r w:rsidRPr="00014D07">
              <w:rPr>
                <w:sz w:val="40"/>
              </w:rPr>
              <w:t>E</w:t>
            </w:r>
            <w:r>
              <w:t>/ECE/324/</w:t>
            </w:r>
            <w:r w:rsidR="00841EB5">
              <w:t>Rev.</w:t>
            </w:r>
            <w:r w:rsidR="008C0F59">
              <w:t>2</w:t>
            </w:r>
            <w:r w:rsidR="00841EB5">
              <w:t>/</w:t>
            </w:r>
            <w:r>
              <w:t>Add.</w:t>
            </w:r>
            <w:r w:rsidR="008C0F59">
              <w:t>106</w:t>
            </w:r>
            <w:r>
              <w:t>/Rev.</w:t>
            </w:r>
            <w:r w:rsidR="008C0F59">
              <w:t>6</w:t>
            </w:r>
            <w:r>
              <w:t>/</w:t>
            </w:r>
            <w:r w:rsidR="00D623A7">
              <w:t>Amend.</w:t>
            </w:r>
            <w:r w:rsidR="008C0F59">
              <w:t>2</w:t>
            </w:r>
            <w:r>
              <w:t>−</w:t>
            </w:r>
            <w:r w:rsidRPr="00014D07">
              <w:rPr>
                <w:sz w:val="40"/>
              </w:rPr>
              <w:t>E</w:t>
            </w:r>
            <w:r>
              <w:t>/ECE/TRANS/505</w:t>
            </w:r>
            <w:r w:rsidR="008C0F59">
              <w:t>/Rev.2/Add.106/Rev.6/Amend.2</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6A0BD1" w:rsidP="003C3936">
            <w:pPr>
              <w:spacing w:before="120"/>
            </w:pPr>
            <w:r>
              <w:t>9 November 2015</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8C0F59">
        <w:t>106</w:t>
      </w:r>
      <w:r>
        <w:t xml:space="preserve"> – Regulation No.</w:t>
      </w:r>
      <w:r w:rsidR="00271A7F">
        <w:t xml:space="preserve"> </w:t>
      </w:r>
      <w:r w:rsidR="008C0F59">
        <w:t>107</w:t>
      </w:r>
    </w:p>
    <w:p w:rsidR="0064636E" w:rsidRPr="00014D07" w:rsidRDefault="0064636E" w:rsidP="00A41529">
      <w:pPr>
        <w:pStyle w:val="H1G"/>
        <w:spacing w:before="240"/>
      </w:pPr>
      <w:r>
        <w:tab/>
      </w:r>
      <w:r>
        <w:tab/>
      </w:r>
      <w:r w:rsidRPr="00014D07">
        <w:t xml:space="preserve">Revision </w:t>
      </w:r>
      <w:r w:rsidR="008C0F59">
        <w:t>6</w:t>
      </w:r>
      <w:r w:rsidRPr="00014D07">
        <w:t xml:space="preserve"> - </w:t>
      </w:r>
      <w:r w:rsidR="00D623A7">
        <w:t>Amendment</w:t>
      </w:r>
      <w:r w:rsidRPr="00014D07">
        <w:t xml:space="preserve"> </w:t>
      </w:r>
      <w:r w:rsidR="008C0F59">
        <w:t>2</w:t>
      </w:r>
    </w:p>
    <w:p w:rsidR="0064636E" w:rsidRPr="00272880" w:rsidRDefault="00D623A7" w:rsidP="0064636E">
      <w:pPr>
        <w:pStyle w:val="SingleTxtG"/>
        <w:spacing w:after="360"/>
        <w:rPr>
          <w:spacing w:val="-2"/>
        </w:rPr>
      </w:pPr>
      <w:r>
        <w:rPr>
          <w:spacing w:val="-2"/>
        </w:rPr>
        <w:t xml:space="preserve">Supplement </w:t>
      </w:r>
      <w:r w:rsidR="008C0F59">
        <w:rPr>
          <w:spacing w:val="-2"/>
        </w:rPr>
        <w:t>2</w:t>
      </w:r>
      <w:r>
        <w:rPr>
          <w:spacing w:val="-2"/>
        </w:rPr>
        <w:t xml:space="preserve"> to </w:t>
      </w:r>
      <w:r w:rsidR="00271A7F">
        <w:rPr>
          <w:spacing w:val="-2"/>
        </w:rPr>
        <w:t xml:space="preserve">the </w:t>
      </w:r>
      <w:r w:rsidR="008C0F59">
        <w:rPr>
          <w:spacing w:val="-2"/>
        </w:rPr>
        <w:t>06</w:t>
      </w:r>
      <w:r>
        <w:rPr>
          <w:spacing w:val="-2"/>
        </w:rPr>
        <w:t xml:space="preserve"> series of amendments</w:t>
      </w:r>
      <w:r w:rsidR="0064636E" w:rsidRPr="00272880">
        <w:rPr>
          <w:spacing w:val="-2"/>
        </w:rPr>
        <w:t xml:space="preserve"> – Date of entry into force: </w:t>
      </w:r>
      <w:r w:rsidR="008C0F59">
        <w:t>8 October 2015</w:t>
      </w:r>
      <w:r w:rsidR="008C0F59">
        <w:br/>
      </w:r>
      <w:r w:rsidR="008C0F59">
        <w:rPr>
          <w:spacing w:val="-2"/>
        </w:rPr>
        <w:t>Supplement 3 to the 06 series of amendments</w:t>
      </w:r>
      <w:r w:rsidR="008C0F59" w:rsidRPr="00272880">
        <w:rPr>
          <w:spacing w:val="-2"/>
        </w:rPr>
        <w:t xml:space="preserve"> – Date of entry into force: </w:t>
      </w:r>
      <w:r w:rsidR="008C0F59">
        <w:t>8 October 2015</w:t>
      </w:r>
    </w:p>
    <w:p w:rsidR="0064636E" w:rsidRDefault="0064636E" w:rsidP="00A41529">
      <w:pPr>
        <w:pStyle w:val="H1G"/>
        <w:spacing w:before="120" w:after="120" w:line="240" w:lineRule="exact"/>
        <w:rPr>
          <w:lang w:val="en-US"/>
        </w:rPr>
      </w:pPr>
      <w:r>
        <w:rPr>
          <w:lang w:val="en-US"/>
        </w:rPr>
        <w:tab/>
      </w:r>
      <w:r>
        <w:rPr>
          <w:lang w:val="en-US"/>
        </w:rPr>
        <w:tab/>
      </w:r>
      <w:r w:rsidR="008C0F59" w:rsidRPr="008C0F59">
        <w:rPr>
          <w:lang w:val="en-US"/>
        </w:rPr>
        <w:t>Uniform provisions concerning the approval of category M</w:t>
      </w:r>
      <w:r w:rsidR="008C0F59" w:rsidRPr="008C0F59">
        <w:rPr>
          <w:vertAlign w:val="subscript"/>
          <w:lang w:val="en-US"/>
        </w:rPr>
        <w:t>2</w:t>
      </w:r>
      <w:r w:rsidR="008C0F59" w:rsidRPr="008C0F59">
        <w:rPr>
          <w:lang w:val="en-US"/>
        </w:rPr>
        <w:t xml:space="preserve"> or M</w:t>
      </w:r>
      <w:r w:rsidR="008C0F59" w:rsidRPr="008C0F59">
        <w:rPr>
          <w:vertAlign w:val="subscript"/>
          <w:lang w:val="en-US"/>
        </w:rPr>
        <w:t>3</w:t>
      </w:r>
      <w:r w:rsidR="008C0F59" w:rsidRPr="008C0F59">
        <w:rPr>
          <w:lang w:val="en-US"/>
        </w:rPr>
        <w:t xml:space="preserve"> </w:t>
      </w:r>
      <w:proofErr w:type="gramStart"/>
      <w:r w:rsidR="008C0F59" w:rsidRPr="008C0F59">
        <w:rPr>
          <w:lang w:val="en-US"/>
        </w:rPr>
        <w:t>vehicles</w:t>
      </w:r>
      <w:proofErr w:type="gramEnd"/>
      <w:r w:rsidR="008C0F59" w:rsidRPr="008C0F59">
        <w:rPr>
          <w:lang w:val="en-US"/>
        </w:rPr>
        <w:t xml:space="preserve"> with regard to their general construction</w:t>
      </w:r>
    </w:p>
    <w:p w:rsidR="00A41529" w:rsidRDefault="00A41529" w:rsidP="00A41529">
      <w:pPr>
        <w:pStyle w:val="SingleTxtG"/>
        <w:spacing w:after="0"/>
        <w:rPr>
          <w:spacing w:val="-6"/>
          <w:lang w:eastAsia="en-GB"/>
        </w:rPr>
      </w:pPr>
      <w:r w:rsidRPr="00B32121">
        <w:rPr>
          <w:spacing w:val="-4"/>
          <w:lang w:eastAsia="en-GB"/>
        </w:rPr>
        <w:t>This document is meant purely as documentation tool. The authentic and legal binding text</w:t>
      </w:r>
      <w:r>
        <w:rPr>
          <w:spacing w:val="-4"/>
          <w:lang w:eastAsia="en-GB"/>
        </w:rPr>
        <w:t>s</w:t>
      </w:r>
      <w:r w:rsidRPr="00B32121">
        <w:rPr>
          <w:spacing w:val="-4"/>
          <w:lang w:eastAsia="en-GB"/>
        </w:rPr>
        <w:t xml:space="preserve"> </w:t>
      </w:r>
      <w:r>
        <w:rPr>
          <w:spacing w:val="-4"/>
          <w:lang w:eastAsia="en-GB"/>
        </w:rPr>
        <w:t>are</w:t>
      </w:r>
      <w:r w:rsidRPr="00B32121">
        <w:rPr>
          <w:spacing w:val="-4"/>
          <w:lang w:eastAsia="en-GB"/>
        </w:rPr>
        <w:t>:</w:t>
      </w:r>
      <w:r>
        <w:rPr>
          <w:lang w:eastAsia="en-GB"/>
        </w:rPr>
        <w:t xml:space="preserve"> -</w:t>
      </w:r>
      <w:r>
        <w:rPr>
          <w:lang w:eastAsia="en-GB"/>
        </w:rPr>
        <w:tab/>
      </w:r>
      <w:proofErr w:type="spellStart"/>
      <w:r>
        <w:rPr>
          <w:spacing w:val="-6"/>
          <w:lang w:eastAsia="en-GB"/>
        </w:rPr>
        <w:t>ECE</w:t>
      </w:r>
      <w:proofErr w:type="spellEnd"/>
      <w:r>
        <w:rPr>
          <w:spacing w:val="-6"/>
          <w:lang w:eastAsia="en-GB"/>
        </w:rPr>
        <w:t>/TRANS/WP.29/201</w:t>
      </w:r>
      <w:r w:rsidR="00E815F1">
        <w:rPr>
          <w:spacing w:val="-6"/>
          <w:lang w:eastAsia="en-GB"/>
        </w:rPr>
        <w:t>4</w:t>
      </w:r>
      <w:r>
        <w:rPr>
          <w:spacing w:val="-6"/>
          <w:lang w:eastAsia="en-GB"/>
        </w:rPr>
        <w:t>/</w:t>
      </w:r>
      <w:r w:rsidR="00E815F1">
        <w:rPr>
          <w:spacing w:val="-6"/>
          <w:lang w:eastAsia="en-GB"/>
        </w:rPr>
        <w:t>77</w:t>
      </w:r>
      <w:r>
        <w:rPr>
          <w:spacing w:val="-6"/>
          <w:lang w:eastAsia="en-GB"/>
        </w:rPr>
        <w:t xml:space="preserve"> </w:t>
      </w:r>
    </w:p>
    <w:p w:rsidR="00A41529" w:rsidRDefault="00A41529" w:rsidP="00A41529">
      <w:pPr>
        <w:pStyle w:val="SingleTxtG"/>
        <w:spacing w:after="0"/>
        <w:ind w:left="1701" w:hanging="567"/>
        <w:rPr>
          <w:spacing w:val="-6"/>
          <w:lang w:eastAsia="en-GB"/>
        </w:rPr>
      </w:pPr>
      <w:proofErr w:type="gramStart"/>
      <w:r>
        <w:rPr>
          <w:spacing w:val="-6"/>
          <w:lang w:eastAsia="en-GB"/>
        </w:rPr>
        <w:t>-</w:t>
      </w:r>
      <w:r>
        <w:rPr>
          <w:spacing w:val="-6"/>
          <w:lang w:eastAsia="en-GB"/>
        </w:rPr>
        <w:tab/>
      </w:r>
      <w:proofErr w:type="spellStart"/>
      <w:r>
        <w:rPr>
          <w:spacing w:val="-6"/>
          <w:lang w:eastAsia="en-GB"/>
        </w:rPr>
        <w:t>ECE</w:t>
      </w:r>
      <w:proofErr w:type="spellEnd"/>
      <w:r>
        <w:rPr>
          <w:spacing w:val="-6"/>
          <w:lang w:eastAsia="en-GB"/>
        </w:rPr>
        <w:t>/TRANS/WP.29/2015/</w:t>
      </w:r>
      <w:r w:rsidR="00E815F1">
        <w:rPr>
          <w:spacing w:val="-6"/>
          <w:lang w:eastAsia="en-GB"/>
        </w:rPr>
        <w:t>44.</w:t>
      </w:r>
      <w:proofErr w:type="gramEnd"/>
    </w:p>
    <w:p w:rsidR="000D3A4F" w:rsidRPr="000D3A4F" w:rsidRDefault="006A0BD1"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776D12" w:rsidRDefault="00D5540C" w:rsidP="00C711C7">
      <w:pPr>
        <w:jc w:val="center"/>
      </w:pPr>
      <w:r>
        <w:br w:type="page"/>
      </w:r>
    </w:p>
    <w:p w:rsidR="00E815F1" w:rsidRDefault="00E815F1" w:rsidP="00E815F1">
      <w:pPr>
        <w:spacing w:after="120" w:line="240" w:lineRule="auto"/>
        <w:ind w:left="1134" w:right="1134"/>
        <w:jc w:val="both"/>
        <w:rPr>
          <w:i/>
        </w:rPr>
      </w:pPr>
      <w:r>
        <w:rPr>
          <w:i/>
        </w:rPr>
        <w:t>Annex 3,</w:t>
      </w:r>
    </w:p>
    <w:p w:rsidR="00E815F1" w:rsidRPr="00457AA3" w:rsidRDefault="00E815F1" w:rsidP="00E815F1">
      <w:pPr>
        <w:spacing w:after="120" w:line="240" w:lineRule="auto"/>
        <w:ind w:left="1134" w:right="1134"/>
        <w:jc w:val="both"/>
      </w:pPr>
      <w:r>
        <w:rPr>
          <w:i/>
        </w:rPr>
        <w:t>P</w:t>
      </w:r>
      <w:r w:rsidRPr="00457AA3">
        <w:rPr>
          <w:i/>
        </w:rPr>
        <w:t>aragraph 7.5.1.5.,</w:t>
      </w:r>
      <w:r w:rsidRPr="00457AA3">
        <w:t xml:space="preserve"> amend to read:</w:t>
      </w:r>
    </w:p>
    <w:p w:rsidR="00E815F1" w:rsidRPr="00457AA3" w:rsidRDefault="00E815F1" w:rsidP="00E815F1">
      <w:pPr>
        <w:tabs>
          <w:tab w:val="left" w:pos="1080"/>
        </w:tabs>
        <w:spacing w:before="120" w:after="120"/>
        <w:ind w:left="2268" w:right="1134" w:hanging="1134"/>
        <w:jc w:val="both"/>
        <w:rPr>
          <w:lang w:val="en-US"/>
        </w:rPr>
      </w:pPr>
      <w:r w:rsidRPr="00457AA3">
        <w:t>"</w:t>
      </w:r>
      <w:r w:rsidRPr="00457AA3">
        <w:rPr>
          <w:lang w:val="en-US"/>
        </w:rPr>
        <w:t>7.5.1.5.</w:t>
      </w:r>
      <w:r w:rsidRPr="00457AA3">
        <w:rPr>
          <w:lang w:val="en-US"/>
        </w:rPr>
        <w:tab/>
        <w:t>In the case of vehicles having the engine located to the rear of the driver's compartment, the compartment shall be equipped with an alarm system providing the driver with both an acoustic and a visual signal, and activating the hazard warning signal in the event of excess temperature in the engine compartment and in each compartment where a combustion heater is located</w:t>
      </w:r>
      <w:r w:rsidRPr="00457AA3">
        <w:t>."</w:t>
      </w:r>
    </w:p>
    <w:p w:rsidR="00E815F1" w:rsidRPr="00457AA3" w:rsidRDefault="00E815F1" w:rsidP="00E815F1">
      <w:pPr>
        <w:spacing w:after="120" w:line="240" w:lineRule="auto"/>
        <w:ind w:left="1134" w:right="1134"/>
        <w:jc w:val="both"/>
      </w:pPr>
      <w:r>
        <w:rPr>
          <w:i/>
        </w:rPr>
        <w:t>P</w:t>
      </w:r>
      <w:r w:rsidRPr="00457AA3">
        <w:rPr>
          <w:i/>
        </w:rPr>
        <w:t>aragraph 7.5.6.2.,</w:t>
      </w:r>
      <w:r w:rsidRPr="00457AA3">
        <w:t xml:space="preserve"> amend to read:</w:t>
      </w:r>
    </w:p>
    <w:p w:rsidR="00E815F1" w:rsidRPr="00457AA3" w:rsidRDefault="00E815F1" w:rsidP="00E815F1">
      <w:pPr>
        <w:spacing w:after="120" w:line="240" w:lineRule="auto"/>
        <w:ind w:left="2268" w:right="1134" w:hanging="1134"/>
        <w:jc w:val="both"/>
        <w:rPr>
          <w:lang w:val="en-US"/>
        </w:rPr>
      </w:pPr>
      <w:proofErr w:type="gramStart"/>
      <w:r w:rsidRPr="00457AA3">
        <w:t>"</w:t>
      </w:r>
      <w:r w:rsidRPr="00457AA3">
        <w:rPr>
          <w:lang w:val="en-US"/>
        </w:rPr>
        <w:t>7.5.6.2.</w:t>
      </w:r>
      <w:r w:rsidRPr="00457AA3">
        <w:rPr>
          <w:lang w:val="en-US"/>
        </w:rPr>
        <w:tab/>
        <w:t>Upon detection, the system given in paragraph 7.5.6.1.</w:t>
      </w:r>
      <w:proofErr w:type="gramEnd"/>
      <w:r w:rsidRPr="00457AA3">
        <w:rPr>
          <w:lang w:val="en-US"/>
        </w:rPr>
        <w:t xml:space="preserve"> </w:t>
      </w:r>
      <w:proofErr w:type="gramStart"/>
      <w:r w:rsidRPr="00457AA3">
        <w:rPr>
          <w:lang w:val="en-US"/>
        </w:rPr>
        <w:t>shall</w:t>
      </w:r>
      <w:proofErr w:type="gramEnd"/>
      <w:r w:rsidRPr="00457AA3">
        <w:rPr>
          <w:lang w:val="en-US"/>
        </w:rPr>
        <w:t xml:space="preserve"> provide the driver with both an acoustic and a visual signal in the driver's compartment and shall activate the hazard warning signal."</w:t>
      </w:r>
    </w:p>
    <w:p w:rsidR="00E815F1" w:rsidRPr="00E815F1" w:rsidRDefault="00E815F1" w:rsidP="00E815F1">
      <w:pPr>
        <w:suppressAutoHyphens w:val="0"/>
        <w:spacing w:line="240" w:lineRule="auto"/>
        <w:ind w:left="1134" w:right="1139"/>
        <w:jc w:val="both"/>
        <w:rPr>
          <w:bCs/>
          <w:i/>
          <w:lang w:val="en-US"/>
        </w:rPr>
      </w:pPr>
      <w:r w:rsidRPr="00E815F1">
        <w:rPr>
          <w:bCs/>
          <w:i/>
          <w:lang w:val="en-US"/>
        </w:rPr>
        <w:t>Annex 11,</w:t>
      </w:r>
    </w:p>
    <w:p w:rsidR="00E815F1" w:rsidRPr="00E815F1" w:rsidRDefault="00E815F1" w:rsidP="00E815F1">
      <w:pPr>
        <w:suppressAutoHyphens w:val="0"/>
        <w:spacing w:before="120" w:line="240" w:lineRule="auto"/>
        <w:ind w:left="1134" w:right="1140"/>
        <w:jc w:val="both"/>
        <w:rPr>
          <w:bCs/>
          <w:i/>
          <w:lang w:val="en-US"/>
        </w:rPr>
      </w:pPr>
      <w:r w:rsidRPr="00E815F1">
        <w:rPr>
          <w:i/>
          <w:lang w:val="en-US"/>
        </w:rPr>
        <w:t>Paragraph</w:t>
      </w:r>
      <w:r w:rsidRPr="00E815F1">
        <w:rPr>
          <w:bCs/>
          <w:i/>
          <w:lang w:val="en-US"/>
        </w:rPr>
        <w:t xml:space="preserve"> </w:t>
      </w:r>
      <w:r w:rsidRPr="00E815F1">
        <w:rPr>
          <w:i/>
          <w:lang w:val="en-US"/>
        </w:rPr>
        <w:t>3.2.3.2.1.</w:t>
      </w:r>
      <w:r w:rsidRPr="00E815F1">
        <w:rPr>
          <w:bCs/>
          <w:i/>
          <w:lang w:val="en-US"/>
        </w:rPr>
        <w:t xml:space="preserve">, </w:t>
      </w:r>
      <w:r w:rsidRPr="00E815F1">
        <w:rPr>
          <w:bCs/>
          <w:lang w:val="en-US"/>
        </w:rPr>
        <w:t>amend to read:</w:t>
      </w:r>
    </w:p>
    <w:p w:rsidR="00E815F1" w:rsidRPr="00E815F1" w:rsidRDefault="00E815F1" w:rsidP="00E815F1">
      <w:pPr>
        <w:suppressAutoHyphens w:val="0"/>
        <w:spacing w:before="120" w:after="120" w:line="240" w:lineRule="auto"/>
        <w:ind w:left="2268" w:right="1134" w:hanging="1134"/>
        <w:jc w:val="both"/>
        <w:rPr>
          <w:lang w:val="en-US"/>
        </w:rPr>
      </w:pPr>
      <w:r w:rsidRPr="00E815F1">
        <w:rPr>
          <w:lang w:val="en-US"/>
        </w:rPr>
        <w:t>"3.2.3.2.1.</w:t>
      </w:r>
      <w:r w:rsidRPr="00E815F1">
        <w:rPr>
          <w:lang w:val="en-US"/>
        </w:rPr>
        <w:tab/>
        <w:t xml:space="preserve">The vehicle in running order is loaded with: a mass corresponding to the number P of seated passengers, of mass Q; a mass corresponding to the number </w:t>
      </w:r>
      <w:proofErr w:type="spellStart"/>
      <w:r w:rsidRPr="00E815F1">
        <w:rPr>
          <w:lang w:val="en-US"/>
        </w:rPr>
        <w:t>SP</w:t>
      </w:r>
      <w:proofErr w:type="spellEnd"/>
      <w:r w:rsidRPr="00E815F1">
        <w:rPr>
          <w:lang w:val="en-US"/>
        </w:rPr>
        <w:t xml:space="preserve"> of standing passengers, of mass Q uniformly distributed over the surface available for standing passengers S</w:t>
      </w:r>
      <w:r w:rsidRPr="00E815F1">
        <w:rPr>
          <w:vertAlign w:val="subscript"/>
          <w:lang w:val="en-US"/>
        </w:rPr>
        <w:t>1</w:t>
      </w:r>
      <w:r w:rsidRPr="00E815F1">
        <w:rPr>
          <w:lang w:val="en-US"/>
        </w:rPr>
        <w:t>; where appropriate, a mass WP uniformly distributed over each wheelchair space; a mass equal to B (kg) uniformly distributed in the baggage compartments; a mass equal to BX (kg) uniformly distributed over the surface area of the roof equipped for the carriage of baggage, where:</w:t>
      </w:r>
    </w:p>
    <w:p w:rsidR="00E815F1" w:rsidRPr="00E815F1" w:rsidRDefault="00E815F1" w:rsidP="00E815F1">
      <w:pPr>
        <w:suppressAutoHyphens w:val="0"/>
        <w:spacing w:before="120" w:after="120" w:line="240" w:lineRule="auto"/>
        <w:ind w:left="2268" w:right="1134" w:hanging="1134"/>
        <w:jc w:val="both"/>
        <w:rPr>
          <w:lang w:val="en-US"/>
        </w:rPr>
      </w:pPr>
      <w:r w:rsidRPr="00E815F1">
        <w:rPr>
          <w:lang w:val="en-US"/>
        </w:rPr>
        <w:tab/>
        <w:t>P is the number of seating places.</w:t>
      </w:r>
    </w:p>
    <w:p w:rsidR="00E815F1" w:rsidRPr="00E815F1" w:rsidRDefault="00E815F1" w:rsidP="00E815F1">
      <w:pPr>
        <w:suppressAutoHyphens w:val="0"/>
        <w:spacing w:before="120" w:after="120" w:line="240" w:lineRule="auto"/>
        <w:ind w:left="2268" w:right="1134" w:hanging="1134"/>
        <w:jc w:val="both"/>
        <w:rPr>
          <w:lang w:val="en-US"/>
        </w:rPr>
      </w:pPr>
      <w:r w:rsidRPr="00E815F1">
        <w:rPr>
          <w:lang w:val="en-US"/>
        </w:rPr>
        <w:tab/>
        <w:t>S</w:t>
      </w:r>
      <w:r w:rsidRPr="00E815F1">
        <w:rPr>
          <w:vertAlign w:val="subscript"/>
          <w:lang w:val="en-US"/>
        </w:rPr>
        <w:t>1</w:t>
      </w:r>
      <w:r w:rsidRPr="00E815F1">
        <w:rPr>
          <w:lang w:val="en-US"/>
        </w:rPr>
        <w:t xml:space="preserve"> is the area for standing passengers. In the case of vehicles of classes III or B, S</w:t>
      </w:r>
      <w:r w:rsidRPr="00E815F1">
        <w:rPr>
          <w:vertAlign w:val="subscript"/>
          <w:lang w:val="en-US"/>
        </w:rPr>
        <w:t>1</w:t>
      </w:r>
      <w:r w:rsidRPr="00E815F1">
        <w:rPr>
          <w:lang w:val="en-US"/>
        </w:rPr>
        <w:t xml:space="preserve"> = 0.</w:t>
      </w:r>
    </w:p>
    <w:p w:rsidR="00E815F1" w:rsidRPr="00E815F1" w:rsidRDefault="00E815F1" w:rsidP="00E815F1">
      <w:pPr>
        <w:suppressAutoHyphens w:val="0"/>
        <w:spacing w:before="120" w:after="120" w:line="240" w:lineRule="auto"/>
        <w:ind w:left="2268" w:right="1134" w:hanging="1134"/>
        <w:jc w:val="both"/>
        <w:rPr>
          <w:lang w:val="en-US"/>
        </w:rPr>
      </w:pPr>
      <w:r w:rsidRPr="00E815F1">
        <w:rPr>
          <w:lang w:val="en-US"/>
        </w:rPr>
        <w:tab/>
      </w:r>
      <w:proofErr w:type="spellStart"/>
      <w:r w:rsidRPr="00E815F1">
        <w:rPr>
          <w:lang w:val="en-US"/>
        </w:rPr>
        <w:t>SP</w:t>
      </w:r>
      <w:proofErr w:type="spellEnd"/>
      <w:r w:rsidRPr="00E815F1">
        <w:rPr>
          <w:lang w:val="en-US"/>
        </w:rPr>
        <w:t>, declared by the manufacturer, shall not exceed the value S</w:t>
      </w:r>
      <w:r w:rsidRPr="00E815F1">
        <w:rPr>
          <w:vertAlign w:val="subscript"/>
          <w:lang w:val="en-US"/>
        </w:rPr>
        <w:t>1</w:t>
      </w:r>
      <w:r w:rsidRPr="00E815F1">
        <w:rPr>
          <w:lang w:val="en-US"/>
        </w:rPr>
        <w:t>/</w:t>
      </w:r>
      <w:proofErr w:type="spellStart"/>
      <w:r w:rsidRPr="00E815F1">
        <w:rPr>
          <w:lang w:val="en-US"/>
        </w:rPr>
        <w:t>S</w:t>
      </w:r>
      <w:r w:rsidRPr="00E815F1">
        <w:rPr>
          <w:vertAlign w:val="subscript"/>
          <w:lang w:val="en-US"/>
        </w:rPr>
        <w:t>Sp</w:t>
      </w:r>
      <w:proofErr w:type="spellEnd"/>
      <w:r w:rsidRPr="00E815F1">
        <w:rPr>
          <w:lang w:val="en-US"/>
        </w:rPr>
        <w:t xml:space="preserve">, where </w:t>
      </w:r>
      <w:proofErr w:type="spellStart"/>
      <w:r w:rsidRPr="00E815F1">
        <w:rPr>
          <w:lang w:val="en-US"/>
        </w:rPr>
        <w:t>S</w:t>
      </w:r>
      <w:r w:rsidRPr="00E815F1">
        <w:rPr>
          <w:vertAlign w:val="subscript"/>
          <w:lang w:val="en-US"/>
        </w:rPr>
        <w:t>Sp</w:t>
      </w:r>
      <w:proofErr w:type="spellEnd"/>
      <w:r w:rsidRPr="00E815F1">
        <w:rPr>
          <w:lang w:val="en-US"/>
        </w:rPr>
        <w:t xml:space="preserve"> is the conventional space provided for one standing passenger specified in the table below.</w:t>
      </w:r>
    </w:p>
    <w:p w:rsidR="00E815F1" w:rsidRPr="00E815F1" w:rsidRDefault="00E815F1" w:rsidP="00E815F1">
      <w:pPr>
        <w:suppressAutoHyphens w:val="0"/>
        <w:spacing w:before="120" w:after="120" w:line="240" w:lineRule="auto"/>
        <w:ind w:left="2268" w:right="1134" w:hanging="1134"/>
        <w:jc w:val="both"/>
        <w:rPr>
          <w:lang w:val="en-US"/>
        </w:rPr>
      </w:pPr>
      <w:r w:rsidRPr="00E815F1">
        <w:rPr>
          <w:lang w:val="en-US"/>
        </w:rPr>
        <w:tab/>
        <w:t>WP (kg</w:t>
      </w:r>
      <w:proofErr w:type="gramStart"/>
      <w:r w:rsidRPr="00E815F1">
        <w:rPr>
          <w:lang w:val="en-US"/>
        </w:rPr>
        <w:t>),</w:t>
      </w:r>
      <w:proofErr w:type="gramEnd"/>
      <w:r w:rsidRPr="00E815F1">
        <w:rPr>
          <w:lang w:val="en-US"/>
        </w:rPr>
        <w:t xml:space="preserve"> is the number of wheelchair spaces multiplied by 250 kg representing the mass of a wheelchair and user.</w:t>
      </w:r>
    </w:p>
    <w:p w:rsidR="00E815F1" w:rsidRPr="00E815F1" w:rsidRDefault="00E815F1" w:rsidP="00E815F1">
      <w:pPr>
        <w:suppressAutoHyphens w:val="0"/>
        <w:spacing w:before="120" w:after="120" w:line="240" w:lineRule="auto"/>
        <w:ind w:left="2268" w:right="1134" w:hanging="1134"/>
        <w:jc w:val="both"/>
        <w:rPr>
          <w:lang w:val="en-US"/>
        </w:rPr>
      </w:pPr>
      <w:r w:rsidRPr="00E815F1">
        <w:rPr>
          <w:lang w:val="en-US"/>
        </w:rPr>
        <w:tab/>
        <w:t>B (kg), declared by the manufacturer, shall have a numeric value not less than 100 x V.</w:t>
      </w:r>
    </w:p>
    <w:p w:rsidR="00E815F1" w:rsidRPr="00E815F1" w:rsidRDefault="00E815F1" w:rsidP="00E815F1">
      <w:pPr>
        <w:suppressAutoHyphens w:val="0"/>
        <w:spacing w:before="120" w:after="120" w:line="240" w:lineRule="auto"/>
        <w:ind w:left="2268" w:right="1134" w:hanging="1134"/>
        <w:jc w:val="both"/>
        <w:rPr>
          <w:lang w:val="en-US"/>
        </w:rPr>
      </w:pPr>
      <w:r w:rsidRPr="00E815F1">
        <w:rPr>
          <w:lang w:val="en-US"/>
        </w:rPr>
        <w:tab/>
        <w:t>V is the total volume of baggage compartments in m</w:t>
      </w:r>
      <w:r w:rsidRPr="00E815F1">
        <w:rPr>
          <w:vertAlign w:val="superscript"/>
          <w:lang w:val="en-US"/>
        </w:rPr>
        <w:t xml:space="preserve">3 </w:t>
      </w:r>
      <w:r w:rsidRPr="00E815F1">
        <w:rPr>
          <w:lang w:val="en-US"/>
        </w:rPr>
        <w:t>including exterior racks, ski-boxes and baggage compartments, that are attached to the outside of the vehicle.</w:t>
      </w:r>
    </w:p>
    <w:p w:rsidR="00E815F1" w:rsidRPr="00E815F1" w:rsidRDefault="00E815F1" w:rsidP="00E815F1">
      <w:pPr>
        <w:suppressAutoHyphens w:val="0"/>
        <w:spacing w:before="120" w:after="120" w:line="240" w:lineRule="auto"/>
        <w:ind w:left="2268" w:right="1134" w:hanging="1134"/>
        <w:jc w:val="both"/>
        <w:rPr>
          <w:lang w:val="en-US"/>
        </w:rPr>
      </w:pPr>
      <w:r w:rsidRPr="00E815F1">
        <w:rPr>
          <w:lang w:val="en-US"/>
        </w:rPr>
        <w:tab/>
        <w:t>BX, declared by the manufacturer, shall have a numeric value not less than 75 kg/m</w:t>
      </w:r>
      <w:r w:rsidRPr="00E815F1">
        <w:rPr>
          <w:vertAlign w:val="superscript"/>
          <w:lang w:val="en-US"/>
        </w:rPr>
        <w:t>2</w:t>
      </w:r>
      <w:r w:rsidRPr="00E815F1">
        <w:rPr>
          <w:lang w:val="en-US"/>
        </w:rPr>
        <w:t>.</w:t>
      </w:r>
    </w:p>
    <w:p w:rsidR="00E815F1" w:rsidRPr="00E815F1" w:rsidRDefault="00E815F1" w:rsidP="00E815F1">
      <w:pPr>
        <w:suppressAutoHyphens w:val="0"/>
        <w:spacing w:before="120" w:after="120" w:line="240" w:lineRule="auto"/>
        <w:ind w:left="2268" w:right="1139" w:hanging="1134"/>
        <w:jc w:val="both"/>
        <w:rPr>
          <w:lang w:val="en-US"/>
        </w:rPr>
      </w:pPr>
      <w:r w:rsidRPr="00E815F1">
        <w:rPr>
          <w:lang w:val="en-US"/>
        </w:rPr>
        <w:tab/>
        <w:t>Double deck vehicles shall not be equipped for the carriage of baggage on the roof and therefore BX for double-deck vehicles shall be zero.</w:t>
      </w:r>
    </w:p>
    <w:p w:rsidR="00E815F1" w:rsidRPr="00E815F1" w:rsidRDefault="00E815F1" w:rsidP="00FD1027">
      <w:pPr>
        <w:suppressAutoHyphens w:val="0"/>
        <w:spacing w:before="120" w:after="120" w:line="240" w:lineRule="auto"/>
        <w:ind w:left="2268" w:right="1139"/>
      </w:pPr>
      <w:r w:rsidRPr="00E815F1">
        <w:rPr>
          <w:lang w:val="en-US"/>
        </w:rPr>
        <w:t>…"</w:t>
      </w:r>
    </w:p>
    <w:p w:rsidR="00E815F1" w:rsidRPr="00E815F1" w:rsidRDefault="00E815F1" w:rsidP="00E815F1">
      <w:pPr>
        <w:spacing w:before="240"/>
        <w:ind w:left="1134" w:right="1134"/>
        <w:jc w:val="center"/>
        <w:rPr>
          <w:u w:val="single"/>
        </w:rPr>
      </w:pPr>
      <w:r w:rsidRPr="00E815F1">
        <w:rPr>
          <w:u w:val="single"/>
        </w:rPr>
        <w:tab/>
      </w:r>
      <w:r w:rsidRPr="00E815F1">
        <w:rPr>
          <w:u w:val="single"/>
        </w:rPr>
        <w:tab/>
      </w:r>
      <w:r w:rsidRPr="00E815F1">
        <w:rPr>
          <w:u w:val="single"/>
        </w:rPr>
        <w:tab/>
      </w:r>
    </w:p>
    <w:p w:rsidR="00E815F1" w:rsidRDefault="00E815F1" w:rsidP="00C711C7">
      <w:pPr>
        <w:jc w:val="center"/>
      </w:pPr>
    </w:p>
    <w:sectPr w:rsidR="00E815F1"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59" w:rsidRDefault="008C0F59"/>
  </w:endnote>
  <w:endnote w:type="continuationSeparator" w:id="0">
    <w:p w:rsidR="008C0F59" w:rsidRDefault="008C0F59"/>
  </w:endnote>
  <w:endnote w:type="continuationNotice" w:id="1">
    <w:p w:rsidR="008C0F59" w:rsidRDefault="008C0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A0BD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815F1">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2732D8" w:rsidRDefault="00B701B3" w:rsidP="00273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59" w:rsidRPr="000B175B" w:rsidRDefault="008C0F59" w:rsidP="000B175B">
      <w:pPr>
        <w:tabs>
          <w:tab w:val="right" w:pos="2155"/>
        </w:tabs>
        <w:spacing w:after="80"/>
        <w:ind w:left="680"/>
        <w:rPr>
          <w:u w:val="single"/>
        </w:rPr>
      </w:pPr>
      <w:r>
        <w:rPr>
          <w:u w:val="single"/>
        </w:rPr>
        <w:tab/>
      </w:r>
    </w:p>
  </w:footnote>
  <w:footnote w:type="continuationSeparator" w:id="0">
    <w:p w:rsidR="008C0F59" w:rsidRPr="00FC68B7" w:rsidRDefault="008C0F59" w:rsidP="00FC68B7">
      <w:pPr>
        <w:tabs>
          <w:tab w:val="left" w:pos="2155"/>
        </w:tabs>
        <w:spacing w:after="80"/>
        <w:ind w:left="680"/>
        <w:rPr>
          <w:u w:val="single"/>
        </w:rPr>
      </w:pPr>
      <w:r>
        <w:rPr>
          <w:u w:val="single"/>
        </w:rPr>
        <w:tab/>
      </w:r>
    </w:p>
  </w:footnote>
  <w:footnote w:type="continuationNotice" w:id="1">
    <w:p w:rsidR="008C0F59" w:rsidRDefault="008C0F59"/>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8C0F59">
    <w:pPr>
      <w:pStyle w:val="Header"/>
    </w:pPr>
    <w:r w:rsidRPr="00D623A7">
      <w:t>E/</w:t>
    </w:r>
    <w:proofErr w:type="spellStart"/>
    <w:r w:rsidRPr="00D623A7">
      <w:t>ECE</w:t>
    </w:r>
    <w:proofErr w:type="spellEnd"/>
    <w:r w:rsidRPr="00D623A7">
      <w:t>/324</w:t>
    </w:r>
    <w:r w:rsidR="008C0F59" w:rsidRPr="008C0F59">
      <w:t>/Rev.2/Add.106/Rev.6/Amend.2</w:t>
    </w:r>
    <w:r>
      <w:br/>
    </w:r>
    <w:r w:rsidRPr="00D623A7">
      <w:t>E/</w:t>
    </w:r>
    <w:proofErr w:type="spellStart"/>
    <w:r w:rsidRPr="00D623A7">
      <w:t>ECE</w:t>
    </w:r>
    <w:proofErr w:type="spellEnd"/>
    <w:r w:rsidRPr="00D623A7">
      <w:t>/TRANS/505</w:t>
    </w:r>
    <w:r w:rsidR="008C0F59" w:rsidRPr="008C0F59">
      <w:t>/Rev.2/Add.106/Rev.6/Amend.2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r w:rsidR="008C0F59" w:rsidRPr="008C0F59">
      <w:t>/Rev.2/Add.106/Rev.6/Amend.2</w:t>
    </w:r>
    <w:r>
      <w:br/>
    </w:r>
    <w:r w:rsidRPr="00D623A7">
      <w:t>E/</w:t>
    </w:r>
    <w:proofErr w:type="spellStart"/>
    <w:r w:rsidRPr="00D623A7">
      <w:t>ECE</w:t>
    </w:r>
    <w:proofErr w:type="spellEnd"/>
    <w:r w:rsidRPr="00D623A7">
      <w:t>/TRANS/505</w:t>
    </w:r>
    <w:r w:rsidR="008C0F59" w:rsidRPr="008C0F59">
      <w:t>/Rev.2/Add.106/Rev.6/Amend.2</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D8" w:rsidRDefault="00273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F59"/>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732D8"/>
    <w:rsid w:val="002A1E3A"/>
    <w:rsid w:val="003107FA"/>
    <w:rsid w:val="00312E48"/>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B3DB3"/>
    <w:rsid w:val="00611FC4"/>
    <w:rsid w:val="006176FB"/>
    <w:rsid w:val="00627ED0"/>
    <w:rsid w:val="00640B26"/>
    <w:rsid w:val="0064636E"/>
    <w:rsid w:val="00665595"/>
    <w:rsid w:val="0069341E"/>
    <w:rsid w:val="006A0BD1"/>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0F59"/>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866AD"/>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15F1"/>
    <w:rsid w:val="00E87921"/>
    <w:rsid w:val="00E87D2F"/>
    <w:rsid w:val="00E96630"/>
    <w:rsid w:val="00EA0ED6"/>
    <w:rsid w:val="00EA264E"/>
    <w:rsid w:val="00ED7A2A"/>
    <w:rsid w:val="00EF1D7F"/>
    <w:rsid w:val="00F53EDA"/>
    <w:rsid w:val="00F7753D"/>
    <w:rsid w:val="00F85F34"/>
    <w:rsid w:val="00FA06F7"/>
    <w:rsid w:val="00FB171A"/>
    <w:rsid w:val="00FC68B7"/>
    <w:rsid w:val="00FD102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2</TotalTime>
  <Pages>2</Pages>
  <Words>475</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09</cp:lastModifiedBy>
  <cp:revision>5</cp:revision>
  <cp:lastPrinted>2015-11-09T08:26:00Z</cp:lastPrinted>
  <dcterms:created xsi:type="dcterms:W3CDTF">2015-07-13T08:39:00Z</dcterms:created>
  <dcterms:modified xsi:type="dcterms:W3CDTF">2015-11-09T08:26:00Z</dcterms:modified>
</cp:coreProperties>
</file>