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:rsidTr="00495A7B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1A10" w:rsidRPr="00DB58B5" w:rsidRDefault="000314C7" w:rsidP="00BA7CAC">
            <w:pPr>
              <w:jc w:val="right"/>
            </w:pPr>
            <w:r w:rsidRPr="00495A7B">
              <w:rPr>
                <w:sz w:val="40"/>
              </w:rPr>
              <w:t>E</w:t>
            </w:r>
            <w:r>
              <w:t>/ECE/324/</w:t>
            </w:r>
            <w:r w:rsidR="000F17F6">
              <w:t>Rev.</w:t>
            </w:r>
            <w:r w:rsidR="00FC2CA9">
              <w:t>2</w:t>
            </w:r>
            <w:r w:rsidR="000F17F6">
              <w:t>/</w:t>
            </w:r>
            <w:r>
              <w:t>Add.</w:t>
            </w:r>
            <w:r w:rsidR="00FC2CA9">
              <w:t>10</w:t>
            </w:r>
            <w:r w:rsidR="00BA7CAC">
              <w:t>6</w:t>
            </w:r>
            <w:r>
              <w:t>/Rev.</w:t>
            </w:r>
            <w:r w:rsidR="00BA7CAC">
              <w:t>5</w:t>
            </w:r>
            <w:r>
              <w:t>/Amend.</w:t>
            </w:r>
            <w:r w:rsidR="00BA7CAC">
              <w:t>1</w:t>
            </w:r>
            <w:r>
              <w:t>−</w:t>
            </w:r>
            <w:r w:rsidRPr="00495A7B">
              <w:rPr>
                <w:sz w:val="40"/>
              </w:rPr>
              <w:t>E</w:t>
            </w:r>
            <w:r>
              <w:t>/ECE/TRANS/505</w:t>
            </w:r>
            <w:r w:rsidR="00BA7CAC">
              <w:t>/Rev.2/Add.106/Rev.5/Amend.1</w:t>
            </w:r>
          </w:p>
        </w:tc>
      </w:tr>
      <w:tr w:rsidR="00421A10" w:rsidRPr="00DB58B5" w:rsidTr="00495A7B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A574B7" w:rsidRDefault="00421A10" w:rsidP="00495A7B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Default="00421A10" w:rsidP="00495A7B">
            <w:pPr>
              <w:spacing w:before="480" w:line="240" w:lineRule="exact"/>
            </w:pPr>
          </w:p>
          <w:p w:rsidR="001207DD" w:rsidRPr="00DB58B5" w:rsidRDefault="00742900" w:rsidP="00495A7B">
            <w:pPr>
              <w:spacing w:before="480" w:line="240" w:lineRule="exact"/>
            </w:pPr>
            <w:r>
              <w:t>22</w:t>
            </w:r>
            <w:bookmarkStart w:id="0" w:name="_GoBack"/>
            <w:bookmarkEnd w:id="0"/>
            <w:r w:rsidR="001207DD">
              <w:t xml:space="preserve"> juin 2015</w:t>
            </w:r>
          </w:p>
        </w:tc>
      </w:tr>
    </w:tbl>
    <w:p w:rsidR="00421A10" w:rsidRPr="006549FF" w:rsidRDefault="0029791D" w:rsidP="00242268">
      <w:pPr>
        <w:pStyle w:val="HChG"/>
        <w:spacing w:before="320" w:after="220" w:line="260" w:lineRule="exact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42268">
      <w:pPr>
        <w:pStyle w:val="H1G"/>
        <w:spacing w:before="340" w:after="220" w:line="260" w:lineRule="exact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037B3F">
        <w:rPr>
          <w:b w:val="0"/>
          <w:sz w:val="20"/>
        </w:rPr>
        <w:t>*</w:t>
      </w:r>
    </w:p>
    <w:p w:rsidR="00421A10" w:rsidRPr="00A12483" w:rsidRDefault="00421A10" w:rsidP="00242268">
      <w:pPr>
        <w:pStyle w:val="SingleTxtG"/>
        <w:spacing w:after="100" w:line="220" w:lineRule="atLeast"/>
        <w:jc w:val="left"/>
        <w:rPr>
          <w:b/>
          <w:sz w:val="24"/>
          <w:szCs w:val="24"/>
        </w:rPr>
      </w:pPr>
      <w:r w:rsidRPr="006549FF">
        <w:t xml:space="preserve">(Révision </w:t>
      </w:r>
      <w:r w:rsidR="000314C7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42268">
      <w:pPr>
        <w:spacing w:line="220" w:lineRule="atLeast"/>
        <w:jc w:val="center"/>
      </w:pPr>
      <w:r>
        <w:t>_______________</w:t>
      </w:r>
    </w:p>
    <w:p w:rsidR="00421A10" w:rsidRPr="006549FF" w:rsidRDefault="0029791D" w:rsidP="00242268">
      <w:pPr>
        <w:pStyle w:val="HChG"/>
        <w:spacing w:before="200" w:after="100" w:line="260" w:lineRule="exact"/>
      </w:pPr>
      <w:r>
        <w:tab/>
      </w:r>
      <w:r>
        <w:tab/>
      </w:r>
      <w:r w:rsidR="00421A10" w:rsidRPr="006549FF">
        <w:t xml:space="preserve">Additif </w:t>
      </w:r>
      <w:r w:rsidR="00BA7CAC">
        <w:t>106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BA7CAC">
        <w:t>107</w:t>
      </w:r>
    </w:p>
    <w:p w:rsidR="00421A10" w:rsidRPr="006549FF" w:rsidRDefault="0029791D" w:rsidP="00242268">
      <w:pPr>
        <w:pStyle w:val="H1G"/>
        <w:spacing w:before="220" w:after="100" w:line="240" w:lineRule="exact"/>
      </w:pPr>
      <w:r>
        <w:tab/>
      </w:r>
      <w:r>
        <w:tab/>
      </w:r>
      <w:r w:rsidR="00421A10" w:rsidRPr="006549FF">
        <w:t xml:space="preserve">Révision </w:t>
      </w:r>
      <w:r w:rsidR="00BA7CAC">
        <w:t>5</w:t>
      </w:r>
      <w:r w:rsidR="000314C7">
        <w:t xml:space="preserve"> − Amendement </w:t>
      </w:r>
      <w:r w:rsidR="00BA7CAC">
        <w:t>1</w:t>
      </w:r>
    </w:p>
    <w:p w:rsidR="00015650" w:rsidRPr="00FC2CA9" w:rsidRDefault="003A58D8" w:rsidP="00242268">
      <w:pPr>
        <w:pStyle w:val="SingleTxtG"/>
        <w:spacing w:after="100" w:line="200" w:lineRule="atLeast"/>
        <w:jc w:val="left"/>
        <w:rPr>
          <w:spacing w:val="-2"/>
        </w:rPr>
      </w:pPr>
      <w:r w:rsidRPr="00FC2CA9">
        <w:rPr>
          <w:spacing w:val="-2"/>
        </w:rPr>
        <w:t xml:space="preserve">Complément </w:t>
      </w:r>
      <w:r w:rsidR="00BA7CAC">
        <w:rPr>
          <w:spacing w:val="-2"/>
        </w:rPr>
        <w:t>2</w:t>
      </w:r>
      <w:r w:rsidR="00FC2CA9" w:rsidRPr="00FC2CA9">
        <w:rPr>
          <w:spacing w:val="-2"/>
        </w:rPr>
        <w:t xml:space="preserve"> </w:t>
      </w:r>
      <w:r w:rsidRPr="00FC2CA9">
        <w:rPr>
          <w:spacing w:val="-2"/>
        </w:rPr>
        <w:t>à la</w:t>
      </w:r>
      <w:r w:rsidR="00FC2CA9" w:rsidRPr="00FC2CA9">
        <w:rPr>
          <w:spacing w:val="-2"/>
        </w:rPr>
        <w:t xml:space="preserve"> </w:t>
      </w:r>
      <w:r w:rsidR="00EF5EBC">
        <w:rPr>
          <w:spacing w:val="-2"/>
        </w:rPr>
        <w:t xml:space="preserve">série </w:t>
      </w:r>
      <w:r w:rsidR="00BA7CAC">
        <w:rPr>
          <w:spacing w:val="-2"/>
        </w:rPr>
        <w:t>05</w:t>
      </w:r>
      <w:r w:rsidR="00EF5EBC">
        <w:rPr>
          <w:spacing w:val="-2"/>
        </w:rPr>
        <w:t xml:space="preserve"> d'amendements a</w:t>
      </w:r>
      <w:r w:rsidR="00FC2CA9" w:rsidRPr="00FC2CA9">
        <w:rPr>
          <w:spacing w:val="-2"/>
        </w:rPr>
        <w:t>u</w:t>
      </w:r>
      <w:r w:rsidR="00015650" w:rsidRPr="00FC2CA9">
        <w:rPr>
          <w:spacing w:val="-2"/>
        </w:rPr>
        <w:t xml:space="preserve"> Règlement − Date d’entrée en vigueur: </w:t>
      </w:r>
      <w:r w:rsidR="00BA7CAC">
        <w:rPr>
          <w:spacing w:val="-2"/>
        </w:rPr>
        <w:br/>
      </w:r>
      <w:r w:rsidR="00015650" w:rsidRPr="00FC2CA9">
        <w:rPr>
          <w:spacing w:val="-2"/>
        </w:rPr>
        <w:t>15 jui</w:t>
      </w:r>
      <w:r w:rsidR="00A92017" w:rsidRPr="00FC2CA9">
        <w:rPr>
          <w:spacing w:val="-2"/>
        </w:rPr>
        <w:t>n 2015</w:t>
      </w:r>
      <w:r w:rsidR="00015650" w:rsidRPr="00FC2CA9">
        <w:rPr>
          <w:spacing w:val="-2"/>
        </w:rPr>
        <w:t xml:space="preserve"> </w:t>
      </w:r>
    </w:p>
    <w:p w:rsidR="00DD1ED8" w:rsidRPr="00242268" w:rsidRDefault="00DD1ED8" w:rsidP="00242268">
      <w:pPr>
        <w:pStyle w:val="H1G"/>
        <w:spacing w:line="260" w:lineRule="exact"/>
        <w:rPr>
          <w:spacing w:val="-2"/>
        </w:rPr>
      </w:pPr>
      <w:r>
        <w:tab/>
      </w:r>
      <w:r>
        <w:tab/>
      </w:r>
      <w:r w:rsidR="00BA7CAC" w:rsidRPr="00BA7CAC">
        <w:rPr>
          <w:spacing w:val="-2"/>
        </w:rPr>
        <w:t>Prescriptions uniformes relatives à l'homologation des véhicules des catégories M</w:t>
      </w:r>
      <w:r w:rsidR="00BA7CAC" w:rsidRPr="00BA7CAC">
        <w:rPr>
          <w:spacing w:val="-2"/>
          <w:vertAlign w:val="subscript"/>
        </w:rPr>
        <w:t>2</w:t>
      </w:r>
      <w:r w:rsidR="00BA7CAC" w:rsidRPr="00BA7CAC">
        <w:rPr>
          <w:spacing w:val="-2"/>
        </w:rPr>
        <w:t xml:space="preserve"> ou M</w:t>
      </w:r>
      <w:r w:rsidR="00BA7CAC" w:rsidRPr="00BA7CAC">
        <w:rPr>
          <w:spacing w:val="-2"/>
          <w:vertAlign w:val="subscript"/>
        </w:rPr>
        <w:t>3</w:t>
      </w:r>
      <w:r w:rsidR="00BA7CAC" w:rsidRPr="00BA7CAC">
        <w:rPr>
          <w:spacing w:val="-2"/>
        </w:rPr>
        <w:t xml:space="preserve"> en ce qui concerne leurs caractéristiques générales de construction</w:t>
      </w:r>
    </w:p>
    <w:p w:rsidR="00BA7CAC" w:rsidRDefault="001D3393" w:rsidP="00BA7CAC">
      <w:pPr>
        <w:pStyle w:val="SingleTxtG"/>
        <w:rPr>
          <w:lang w:val="en-GB" w:eastAsia="en-GB"/>
        </w:rPr>
      </w:pPr>
      <w:r w:rsidRPr="001D3393">
        <w:rPr>
          <w:lang w:val="en-GB" w:eastAsia="en-GB"/>
        </w:rPr>
        <w:t xml:space="preserve">Ce document </w:t>
      </w:r>
      <w:proofErr w:type="spellStart"/>
      <w:r w:rsidRPr="001D3393">
        <w:rPr>
          <w:lang w:val="en-GB" w:eastAsia="en-GB"/>
        </w:rPr>
        <w:t>constitue</w:t>
      </w:r>
      <w:proofErr w:type="spellEnd"/>
      <w:r w:rsidRPr="001D3393">
        <w:rPr>
          <w:lang w:val="en-GB" w:eastAsia="en-GB"/>
        </w:rPr>
        <w:t xml:space="preserve"> </w:t>
      </w:r>
      <w:proofErr w:type="gramStart"/>
      <w:r w:rsidRPr="001D3393">
        <w:rPr>
          <w:lang w:val="en-GB" w:eastAsia="en-GB"/>
        </w:rPr>
        <w:t>un</w:t>
      </w:r>
      <w:proofErr w:type="gram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outil</w:t>
      </w:r>
      <w:proofErr w:type="spellEnd"/>
      <w:r w:rsidRPr="001D3393">
        <w:rPr>
          <w:lang w:val="en-GB" w:eastAsia="en-GB"/>
        </w:rPr>
        <w:t xml:space="preserve"> de documentation. Le </w:t>
      </w:r>
      <w:proofErr w:type="spellStart"/>
      <w:r w:rsidRPr="001D3393">
        <w:rPr>
          <w:lang w:val="en-GB" w:eastAsia="en-GB"/>
        </w:rPr>
        <w:t>texte</w:t>
      </w:r>
      <w:proofErr w:type="spell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authentique</w:t>
      </w:r>
      <w:proofErr w:type="spellEnd"/>
      <w:r w:rsidRPr="001D3393">
        <w:rPr>
          <w:lang w:val="en-GB" w:eastAsia="en-GB"/>
        </w:rPr>
        <w:t xml:space="preserve"> </w:t>
      </w:r>
      <w:proofErr w:type="gramStart"/>
      <w:r w:rsidRPr="001D3393">
        <w:rPr>
          <w:lang w:val="en-GB" w:eastAsia="en-GB"/>
        </w:rPr>
        <w:t>et</w:t>
      </w:r>
      <w:proofErr w:type="gram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contraignant</w:t>
      </w:r>
      <w:proofErr w:type="spell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juridique</w:t>
      </w:r>
      <w:proofErr w:type="spell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est</w:t>
      </w:r>
      <w:proofErr w:type="spellEnd"/>
      <w:r w:rsidRPr="001D3393">
        <w:rPr>
          <w:lang w:val="en-GB" w:eastAsia="en-GB"/>
        </w:rPr>
        <w:t xml:space="preserve"> </w:t>
      </w:r>
      <w:proofErr w:type="spellStart"/>
      <w:r w:rsidRPr="001D3393">
        <w:rPr>
          <w:lang w:val="en-GB" w:eastAsia="en-GB"/>
        </w:rPr>
        <w:t>ECE</w:t>
      </w:r>
      <w:proofErr w:type="spellEnd"/>
      <w:r w:rsidRPr="001D3393">
        <w:rPr>
          <w:lang w:val="en-GB" w:eastAsia="en-GB"/>
        </w:rPr>
        <w:t>/TRANS/WP.29/201</w:t>
      </w:r>
      <w:r w:rsidR="00FC2CA9">
        <w:rPr>
          <w:lang w:val="en-GB" w:eastAsia="en-GB"/>
        </w:rPr>
        <w:t>4/</w:t>
      </w:r>
      <w:r w:rsidR="00BA7CAC">
        <w:rPr>
          <w:lang w:val="en-GB" w:eastAsia="en-GB"/>
        </w:rPr>
        <w:t>69</w:t>
      </w:r>
      <w:r w:rsidR="00BA7CAC" w:rsidRPr="00BA7CAC">
        <w:rPr>
          <w:lang w:val="en-GB" w:eastAsia="en-GB"/>
        </w:rPr>
        <w:t xml:space="preserve"> (</w:t>
      </w:r>
      <w:proofErr w:type="spellStart"/>
      <w:r w:rsidR="00BA7CAC" w:rsidRPr="00BA7CAC">
        <w:rPr>
          <w:lang w:val="en-GB" w:eastAsia="en-GB"/>
        </w:rPr>
        <w:t>tel</w:t>
      </w:r>
      <w:proofErr w:type="spellEnd"/>
      <w:r w:rsidR="00BA7CAC" w:rsidRPr="00BA7CAC">
        <w:rPr>
          <w:lang w:val="en-GB" w:eastAsia="en-GB"/>
        </w:rPr>
        <w:t xml:space="preserve"> </w:t>
      </w:r>
      <w:proofErr w:type="spellStart"/>
      <w:r w:rsidR="00BA7CAC" w:rsidRPr="00BA7CAC">
        <w:rPr>
          <w:lang w:val="en-GB" w:eastAsia="en-GB"/>
        </w:rPr>
        <w:t>que</w:t>
      </w:r>
      <w:proofErr w:type="spellEnd"/>
      <w:r w:rsidR="00BA7CAC" w:rsidRPr="00BA7CAC">
        <w:rPr>
          <w:lang w:val="en-GB" w:eastAsia="en-GB"/>
        </w:rPr>
        <w:t xml:space="preserve"> </w:t>
      </w:r>
      <w:proofErr w:type="spellStart"/>
      <w:r w:rsidR="00BA7CAC" w:rsidRPr="00BA7CAC">
        <w:rPr>
          <w:lang w:val="en-GB" w:eastAsia="en-GB"/>
        </w:rPr>
        <w:t>modifié</w:t>
      </w:r>
      <w:proofErr w:type="spellEnd"/>
      <w:r w:rsidR="00BA7CAC" w:rsidRPr="00BA7CAC">
        <w:rPr>
          <w:lang w:val="en-GB" w:eastAsia="en-GB"/>
        </w:rPr>
        <w:t xml:space="preserve"> par le </w:t>
      </w:r>
      <w:proofErr w:type="spellStart"/>
      <w:r w:rsidR="00BA7CAC" w:rsidRPr="00BA7CAC">
        <w:rPr>
          <w:lang w:val="en-GB" w:eastAsia="en-GB"/>
        </w:rPr>
        <w:t>paragraphe</w:t>
      </w:r>
      <w:proofErr w:type="spellEnd"/>
      <w:r w:rsidR="00BA7CAC" w:rsidRPr="00BA7CAC">
        <w:rPr>
          <w:lang w:val="en-GB" w:eastAsia="en-GB"/>
        </w:rPr>
        <w:t xml:space="preserve"> </w:t>
      </w:r>
      <w:r w:rsidR="00BA7CAC">
        <w:rPr>
          <w:lang w:val="en-GB" w:eastAsia="en-GB"/>
        </w:rPr>
        <w:t>62</w:t>
      </w:r>
      <w:r w:rsidR="00BA7CAC" w:rsidRPr="00BA7CAC">
        <w:rPr>
          <w:lang w:val="en-GB" w:eastAsia="en-GB"/>
        </w:rPr>
        <w:t xml:space="preserve"> du rapport </w:t>
      </w:r>
      <w:proofErr w:type="spellStart"/>
      <w:r w:rsidR="00BA7CAC" w:rsidRPr="00BA7CAC">
        <w:rPr>
          <w:lang w:val="en-GB" w:eastAsia="en-GB"/>
        </w:rPr>
        <w:t>ECE</w:t>
      </w:r>
      <w:proofErr w:type="spellEnd"/>
      <w:r w:rsidR="00BA7CAC" w:rsidRPr="00BA7CAC">
        <w:rPr>
          <w:lang w:val="en-GB" w:eastAsia="en-GB"/>
        </w:rPr>
        <w:t>/TRANS/WP.29/</w:t>
      </w:r>
      <w:r w:rsidR="00BA7CAC">
        <w:rPr>
          <w:lang w:val="en-GB" w:eastAsia="en-GB"/>
        </w:rPr>
        <w:t>1112</w:t>
      </w:r>
      <w:r w:rsidR="00BA7CAC" w:rsidRPr="00BA7CAC">
        <w:rPr>
          <w:lang w:val="en-GB" w:eastAsia="en-GB"/>
        </w:rPr>
        <w:t>)</w:t>
      </w:r>
    </w:p>
    <w:p w:rsidR="00FC2CA9" w:rsidRDefault="00FC2CA9" w:rsidP="00FC2CA9">
      <w:pPr>
        <w:pStyle w:val="SingleTxtG"/>
        <w:rPr>
          <w:lang w:val="en-GB" w:eastAsia="en-GB"/>
        </w:rPr>
      </w:pPr>
    </w:p>
    <w:p w:rsidR="00BA7CAC" w:rsidRPr="006A6B75" w:rsidRDefault="00DD1ED8" w:rsidP="00BA7CAC">
      <w:pPr>
        <w:pStyle w:val="SingleTxtG"/>
        <w:rPr>
          <w:i/>
        </w:rPr>
      </w:pPr>
      <w:r>
        <w:br w:type="page"/>
      </w:r>
      <w:r w:rsidR="00041E60" w:rsidRPr="00041E60">
        <w:rPr>
          <w:i/>
        </w:rPr>
        <w:lastRenderedPageBreak/>
        <w:t xml:space="preserve">Ajouter </w:t>
      </w:r>
      <w:r w:rsidR="00A03812">
        <w:rPr>
          <w:i/>
        </w:rPr>
        <w:t>les</w:t>
      </w:r>
      <w:r w:rsidR="00041E60" w:rsidRPr="00041E60">
        <w:rPr>
          <w:i/>
        </w:rPr>
        <w:t xml:space="preserve"> nouveaux p</w:t>
      </w:r>
      <w:r w:rsidR="00BA7CAC" w:rsidRPr="006A6B75">
        <w:rPr>
          <w:i/>
        </w:rPr>
        <w:t>aragraphe</w:t>
      </w:r>
      <w:r w:rsidR="00041E60">
        <w:rPr>
          <w:i/>
        </w:rPr>
        <w:t>s</w:t>
      </w:r>
      <w:r w:rsidR="00BA7CAC">
        <w:rPr>
          <w:i/>
        </w:rPr>
        <w:t> </w:t>
      </w:r>
      <w:r w:rsidR="00BA7CAC" w:rsidRPr="006A6B75">
        <w:rPr>
          <w:i/>
        </w:rPr>
        <w:t>10.24</w:t>
      </w:r>
      <w:r w:rsidR="00041E60">
        <w:rPr>
          <w:i/>
        </w:rPr>
        <w:t xml:space="preserve"> et 10.25</w:t>
      </w:r>
      <w:r w:rsidR="00BA7CAC" w:rsidRPr="006A6B75">
        <w:t xml:space="preserve">, </w:t>
      </w:r>
      <w:r w:rsidR="00A03812">
        <w:t>ainsi conçus</w:t>
      </w:r>
      <w:r w:rsidR="00BA7CAC" w:rsidRPr="006A6B75">
        <w:t>:</w:t>
      </w:r>
    </w:p>
    <w:p w:rsidR="00041E60" w:rsidRPr="006A6B75" w:rsidRDefault="00BA7CAC" w:rsidP="00041E60">
      <w:pPr>
        <w:pStyle w:val="SingleTxtG"/>
        <w:ind w:left="2268" w:hanging="1134"/>
      </w:pPr>
      <w:r w:rsidRPr="006A6B75">
        <w:t>«10.24</w:t>
      </w:r>
      <w:r w:rsidRPr="006A6B75">
        <w:tab/>
        <w:t>Nonobstant les paragraphes</w:t>
      </w:r>
      <w:r>
        <w:t> </w:t>
      </w:r>
      <w:r w:rsidRPr="006A6B75">
        <w:t>10.22 et 10.23, les Parties contractantes appliquant le présent Règlement doivent continuer d</w:t>
      </w:r>
      <w:r>
        <w:t>’</w:t>
      </w:r>
      <w:r w:rsidRPr="006A6B75">
        <w:t>accepter les homologations de type délivrées au titre de la précédente série d</w:t>
      </w:r>
      <w:r>
        <w:t>’</w:t>
      </w:r>
      <w:r w:rsidRPr="006A6B75">
        <w:t>amendements au Règlement, qui ne sont pas visées par la série</w:t>
      </w:r>
      <w:r>
        <w:t> </w:t>
      </w:r>
      <w:r w:rsidRPr="006A6B75">
        <w:t>05 d</w:t>
      </w:r>
      <w:r>
        <w:t>’</w:t>
      </w:r>
      <w:r w:rsidRPr="006A6B75">
        <w:t>amendements.</w:t>
      </w:r>
      <w:r w:rsidR="00041E60" w:rsidRPr="006A6B75">
        <w:t xml:space="preserve"> </w:t>
      </w:r>
    </w:p>
    <w:p w:rsidR="00BA7CAC" w:rsidRPr="006A6B75" w:rsidRDefault="00BA7CAC" w:rsidP="00BA7CAC">
      <w:pPr>
        <w:pStyle w:val="SingleTxtG"/>
        <w:ind w:left="2268" w:hanging="1134"/>
      </w:pPr>
      <w:r w:rsidRPr="006A6B75">
        <w:t>10.25</w:t>
      </w:r>
      <w:r w:rsidRPr="006A6B75">
        <w:tab/>
        <w:t>Les Parties contractantes appliquant le présent Règlement ne doivent pas refuser d</w:t>
      </w:r>
      <w:r>
        <w:t>’</w:t>
      </w:r>
      <w:r w:rsidRPr="006A6B75">
        <w:t>accorder des extensions d</w:t>
      </w:r>
      <w:r>
        <w:t>’</w:t>
      </w:r>
      <w:r w:rsidRPr="006A6B75">
        <w:t>homologation pour les véhicules non affectés par la série 05 d</w:t>
      </w:r>
      <w:r>
        <w:t>’</w:t>
      </w:r>
      <w:r w:rsidRPr="006A6B75">
        <w:t>amendements.».</w:t>
      </w:r>
    </w:p>
    <w:p w:rsidR="00BA7CAC" w:rsidRPr="006A6B75" w:rsidRDefault="00BA7CAC" w:rsidP="00BA7CAC">
      <w:pPr>
        <w:pStyle w:val="SingleTxtG"/>
        <w:rPr>
          <w:i/>
        </w:rPr>
      </w:pPr>
      <w:r w:rsidRPr="006A6B75">
        <w:rPr>
          <w:i/>
        </w:rPr>
        <w:t>Annexe</w:t>
      </w:r>
      <w:r>
        <w:rPr>
          <w:i/>
        </w:rPr>
        <w:t> </w:t>
      </w:r>
      <w:r w:rsidRPr="006A6B75">
        <w:rPr>
          <w:i/>
        </w:rPr>
        <w:t>3,</w:t>
      </w:r>
    </w:p>
    <w:p w:rsidR="00BA7CAC" w:rsidRPr="006A6B75" w:rsidRDefault="00BA7CAC" w:rsidP="00BA7CAC">
      <w:pPr>
        <w:pStyle w:val="SingleTxtG"/>
        <w:rPr>
          <w:iCs/>
        </w:rPr>
      </w:pPr>
      <w:r w:rsidRPr="006A6B75">
        <w:rPr>
          <w:i/>
        </w:rPr>
        <w:t>Paragraphe</w:t>
      </w:r>
      <w:r>
        <w:rPr>
          <w:i/>
        </w:rPr>
        <w:t> </w:t>
      </w:r>
      <w:r w:rsidRPr="006A6B75">
        <w:rPr>
          <w:i/>
        </w:rPr>
        <w:t>7.3</w:t>
      </w:r>
      <w:r w:rsidRPr="006A6B75">
        <w:t>,</w:t>
      </w:r>
      <w:r w:rsidRPr="006A6B75">
        <w:rPr>
          <w:i/>
        </w:rPr>
        <w:t xml:space="preserve"> </w:t>
      </w:r>
      <w:proofErr w:type="gramStart"/>
      <w:r w:rsidRPr="006A6B75">
        <w:rPr>
          <w:iCs/>
        </w:rPr>
        <w:t>modifier</w:t>
      </w:r>
      <w:proofErr w:type="gramEnd"/>
      <w:r w:rsidRPr="006A6B75">
        <w:rPr>
          <w:iCs/>
        </w:rPr>
        <w:t xml:space="preserve"> comme suit:</w:t>
      </w:r>
    </w:p>
    <w:p w:rsidR="00BA7CAC" w:rsidRPr="006A6B75" w:rsidRDefault="00BA7CAC" w:rsidP="00BA7CAC">
      <w:pPr>
        <w:pStyle w:val="SingleTxtG"/>
        <w:ind w:left="2268" w:hanging="1134"/>
      </w:pPr>
      <w:r w:rsidRPr="006A6B75">
        <w:t>«7.3</w:t>
      </w:r>
      <w:r w:rsidRPr="006A6B75">
        <w:tab/>
        <w:t>Prévention des accidents».</w:t>
      </w:r>
    </w:p>
    <w:p w:rsidR="00BA7CAC" w:rsidRPr="006A6B75" w:rsidRDefault="00BA7CAC" w:rsidP="00BA7CAC">
      <w:pPr>
        <w:pStyle w:val="SingleTxtG"/>
        <w:rPr>
          <w:iCs/>
        </w:rPr>
      </w:pPr>
      <w:r w:rsidRPr="006A6B75">
        <w:rPr>
          <w:i/>
        </w:rPr>
        <w:t xml:space="preserve">Ajouter </w:t>
      </w:r>
      <w:r w:rsidRPr="006A6B75">
        <w:rPr>
          <w:i/>
          <w:lang w:val="fr-FR"/>
        </w:rPr>
        <w:t>un nouveau paragraphe </w:t>
      </w:r>
      <w:r w:rsidRPr="006A6B75">
        <w:rPr>
          <w:i/>
        </w:rPr>
        <w:t>7.3.1</w:t>
      </w:r>
      <w:r w:rsidRPr="006A6B75">
        <w:t>,</w:t>
      </w:r>
      <w:r w:rsidRPr="006A6B75">
        <w:rPr>
          <w:iCs/>
        </w:rPr>
        <w:t xml:space="preserve"> ainsi conçu:</w:t>
      </w:r>
    </w:p>
    <w:p w:rsidR="00BA7CAC" w:rsidRPr="006A6B75" w:rsidRDefault="00BA7CAC" w:rsidP="00BA7CAC">
      <w:pPr>
        <w:pStyle w:val="SingleTxtG"/>
        <w:ind w:left="2268" w:hanging="1134"/>
      </w:pPr>
      <w:r w:rsidRPr="006A6B75">
        <w:t>«7.3.1</w:t>
      </w:r>
      <w:r w:rsidRPr="006A6B75">
        <w:tab/>
        <w:t>Lorsque le compartiment moteur d</w:t>
      </w:r>
      <w:r>
        <w:t>’</w:t>
      </w:r>
      <w:r w:rsidRPr="006A6B75">
        <w:t>un véhicule est situé derrière l</w:t>
      </w:r>
      <w:r>
        <w:t>’</w:t>
      </w:r>
      <w:r w:rsidRPr="006A6B75">
        <w:t xml:space="preserve">habitacle du conducteur, celui-ci ne doit pas pouvoir </w:t>
      </w:r>
      <w:r>
        <w:t>mettre</w:t>
      </w:r>
      <w:r w:rsidRPr="006A6B75">
        <w:t xml:space="preserve"> le moteur </w:t>
      </w:r>
      <w:r>
        <w:t xml:space="preserve">en marche </w:t>
      </w:r>
      <w:r w:rsidRPr="006A6B75">
        <w:t>en cas d</w:t>
      </w:r>
      <w:r>
        <w:t>’</w:t>
      </w:r>
      <w:r w:rsidRPr="006A6B75">
        <w:t>ouverture de la principale trappe d</w:t>
      </w:r>
      <w:r>
        <w:t>’</w:t>
      </w:r>
      <w:r w:rsidRPr="006A6B75">
        <w:t>accès moteur située à la face arrière du</w:t>
      </w:r>
      <w:r>
        <w:t xml:space="preserve"> </w:t>
      </w:r>
      <w:r w:rsidRPr="006A6B75">
        <w:t>véhicule, qui permet l</w:t>
      </w:r>
      <w:r>
        <w:t>’</w:t>
      </w:r>
      <w:r w:rsidRPr="006A6B75">
        <w:t xml:space="preserve">accès direct à des pièces potentiellement dangereuses quand le moteur </w:t>
      </w:r>
      <w:r>
        <w:t>tourne</w:t>
      </w:r>
      <w:r w:rsidRPr="006A6B75">
        <w:t xml:space="preserve"> (par exemple une poulie de </w:t>
      </w:r>
      <w:r>
        <w:t xml:space="preserve">courroie de </w:t>
      </w:r>
      <w:r w:rsidRPr="006A6B75">
        <w:t>transmission).».</w:t>
      </w:r>
    </w:p>
    <w:p w:rsidR="00BA7CAC" w:rsidRPr="006A6B75" w:rsidRDefault="00BA7CAC" w:rsidP="00BA7CAC">
      <w:pPr>
        <w:pStyle w:val="SingleTxtG"/>
      </w:pPr>
      <w:r w:rsidRPr="006A6B75">
        <w:rPr>
          <w:i/>
        </w:rPr>
        <w:t>Paragraphes</w:t>
      </w:r>
      <w:r>
        <w:rPr>
          <w:i/>
        </w:rPr>
        <w:t> </w:t>
      </w:r>
      <w:r w:rsidRPr="006A6B75">
        <w:rPr>
          <w:i/>
        </w:rPr>
        <w:t>7.6.8.2 à 7.6.8.2.1</w:t>
      </w:r>
      <w:r w:rsidRPr="006A6B75">
        <w:t xml:space="preserve">, </w:t>
      </w:r>
      <w:proofErr w:type="gramStart"/>
      <w:r w:rsidRPr="006A6B75">
        <w:t>modifier</w:t>
      </w:r>
      <w:proofErr w:type="gramEnd"/>
      <w:r w:rsidRPr="006A6B75">
        <w:t xml:space="preserve"> comme suit:</w:t>
      </w:r>
    </w:p>
    <w:p w:rsidR="00BA7CAC" w:rsidRPr="006A6B75" w:rsidRDefault="00BA7CAC" w:rsidP="00BA7CAC">
      <w:pPr>
        <w:pStyle w:val="SingleTxtG"/>
        <w:ind w:left="2268" w:hanging="1134"/>
      </w:pPr>
      <w:r w:rsidRPr="006A6B75">
        <w:t>«7.6.8.2</w:t>
      </w:r>
      <w:r w:rsidRPr="006A6B75">
        <w:tab/>
      </w:r>
      <w:r w:rsidRPr="00C6138C">
        <w:t>Toute</w:t>
      </w:r>
      <w:r w:rsidRPr="006A6B75">
        <w:rPr>
          <w:lang w:val="fr-FR"/>
        </w:rPr>
        <w:t xml:space="preserve"> fenêtre de secours doit</w:t>
      </w:r>
      <w:r w:rsidRPr="006A6B75">
        <w:t>:</w:t>
      </w:r>
    </w:p>
    <w:p w:rsidR="00BA7CAC" w:rsidRPr="006A6B75" w:rsidRDefault="00BA7CAC" w:rsidP="00BA7CAC">
      <w:pPr>
        <w:pStyle w:val="SingleTxtG"/>
        <w:ind w:left="2268" w:hanging="1134"/>
      </w:pPr>
      <w:r w:rsidRPr="006A6B75">
        <w:t>7.6.8.2.1</w:t>
      </w:r>
      <w:r w:rsidRPr="006A6B75">
        <w:tab/>
        <w:t>Soit pouvoir être manœuvrée aisément et instantanément de l</w:t>
      </w:r>
      <w:r>
        <w:t>’</w:t>
      </w:r>
      <w:r w:rsidRPr="006A6B75">
        <w:t>intérieur et de l</w:t>
      </w:r>
      <w:r>
        <w:t>’</w:t>
      </w:r>
      <w:r w:rsidRPr="006A6B75">
        <w:t>extérieur du véhicule, grâce à un dispositif jugé satisfaisant. Cette disposition inclut la possibilité d</w:t>
      </w:r>
      <w:r>
        <w:t>’</w:t>
      </w:r>
      <w:r w:rsidRPr="006A6B75">
        <w:t>utiliser, par exemple, des vitres de verre laminé ou de matière plastique</w:t>
      </w:r>
      <w:r>
        <w:t>.</w:t>
      </w:r>
      <w:r w:rsidRPr="006A6B75">
        <w:t>».</w:t>
      </w:r>
    </w:p>
    <w:p w:rsidR="00681793" w:rsidRDefault="00BA7CAC" w:rsidP="00BA7CAC">
      <w:pPr>
        <w:pStyle w:val="SingleTxtG"/>
        <w:rPr>
          <w:i/>
        </w:rPr>
      </w:pPr>
      <w:r w:rsidRPr="006A6B75">
        <w:rPr>
          <w:i/>
        </w:rPr>
        <w:t>Annexe</w:t>
      </w:r>
      <w:r>
        <w:rPr>
          <w:i/>
        </w:rPr>
        <w:t> </w:t>
      </w:r>
      <w:r w:rsidRPr="006A6B75">
        <w:rPr>
          <w:i/>
        </w:rPr>
        <w:t xml:space="preserve">8, </w:t>
      </w:r>
    </w:p>
    <w:p w:rsidR="00BA7CAC" w:rsidRPr="006A6B75" w:rsidRDefault="00681793" w:rsidP="00BA7CAC">
      <w:pPr>
        <w:pStyle w:val="SingleTxtG"/>
      </w:pPr>
      <w:r>
        <w:rPr>
          <w:i/>
        </w:rPr>
        <w:t>P</w:t>
      </w:r>
      <w:r w:rsidR="00BA7CAC" w:rsidRPr="006A6B75">
        <w:rPr>
          <w:i/>
        </w:rPr>
        <w:t>aragraphe</w:t>
      </w:r>
      <w:r w:rsidR="00BA7CAC">
        <w:rPr>
          <w:i/>
        </w:rPr>
        <w:t> </w:t>
      </w:r>
      <w:r w:rsidR="00BA7CAC" w:rsidRPr="006A6B75">
        <w:rPr>
          <w:i/>
        </w:rPr>
        <w:t>3.1</w:t>
      </w:r>
      <w:r w:rsidR="00BA7CAC" w:rsidRPr="006A6B75">
        <w:t xml:space="preserve">, </w:t>
      </w:r>
      <w:proofErr w:type="gramStart"/>
      <w:r w:rsidR="00BA7CAC" w:rsidRPr="006A6B75">
        <w:t>modifier</w:t>
      </w:r>
      <w:proofErr w:type="gramEnd"/>
      <w:r w:rsidR="00BA7CAC" w:rsidRPr="006A6B75">
        <w:t xml:space="preserve"> comme suit:</w:t>
      </w:r>
    </w:p>
    <w:p w:rsidR="00BA7CAC" w:rsidRPr="006A6B75" w:rsidRDefault="00BA7CAC" w:rsidP="00BA7CAC">
      <w:pPr>
        <w:pStyle w:val="SingleTxtG"/>
        <w:ind w:left="2268" w:hanging="1134"/>
      </w:pPr>
      <w:r w:rsidRPr="006A6B75">
        <w:t>«3.1</w:t>
      </w:r>
      <w:r w:rsidRPr="006A6B75">
        <w:tab/>
        <w:t>Marches</w:t>
      </w:r>
    </w:p>
    <w:p w:rsidR="00BA7CAC" w:rsidRPr="006A6B75" w:rsidRDefault="00BA7CAC" w:rsidP="00BA7CAC">
      <w:pPr>
        <w:pStyle w:val="SingleTxtG"/>
        <w:ind w:left="2268"/>
      </w:pPr>
      <w:r w:rsidRPr="006A6B75">
        <w:t>Au droit d</w:t>
      </w:r>
      <w:r>
        <w:t>’</w:t>
      </w:r>
      <w:r w:rsidRPr="006A6B75">
        <w:t>une porte de service (…) des classes II, III et B. Dans le cas où une seule porte de service répond à cette condition, il ne doit y avoir ni obstacle ni indication qui empêcherait cette porte d</w:t>
      </w:r>
      <w:r>
        <w:t>’</w:t>
      </w:r>
      <w:r w:rsidRPr="006A6B75">
        <w:t>être utilisée à la fois pour l</w:t>
      </w:r>
      <w:r>
        <w:t>’</w:t>
      </w:r>
      <w:r w:rsidRPr="006A6B75">
        <w:t>entrée et pour la sortie.</w:t>
      </w:r>
    </w:p>
    <w:p w:rsidR="00BA7CAC" w:rsidRPr="006A6B75" w:rsidRDefault="00BA7CAC" w:rsidP="00BA7CAC">
      <w:pPr>
        <w:pStyle w:val="SingleTxtG"/>
        <w:ind w:left="2268"/>
      </w:pPr>
      <w:r w:rsidRPr="006A6B75">
        <w:t>Comme variante admise pour les véhicules des classes I et A, la hauteur de la première marche par rapport au sol ne doit pas dépasser 270 mm au droit de</w:t>
      </w:r>
      <w:r>
        <w:t> </w:t>
      </w:r>
      <w:r w:rsidRPr="006A6B75">
        <w:t>deux ouvertures de portes, une entrée et une issue.</w:t>
      </w:r>
    </w:p>
    <w:p w:rsidR="00BA7CAC" w:rsidRPr="006A6B75" w:rsidRDefault="00BA7CAC" w:rsidP="00BA7CAC">
      <w:pPr>
        <w:pStyle w:val="SingleTxtG"/>
        <w:ind w:left="2268"/>
      </w:pPr>
      <w:r w:rsidRPr="006A6B75">
        <w:t xml:space="preserve">Dans les véhicules à plancher surbaissé, un système de </w:t>
      </w:r>
      <w:proofErr w:type="spellStart"/>
      <w:r w:rsidRPr="006A6B75">
        <w:t>b</w:t>
      </w:r>
      <w:r>
        <w:t>a</w:t>
      </w:r>
      <w:r w:rsidRPr="006A6B75">
        <w:t>raquage</w:t>
      </w:r>
      <w:proofErr w:type="spellEnd"/>
      <w:r w:rsidRPr="006A6B75">
        <w:t xml:space="preserve"> mais non de</w:t>
      </w:r>
      <w:r>
        <w:t> </w:t>
      </w:r>
      <w:r w:rsidRPr="006A6B75">
        <w:t>marche rétractable peut être utilisé.</w:t>
      </w:r>
    </w:p>
    <w:p w:rsidR="00BA7CAC" w:rsidRPr="006A6B75" w:rsidRDefault="00BA7CAC" w:rsidP="00BA7CAC">
      <w:pPr>
        <w:pStyle w:val="SingleTxtG"/>
        <w:ind w:left="2268"/>
      </w:pPr>
      <w:r w:rsidRPr="006A6B75">
        <w:t xml:space="preserve">Dans les autres véhicules, un système de </w:t>
      </w:r>
      <w:proofErr w:type="spellStart"/>
      <w:r w:rsidRPr="006A6B75">
        <w:t>b</w:t>
      </w:r>
      <w:r>
        <w:t>a</w:t>
      </w:r>
      <w:r w:rsidRPr="006A6B75">
        <w:t>raquage</w:t>
      </w:r>
      <w:proofErr w:type="spellEnd"/>
      <w:r w:rsidRPr="006A6B75">
        <w:t xml:space="preserve"> et/ou de marche rétractable peut être utilisé.</w:t>
      </w:r>
    </w:p>
    <w:p w:rsidR="00BA7CAC" w:rsidRPr="006A6B75" w:rsidRDefault="00BA7CAC" w:rsidP="00BA7CAC">
      <w:pPr>
        <w:pStyle w:val="SingleTxtG"/>
        <w:ind w:left="2268"/>
      </w:pPr>
      <w:r w:rsidRPr="006A6B75">
        <w:tab/>
        <w:t>La hauteur des marches dans (…)».</w:t>
      </w:r>
    </w:p>
    <w:p w:rsidR="00BA7CAC" w:rsidRPr="006A6B75" w:rsidRDefault="00BA7CAC" w:rsidP="00BA7CA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2CA9" w:rsidRPr="00972C55" w:rsidRDefault="00FC2CA9" w:rsidP="00EF5EBC">
      <w:pPr>
        <w:pStyle w:val="SingleTxtG"/>
        <w:rPr>
          <w:u w:val="single"/>
        </w:rPr>
      </w:pPr>
    </w:p>
    <w:sectPr w:rsidR="00FC2CA9" w:rsidRPr="00972C55" w:rsidSect="000314C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FE" w:rsidRDefault="007168FE"/>
  </w:endnote>
  <w:endnote w:type="continuationSeparator" w:id="0">
    <w:p w:rsidR="007168FE" w:rsidRDefault="007168FE">
      <w:pPr>
        <w:pStyle w:val="Footer"/>
      </w:pPr>
    </w:p>
  </w:endnote>
  <w:endnote w:type="continuationNotice" w:id="1">
    <w:p w:rsidR="007168FE" w:rsidRPr="00C451B9" w:rsidRDefault="007168FE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Footer"/>
      <w:tabs>
        <w:tab w:val="right" w:pos="9638"/>
      </w:tabs>
    </w:pP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742900">
      <w:rPr>
        <w:b/>
        <w:noProof/>
        <w:sz w:val="18"/>
      </w:rPr>
      <w:t>2</w:t>
    </w:r>
    <w:r w:rsidRPr="000314C7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 w:rsidP="000314C7">
    <w:pPr>
      <w:pStyle w:val="Footer"/>
      <w:tabs>
        <w:tab w:val="right" w:pos="9638"/>
      </w:tabs>
      <w:rPr>
        <w:b/>
        <w:sz w:val="18"/>
      </w:rPr>
    </w:pPr>
    <w:r>
      <w:t>GE.13-24083</w:t>
    </w:r>
    <w:r>
      <w:tab/>
    </w: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EF5EBC">
      <w:rPr>
        <w:b/>
        <w:noProof/>
        <w:sz w:val="18"/>
      </w:rPr>
      <w:t>3</w:t>
    </w:r>
    <w:r w:rsidRPr="000314C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29791D" w:rsidRDefault="00742900" w:rsidP="00E97E2C">
    <w:pPr>
      <w:ind w:left="1134" w:right="1134"/>
      <w:jc w:val="center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40.15pt;margin-top:651.95pt;width:86.95pt;height:18.35pt;z-index:251657728;mso-position-horizontal-relative:margin;mso-position-vertical-relative:margin">
          <v:imagedata r:id="rId1" o:title="recycle_French"/>
          <w10:wrap anchorx="margin" anchory="margin"/>
        </v:shape>
      </w:pict>
    </w:r>
    <w:r w:rsidR="00710974">
      <w:t>_______________</w:t>
    </w:r>
  </w:p>
  <w:p w:rsidR="00710974" w:rsidRDefault="00742900" w:rsidP="00E97E2C">
    <w:pPr>
      <w:jc w:val="center"/>
      <w:rPr>
        <w:b/>
        <w:bCs/>
        <w:sz w:val="22"/>
      </w:rPr>
    </w:pPr>
    <w:r>
      <w:pict>
        <v:shape id="_x0000_i1025" type="#_x0000_t75" style="width:1in;height:60.6pt;mso-wrap-distance-bottom:10.8pt" o:allowoverlap="f" fillcolor="window">
          <v:imagedata r:id="rId2" o:title="" cropleft="-4986f" cropright="-4986f"/>
        </v:shape>
      </w:pict>
    </w:r>
  </w:p>
  <w:p w:rsidR="00710974" w:rsidRPr="0029791D" w:rsidRDefault="00710974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710974" w:rsidRPr="0029791D" w:rsidRDefault="00710974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710974" w:rsidRDefault="00710974" w:rsidP="00242268">
    <w:pPr>
      <w:pStyle w:val="FootnoteText"/>
      <w:spacing w:after="240" w:line="200" w:lineRule="exact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  <w:p w:rsidR="00710974" w:rsidRPr="000314C7" w:rsidRDefault="00710974" w:rsidP="000314C7">
    <w:pPr>
      <w:pStyle w:val="Footer"/>
      <w:spacing w:before="120"/>
      <w:rPr>
        <w:sz w:val="20"/>
      </w:rPr>
    </w:pPr>
    <w:r>
      <w:rPr>
        <w:sz w:val="20"/>
      </w:rPr>
      <w:t>GE</w:t>
    </w:r>
    <w:r w:rsidR="004750C7">
      <w:rPr>
        <w:sz w:val="20"/>
      </w:rPr>
      <w:t>.-15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FE" w:rsidRPr="00D27D5E" w:rsidRDefault="007168FE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168FE" w:rsidRPr="00D171D4" w:rsidRDefault="007168FE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7168FE" w:rsidRPr="00C451B9" w:rsidRDefault="007168FE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710974">
    <w:pPr>
      <w:pStyle w:val="Header"/>
    </w:pPr>
    <w:r>
      <w:t>E/</w:t>
    </w:r>
    <w:proofErr w:type="spellStart"/>
    <w:r>
      <w:t>ECE</w:t>
    </w:r>
    <w:proofErr w:type="spellEnd"/>
    <w:r>
      <w:t>/324</w:t>
    </w:r>
    <w:r w:rsidR="00BA7CAC">
      <w:t>/Rev.2/Add.106/Rev.5/Amend.1</w:t>
    </w:r>
    <w:r>
      <w:br/>
      <w:t>E/</w:t>
    </w:r>
    <w:proofErr w:type="spellStart"/>
    <w:r>
      <w:t>ECE</w:t>
    </w:r>
    <w:proofErr w:type="spellEnd"/>
    <w:r>
      <w:t>/TRANS/505</w:t>
    </w:r>
    <w:r w:rsidR="00BA7CAC">
      <w:t>/Rev.2/Add.106/Rev.5/Amend.1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974" w:rsidRPr="000314C7" w:rsidRDefault="00FC2CA9" w:rsidP="000314C7">
    <w:pPr>
      <w:pStyle w:val="Header"/>
      <w:jc w:val="right"/>
    </w:pPr>
    <w:r>
      <w:t>E/</w:t>
    </w:r>
    <w:proofErr w:type="spellStart"/>
    <w:r>
      <w:t>ECE</w:t>
    </w:r>
    <w:proofErr w:type="spellEnd"/>
    <w:r>
      <w:t>/324/Rev.2/Add.103/Rev.1/Amend.2</w:t>
    </w:r>
    <w:r>
      <w:br/>
      <w:t>E/</w:t>
    </w:r>
    <w:proofErr w:type="spellStart"/>
    <w:r>
      <w:t>ECE</w:t>
    </w:r>
    <w:proofErr w:type="spellEnd"/>
    <w:r>
      <w:t>/TRANS/505/Rev.2/Add.103/Rev.1/Amend.2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4B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74D7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D6E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345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4C8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901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D81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CF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8D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CC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1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6">
    <w:nsid w:val="1E4D37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A123C5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9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0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A3B252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3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4">
    <w:nsid w:val="3EF500B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7">
    <w:nsid w:val="45AC29B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5545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0">
    <w:nsid w:val="4DF455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3791BC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4">
    <w:nsid w:val="626038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>
    <w:nsid w:val="779C6E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1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0"/>
  </w:num>
  <w:num w:numId="2">
    <w:abstractNumId w:val="18"/>
  </w:num>
  <w:num w:numId="3">
    <w:abstractNumId w:val="40"/>
  </w:num>
  <w:num w:numId="4">
    <w:abstractNumId w:val="18"/>
  </w:num>
  <w:num w:numId="5">
    <w:abstractNumId w:val="11"/>
  </w:num>
  <w:num w:numId="6">
    <w:abstractNumId w:val="20"/>
  </w:num>
  <w:num w:numId="7">
    <w:abstractNumId w:val="25"/>
  </w:num>
  <w:num w:numId="8">
    <w:abstractNumId w:val="38"/>
  </w:num>
  <w:num w:numId="9">
    <w:abstractNumId w:val="31"/>
  </w:num>
  <w:num w:numId="10">
    <w:abstractNumId w:val="41"/>
  </w:num>
  <w:num w:numId="11">
    <w:abstractNumId w:val="25"/>
  </w:num>
  <w:num w:numId="12">
    <w:abstractNumId w:val="29"/>
  </w:num>
  <w:num w:numId="13">
    <w:abstractNumId w:val="29"/>
  </w:num>
  <w:num w:numId="14">
    <w:abstractNumId w:val="35"/>
  </w:num>
  <w:num w:numId="15">
    <w:abstractNumId w:val="23"/>
  </w:num>
  <w:num w:numId="16">
    <w:abstractNumId w:val="23"/>
  </w:num>
  <w:num w:numId="17">
    <w:abstractNumId w:val="40"/>
  </w:num>
  <w:num w:numId="18">
    <w:abstractNumId w:val="18"/>
  </w:num>
  <w:num w:numId="19">
    <w:abstractNumId w:val="1"/>
  </w:num>
  <w:num w:numId="20">
    <w:abstractNumId w:val="0"/>
  </w:num>
  <w:num w:numId="21">
    <w:abstractNumId w:val="19"/>
  </w:num>
  <w:num w:numId="22">
    <w:abstractNumId w:val="10"/>
  </w:num>
  <w:num w:numId="23">
    <w:abstractNumId w:val="15"/>
  </w:num>
  <w:num w:numId="24">
    <w:abstractNumId w:val="12"/>
  </w:num>
  <w:num w:numId="25">
    <w:abstractNumId w:val="26"/>
  </w:num>
  <w:num w:numId="26">
    <w:abstractNumId w:val="33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39"/>
  </w:num>
  <w:num w:numId="37">
    <w:abstractNumId w:val="36"/>
  </w:num>
  <w:num w:numId="38">
    <w:abstractNumId w:val="22"/>
  </w:num>
  <w:num w:numId="39">
    <w:abstractNumId w:val="28"/>
  </w:num>
  <w:num w:numId="40">
    <w:abstractNumId w:val="37"/>
  </w:num>
  <w:num w:numId="41">
    <w:abstractNumId w:val="16"/>
  </w:num>
  <w:num w:numId="42">
    <w:abstractNumId w:val="24"/>
  </w:num>
  <w:num w:numId="43">
    <w:abstractNumId w:val="32"/>
  </w:num>
  <w:num w:numId="44">
    <w:abstractNumId w:val="21"/>
  </w:num>
  <w:num w:numId="45">
    <w:abstractNumId w:val="34"/>
  </w:num>
  <w:num w:numId="46">
    <w:abstractNumId w:val="30"/>
  </w:num>
  <w:num w:numId="47">
    <w:abstractNumId w:val="27"/>
  </w:num>
  <w:num w:numId="48">
    <w:abstractNumId w:val="1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CAC"/>
    <w:rsid w:val="0001470D"/>
    <w:rsid w:val="00015650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14C7"/>
    <w:rsid w:val="00032060"/>
    <w:rsid w:val="00037B3F"/>
    <w:rsid w:val="00040539"/>
    <w:rsid w:val="00040598"/>
    <w:rsid w:val="00041E60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90B60"/>
    <w:rsid w:val="000A1501"/>
    <w:rsid w:val="000A2494"/>
    <w:rsid w:val="000A6B7E"/>
    <w:rsid w:val="000C6CDB"/>
    <w:rsid w:val="000D5C25"/>
    <w:rsid w:val="000E4F06"/>
    <w:rsid w:val="000E5601"/>
    <w:rsid w:val="000F17F6"/>
    <w:rsid w:val="000F41F2"/>
    <w:rsid w:val="0010373B"/>
    <w:rsid w:val="0011415F"/>
    <w:rsid w:val="001207DD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376F"/>
    <w:rsid w:val="001B09BB"/>
    <w:rsid w:val="001C08ED"/>
    <w:rsid w:val="001C3D8D"/>
    <w:rsid w:val="001C6497"/>
    <w:rsid w:val="001D3393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268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178D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A58D8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3FA6"/>
    <w:rsid w:val="004342E2"/>
    <w:rsid w:val="00434354"/>
    <w:rsid w:val="00440BC8"/>
    <w:rsid w:val="00454F8D"/>
    <w:rsid w:val="004567EB"/>
    <w:rsid w:val="00460E72"/>
    <w:rsid w:val="00464191"/>
    <w:rsid w:val="00467412"/>
    <w:rsid w:val="004726BE"/>
    <w:rsid w:val="004750C7"/>
    <w:rsid w:val="00476265"/>
    <w:rsid w:val="00490F56"/>
    <w:rsid w:val="00491496"/>
    <w:rsid w:val="00491F39"/>
    <w:rsid w:val="00495A7B"/>
    <w:rsid w:val="004A49A5"/>
    <w:rsid w:val="004A66A2"/>
    <w:rsid w:val="004B261D"/>
    <w:rsid w:val="004B51CD"/>
    <w:rsid w:val="004B576C"/>
    <w:rsid w:val="004C54C0"/>
    <w:rsid w:val="004C56B2"/>
    <w:rsid w:val="004D00B2"/>
    <w:rsid w:val="004E4963"/>
    <w:rsid w:val="004E6809"/>
    <w:rsid w:val="004E7F24"/>
    <w:rsid w:val="004F19CA"/>
    <w:rsid w:val="005111B1"/>
    <w:rsid w:val="0051457E"/>
    <w:rsid w:val="0051714B"/>
    <w:rsid w:val="00520F80"/>
    <w:rsid w:val="005239FF"/>
    <w:rsid w:val="00523DB8"/>
    <w:rsid w:val="00533150"/>
    <w:rsid w:val="0053348A"/>
    <w:rsid w:val="00543B57"/>
    <w:rsid w:val="00543C47"/>
    <w:rsid w:val="00543D5E"/>
    <w:rsid w:val="00552260"/>
    <w:rsid w:val="00552366"/>
    <w:rsid w:val="00552777"/>
    <w:rsid w:val="00555494"/>
    <w:rsid w:val="00555CBA"/>
    <w:rsid w:val="00556C1A"/>
    <w:rsid w:val="00563071"/>
    <w:rsid w:val="00565B29"/>
    <w:rsid w:val="00571BC1"/>
    <w:rsid w:val="00571F41"/>
    <w:rsid w:val="00575476"/>
    <w:rsid w:val="005757A7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7719"/>
    <w:rsid w:val="005E1B9B"/>
    <w:rsid w:val="005E32D1"/>
    <w:rsid w:val="005E5D1F"/>
    <w:rsid w:val="005F0207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814"/>
    <w:rsid w:val="006439EC"/>
    <w:rsid w:val="00645090"/>
    <w:rsid w:val="00646671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055F"/>
    <w:rsid w:val="00681793"/>
    <w:rsid w:val="0068562A"/>
    <w:rsid w:val="006A62F8"/>
    <w:rsid w:val="006A6B31"/>
    <w:rsid w:val="006A6C95"/>
    <w:rsid w:val="006A7B29"/>
    <w:rsid w:val="006B0EB2"/>
    <w:rsid w:val="006B0FF8"/>
    <w:rsid w:val="006B4590"/>
    <w:rsid w:val="006C27D3"/>
    <w:rsid w:val="006C340C"/>
    <w:rsid w:val="006F1D0B"/>
    <w:rsid w:val="006F27A8"/>
    <w:rsid w:val="006F3493"/>
    <w:rsid w:val="006F3544"/>
    <w:rsid w:val="0070347C"/>
    <w:rsid w:val="00707FE6"/>
    <w:rsid w:val="007102D2"/>
    <w:rsid w:val="00710974"/>
    <w:rsid w:val="00714A66"/>
    <w:rsid w:val="007168FE"/>
    <w:rsid w:val="007176C1"/>
    <w:rsid w:val="00720BC0"/>
    <w:rsid w:val="0072116B"/>
    <w:rsid w:val="00725063"/>
    <w:rsid w:val="00732E72"/>
    <w:rsid w:val="00741D90"/>
    <w:rsid w:val="00742900"/>
    <w:rsid w:val="007607B1"/>
    <w:rsid w:val="00765296"/>
    <w:rsid w:val="00765DCF"/>
    <w:rsid w:val="00766D28"/>
    <w:rsid w:val="007723C2"/>
    <w:rsid w:val="007815B9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E3CBD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45F4"/>
    <w:rsid w:val="00837345"/>
    <w:rsid w:val="00844750"/>
    <w:rsid w:val="00851A74"/>
    <w:rsid w:val="00853AB8"/>
    <w:rsid w:val="00854C34"/>
    <w:rsid w:val="0085586A"/>
    <w:rsid w:val="00856DB2"/>
    <w:rsid w:val="00895DE5"/>
    <w:rsid w:val="008A00CA"/>
    <w:rsid w:val="008A0FA8"/>
    <w:rsid w:val="008A1EC0"/>
    <w:rsid w:val="008B44C4"/>
    <w:rsid w:val="008C322B"/>
    <w:rsid w:val="008C4B74"/>
    <w:rsid w:val="008D1156"/>
    <w:rsid w:val="008D59DB"/>
    <w:rsid w:val="008E0319"/>
    <w:rsid w:val="008E1A5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05B"/>
    <w:rsid w:val="00957CE5"/>
    <w:rsid w:val="009624E2"/>
    <w:rsid w:val="00974DD2"/>
    <w:rsid w:val="00977EC8"/>
    <w:rsid w:val="00980569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3812"/>
    <w:rsid w:val="00A05DD1"/>
    <w:rsid w:val="00A077E9"/>
    <w:rsid w:val="00A2492E"/>
    <w:rsid w:val="00A31041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76263"/>
    <w:rsid w:val="00A81F93"/>
    <w:rsid w:val="00A92017"/>
    <w:rsid w:val="00A9247E"/>
    <w:rsid w:val="00A952AD"/>
    <w:rsid w:val="00AA0DCA"/>
    <w:rsid w:val="00AA7796"/>
    <w:rsid w:val="00AB3208"/>
    <w:rsid w:val="00AC5B47"/>
    <w:rsid w:val="00AC67A1"/>
    <w:rsid w:val="00AC7977"/>
    <w:rsid w:val="00AC7E56"/>
    <w:rsid w:val="00AE2617"/>
    <w:rsid w:val="00AE352C"/>
    <w:rsid w:val="00AE79AC"/>
    <w:rsid w:val="00B01AAD"/>
    <w:rsid w:val="00B101DB"/>
    <w:rsid w:val="00B21751"/>
    <w:rsid w:val="00B256F0"/>
    <w:rsid w:val="00B31D7D"/>
    <w:rsid w:val="00B32E2D"/>
    <w:rsid w:val="00B416B8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804B7"/>
    <w:rsid w:val="00BA7CAC"/>
    <w:rsid w:val="00BC3F20"/>
    <w:rsid w:val="00BC46C2"/>
    <w:rsid w:val="00BD13E6"/>
    <w:rsid w:val="00BD28B2"/>
    <w:rsid w:val="00BD5A8D"/>
    <w:rsid w:val="00BD7343"/>
    <w:rsid w:val="00BF0556"/>
    <w:rsid w:val="00BF37EE"/>
    <w:rsid w:val="00BF41E8"/>
    <w:rsid w:val="00C024A1"/>
    <w:rsid w:val="00C02C42"/>
    <w:rsid w:val="00C10FB1"/>
    <w:rsid w:val="00C11282"/>
    <w:rsid w:val="00C14108"/>
    <w:rsid w:val="00C231A5"/>
    <w:rsid w:val="00C261F8"/>
    <w:rsid w:val="00C27662"/>
    <w:rsid w:val="00C32914"/>
    <w:rsid w:val="00C33100"/>
    <w:rsid w:val="00C42EDB"/>
    <w:rsid w:val="00C451B9"/>
    <w:rsid w:val="00C47BDD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4527"/>
    <w:rsid w:val="00D05828"/>
    <w:rsid w:val="00D06712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2AC5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C3628"/>
    <w:rsid w:val="00DC4F43"/>
    <w:rsid w:val="00DC5038"/>
    <w:rsid w:val="00DD1ED8"/>
    <w:rsid w:val="00DE6D90"/>
    <w:rsid w:val="00DF002F"/>
    <w:rsid w:val="00DF1D90"/>
    <w:rsid w:val="00E01123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43CB0"/>
    <w:rsid w:val="00E510F3"/>
    <w:rsid w:val="00E51874"/>
    <w:rsid w:val="00E55223"/>
    <w:rsid w:val="00E60012"/>
    <w:rsid w:val="00E606BF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4E03"/>
    <w:rsid w:val="00E96710"/>
    <w:rsid w:val="00E97E2C"/>
    <w:rsid w:val="00EA3B1D"/>
    <w:rsid w:val="00EB407B"/>
    <w:rsid w:val="00EB77B9"/>
    <w:rsid w:val="00EB7D07"/>
    <w:rsid w:val="00ED3A26"/>
    <w:rsid w:val="00EF5EBC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D41"/>
    <w:rsid w:val="00F515AD"/>
    <w:rsid w:val="00F56B14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37B2"/>
    <w:rsid w:val="00FA5A79"/>
    <w:rsid w:val="00FB0BFE"/>
    <w:rsid w:val="00FB4300"/>
    <w:rsid w:val="00FB4C51"/>
    <w:rsid w:val="00FB734D"/>
    <w:rsid w:val="00FC2227"/>
    <w:rsid w:val="00FC2CA9"/>
    <w:rsid w:val="00FC58CD"/>
    <w:rsid w:val="00FD02A2"/>
    <w:rsid w:val="00FD5E64"/>
    <w:rsid w:val="00FD7985"/>
    <w:rsid w:val="00FE2E9C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A8C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50D6B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287E79"/>
    <w:pPr>
      <w:outlineLvl w:val="1"/>
    </w:pPr>
  </w:style>
  <w:style w:type="paragraph" w:styleId="Heading3">
    <w:name w:val="heading 3"/>
    <w:basedOn w:val="Normal"/>
    <w:next w:val="Normal"/>
    <w:qFormat/>
    <w:rsid w:val="00287E79"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1D7F8A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rsid w:val="00D016B5"/>
  </w:style>
  <w:style w:type="paragraph" w:styleId="FootnoteText">
    <w:name w:val="footnote text"/>
    <w:aliases w:val="5_G"/>
    <w:basedOn w:val="Normal"/>
    <w:rsid w:val="00C10FB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rsid w:val="001D7F8A"/>
    <w:pPr>
      <w:spacing w:line="240" w:lineRule="auto"/>
    </w:pPr>
    <w:rPr>
      <w:sz w:val="16"/>
    </w:rPr>
  </w:style>
  <w:style w:type="character" w:styleId="EndnoteReference">
    <w:name w:val="endnote reference"/>
    <w:aliases w:val="1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rsid w:val="00287E79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rsid w:val="007723C2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rsid w:val="00D016B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rsid w:val="00D016B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rsid w:val="00D016B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1D7F8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1D7F8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016B5"/>
    <w:pPr>
      <w:numPr>
        <w:numId w:val="3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016B5"/>
    <w:pPr>
      <w:numPr>
        <w:numId w:val="3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372D1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lang w:val="fr-CH" w:eastAsia="en-US" w:bidi="ar-SA"/>
    </w:rPr>
  </w:style>
  <w:style w:type="character" w:styleId="Hyperlink">
    <w:name w:val="Hyperlink"/>
    <w:semiHidden/>
    <w:rsid w:val="00491F39"/>
    <w:rPr>
      <w:color w:val="auto"/>
      <w:u w:val="none"/>
    </w:rPr>
  </w:style>
  <w:style w:type="character" w:styleId="FollowedHyperlink">
    <w:name w:val="FollowedHyperlink"/>
    <w:semiHidden/>
    <w:rsid w:val="00491F39"/>
    <w:rPr>
      <w:color w:val="auto"/>
      <w:u w:val="none"/>
    </w:rPr>
  </w:style>
  <w:style w:type="paragraph" w:customStyle="1" w:styleId="ParNoG">
    <w:name w:val="_ParNo_G"/>
    <w:basedOn w:val="SingleTxtG"/>
    <w:rsid w:val="00FE2E9C"/>
    <w:pPr>
      <w:numPr>
        <w:numId w:val="49"/>
      </w:numPr>
    </w:pPr>
  </w:style>
  <w:style w:type="character" w:customStyle="1" w:styleId="Heading1Char">
    <w:name w:val="Heading 1 Char"/>
    <w:aliases w:val="Table_G Char"/>
    <w:link w:val="Heading1"/>
    <w:rsid w:val="001C08ED"/>
    <w:rPr>
      <w:lang w:val="fr-CH" w:eastAsia="en-US"/>
    </w:rPr>
  </w:style>
  <w:style w:type="paragraph" w:styleId="BalloonText">
    <w:name w:val="Balloon Text"/>
    <w:basedOn w:val="Normal"/>
    <w:link w:val="BalloonTextChar"/>
    <w:rsid w:val="00FC2C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2CA9"/>
    <w:rPr>
      <w:rFonts w:ascii="Tahoma" w:hAnsi="Tahoma" w:cs="Tahoma"/>
      <w:sz w:val="16"/>
      <w:szCs w:val="16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E/ECE/324/Rev.2/Add.100/Rev.3/Amend.1</vt:lpstr>
      <vt:lpstr>E/ECE/324/Rev.2/Add.100/Rev.3/Amend.1</vt:lpstr>
    </vt:vector>
  </TitlesOfParts>
  <Company>CSD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E/ECE/324/Rev.2/Add.100/Rev.3/Amend.1</dc:title>
  <dc:subject>final</dc:subject>
  <dc:creator>03</dc:creator>
  <cp:lastModifiedBy>04</cp:lastModifiedBy>
  <cp:revision>3</cp:revision>
  <cp:lastPrinted>2015-06-05T09:57:00Z</cp:lastPrinted>
  <dcterms:created xsi:type="dcterms:W3CDTF">2015-06-15T09:20:00Z</dcterms:created>
  <dcterms:modified xsi:type="dcterms:W3CDTF">2015-06-22T09:43:00Z</dcterms:modified>
</cp:coreProperties>
</file>