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4152C8">
              <w:t>Rev.1/Add.97/Rev.3/Amend.4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4152C8">
              <w:t>Rev.1/Add.97/Rev.3/Amend.4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25A42" w:rsidRDefault="00C25A42" w:rsidP="00C25A42">
            <w:pPr>
              <w:spacing w:before="40" w:after="40"/>
              <w:rPr>
                <w:lang w:val="en-US"/>
              </w:rPr>
            </w:pPr>
          </w:p>
          <w:p w:rsidR="00C25A42" w:rsidRDefault="00C25A42" w:rsidP="00C25A42">
            <w:pPr>
              <w:spacing w:before="40" w:after="40"/>
              <w:rPr>
                <w:lang w:val="en-US"/>
              </w:rPr>
            </w:pPr>
            <w:bookmarkStart w:id="0" w:name="_GoBack"/>
            <w:bookmarkEnd w:id="0"/>
          </w:p>
          <w:p w:rsidR="000D6D03" w:rsidRPr="008A75ED" w:rsidRDefault="00C25A42" w:rsidP="00C25A42">
            <w:pPr>
              <w:spacing w:before="840"/>
              <w:rPr>
                <w:lang w:val="en-US"/>
              </w:rPr>
            </w:pPr>
            <w:r>
              <w:rPr>
                <w:lang w:val="en-US"/>
              </w:rPr>
              <w:t>22 June 2015</w:t>
            </w:r>
          </w:p>
          <w:p w:rsidR="000D6D03" w:rsidRPr="00B172D2" w:rsidRDefault="000D6D03" w:rsidP="008A75ED">
            <w:pPr>
              <w:spacing w:before="40" w:after="40"/>
            </w:pPr>
          </w:p>
        </w:tc>
      </w:tr>
    </w:tbl>
    <w:p w:rsidR="002E27D0" w:rsidRPr="003B20CC" w:rsidRDefault="002E27D0" w:rsidP="002E27D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B20CC">
        <w:t>Соглашение</w:t>
      </w:r>
    </w:p>
    <w:p w:rsidR="002E27D0" w:rsidRPr="003B20CC" w:rsidRDefault="002E27D0" w:rsidP="001450FC">
      <w:pPr>
        <w:pStyle w:val="H1GR"/>
        <w:spacing w:before="240" w:after="120"/>
      </w:pPr>
      <w:r w:rsidRPr="00152E41">
        <w:tab/>
      </w:r>
      <w:r w:rsidRPr="00152E41">
        <w:tab/>
      </w:r>
      <w:proofErr w:type="gramStart"/>
      <w:r w:rsidRPr="003B20CC">
        <w:t xml:space="preserve">О принятии единообразных технических предписаний для колесных транспортных средств, предметов оборудования </w:t>
      </w:r>
      <w:r w:rsidRPr="007F5873">
        <w:br/>
      </w:r>
      <w:r w:rsidRPr="003B20CC">
        <w:t xml:space="preserve">и частей, которые могут быть установлены и/или использованы на колесных транспортных средствах, </w:t>
      </w:r>
      <w:r w:rsidRPr="007F5873">
        <w:br/>
      </w:r>
      <w:r w:rsidRPr="003B20CC">
        <w:t xml:space="preserve">и </w:t>
      </w:r>
      <w:r>
        <w:t>об условиях взаимного признания</w:t>
      </w:r>
      <w:r w:rsidRPr="007F5873">
        <w:t xml:space="preserve"> </w:t>
      </w:r>
      <w:r w:rsidRPr="003B20CC">
        <w:t>официальных утверждений, выдаваемых на основе этих предписаний</w:t>
      </w:r>
      <w:r w:rsidRPr="00AF112F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  <w:proofErr w:type="gramEnd"/>
    </w:p>
    <w:p w:rsidR="002E27D0" w:rsidRPr="00152E41" w:rsidRDefault="002E27D0" w:rsidP="002E27D0">
      <w:pPr>
        <w:pStyle w:val="SingleTxtGR"/>
        <w:spacing w:before="120"/>
      </w:pPr>
      <w:r w:rsidRPr="003B20CC">
        <w:t>(Пересмотр 2, включающий поправки, вступившие в силу 16 октября 1995 года)</w:t>
      </w:r>
    </w:p>
    <w:p w:rsidR="002E27D0" w:rsidRPr="00152E41" w:rsidRDefault="002E27D0" w:rsidP="002E27D0">
      <w:pPr>
        <w:spacing w:before="240"/>
        <w:jc w:val="center"/>
        <w:rPr>
          <w:u w:val="single"/>
        </w:rPr>
      </w:pPr>
      <w:r w:rsidRPr="00152E41">
        <w:rPr>
          <w:u w:val="single"/>
        </w:rPr>
        <w:tab/>
      </w:r>
      <w:r w:rsidRPr="00152E41">
        <w:rPr>
          <w:u w:val="single"/>
        </w:rPr>
        <w:tab/>
      </w:r>
      <w:r w:rsidRPr="00152E41">
        <w:rPr>
          <w:u w:val="single"/>
        </w:rPr>
        <w:tab/>
      </w:r>
    </w:p>
    <w:p w:rsidR="002E27D0" w:rsidRPr="003B20CC" w:rsidRDefault="002E27D0" w:rsidP="002E27D0">
      <w:pPr>
        <w:pStyle w:val="HChGR"/>
        <w:spacing w:before="120"/>
      </w:pPr>
      <w:r w:rsidRPr="00152E41">
        <w:tab/>
      </w:r>
      <w:r w:rsidRPr="00152E41">
        <w:tab/>
      </w:r>
      <w:r w:rsidRPr="00AF112F">
        <w:t xml:space="preserve">Добавление </w:t>
      </w:r>
      <w:r w:rsidRPr="002D6D22">
        <w:t>97</w:t>
      </w:r>
      <w:r w:rsidRPr="003B20CC">
        <w:t xml:space="preserve">:  Правила № </w:t>
      </w:r>
      <w:r w:rsidRPr="002D6D22">
        <w:t>98</w:t>
      </w:r>
    </w:p>
    <w:p w:rsidR="002E27D0" w:rsidRPr="002E27D0" w:rsidRDefault="002E27D0" w:rsidP="002E27D0">
      <w:pPr>
        <w:pStyle w:val="H1GR"/>
        <w:rPr>
          <w:lang w:val="en-US"/>
        </w:rPr>
      </w:pPr>
      <w:r w:rsidRPr="002D6D22">
        <w:tab/>
      </w:r>
      <w:r w:rsidRPr="002D6D22">
        <w:tab/>
      </w:r>
      <w:r w:rsidRPr="003B20CC">
        <w:t xml:space="preserve">Пересмотр </w:t>
      </w:r>
      <w:r w:rsidRPr="002D6D22">
        <w:t>3</w:t>
      </w:r>
      <w:r w:rsidRPr="00C87A16">
        <w:t xml:space="preserve"> − </w:t>
      </w:r>
      <w:r>
        <w:t xml:space="preserve">Поправка </w:t>
      </w:r>
      <w:r>
        <w:rPr>
          <w:lang w:val="en-US"/>
        </w:rPr>
        <w:t>4</w:t>
      </w:r>
    </w:p>
    <w:p w:rsidR="002E27D0" w:rsidRPr="003B20CC" w:rsidRDefault="002E27D0" w:rsidP="002E27D0">
      <w:pPr>
        <w:pStyle w:val="SingleTxtGR"/>
      </w:pPr>
      <w:r>
        <w:t xml:space="preserve">Дополнение </w:t>
      </w:r>
      <w:r w:rsidR="0091740B">
        <w:rPr>
          <w:lang w:val="en-US"/>
        </w:rPr>
        <w:t>5</w:t>
      </w:r>
      <w:r w:rsidRPr="003B20CC">
        <w:t xml:space="preserve"> к поправкам серии 0</w:t>
      </w:r>
      <w:r w:rsidRPr="002D6D22">
        <w:t>1</w:t>
      </w:r>
      <w:r w:rsidRPr="003B20CC">
        <w:t xml:space="preserve"> –</w:t>
      </w:r>
      <w:r>
        <w:t xml:space="preserve"> Дата вступления в сил</w:t>
      </w:r>
      <w:r w:rsidR="0091740B">
        <w:t>у: 15 июн</w:t>
      </w:r>
      <w:r>
        <w:t xml:space="preserve">я </w:t>
      </w:r>
      <w:r>
        <w:br/>
        <w:t>201</w:t>
      </w:r>
      <w:r w:rsidR="0091740B">
        <w:t>5</w:t>
      </w:r>
      <w:r>
        <w:t xml:space="preserve"> </w:t>
      </w:r>
      <w:r w:rsidRPr="003B20CC">
        <w:t>года</w:t>
      </w:r>
    </w:p>
    <w:p w:rsidR="002E27D0" w:rsidRPr="002D6D22" w:rsidRDefault="002E27D0" w:rsidP="002E27D0">
      <w:pPr>
        <w:pStyle w:val="H1GR"/>
        <w:spacing w:before="120"/>
      </w:pPr>
      <w:r>
        <w:tab/>
      </w:r>
      <w:r>
        <w:tab/>
      </w:r>
      <w:r w:rsidRPr="003B20CC">
        <w:t xml:space="preserve">Единообразные предписания, касающиеся официального утверждения </w:t>
      </w:r>
      <w:r>
        <w:t>фар механических транспортных средств с газоразрядными источниками света</w:t>
      </w:r>
    </w:p>
    <w:p w:rsidR="008477B6" w:rsidRPr="008477B6" w:rsidRDefault="008477B6" w:rsidP="008477B6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="009B2883" w:rsidRPr="00B05A5C">
        <w:t>ECE</w:t>
      </w:r>
      <w:proofErr w:type="spellEnd"/>
      <w:r w:rsidR="009B2883" w:rsidRPr="00B05A5C">
        <w:t>/</w:t>
      </w:r>
      <w:proofErr w:type="spellStart"/>
      <w:r w:rsidR="009B2883" w:rsidRPr="00B05A5C">
        <w:t>TRANS</w:t>
      </w:r>
      <w:proofErr w:type="spellEnd"/>
      <w:r w:rsidR="009B2883" w:rsidRPr="00B05A5C">
        <w:t>/WP.29/201</w:t>
      </w:r>
      <w:r w:rsidR="009B2883">
        <w:t>3</w:t>
      </w:r>
      <w:r w:rsidR="009B2883" w:rsidRPr="00B05A5C">
        <w:t>/</w:t>
      </w:r>
      <w:r w:rsidR="009B2883">
        <w:t>90/Rev.1</w:t>
      </w:r>
      <w:r>
        <w:rPr>
          <w:lang w:val="en-U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C25A42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EC5B76" w:rsidRDefault="00AF20CB" w:rsidP="00EC5B76">
      <w:pPr>
        <w:pStyle w:val="SingleTxtGR"/>
        <w:rPr>
          <w:i/>
        </w:rPr>
      </w:pPr>
      <w:r w:rsidRPr="002A76D9">
        <w:rPr>
          <w:i/>
        </w:rPr>
        <w:lastRenderedPageBreak/>
        <w:t>Содержание,</w:t>
      </w:r>
    </w:p>
    <w:p w:rsidR="00AF20CB" w:rsidRPr="002A76D9" w:rsidRDefault="000C06CA" w:rsidP="00EC5B76">
      <w:pPr>
        <w:pStyle w:val="SingleTxtGR"/>
      </w:pPr>
      <w:r w:rsidRPr="000C06CA">
        <w:rPr>
          <w:i/>
        </w:rPr>
        <w:t>Перечень приложений</w:t>
      </w:r>
      <w:r w:rsidR="00AF20CB">
        <w:rPr>
          <w:i/>
        </w:rPr>
        <w:t>,</w:t>
      </w:r>
      <w:r w:rsidR="00AF20CB" w:rsidRPr="002A76D9">
        <w:rPr>
          <w:i/>
        </w:rPr>
        <w:t xml:space="preserve"> </w:t>
      </w:r>
      <w:r w:rsidR="00AF20CB" w:rsidRPr="002A76D9">
        <w:t>изменить содержание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"1</w:t>
      </w:r>
      <w:r>
        <w:t>.</w:t>
      </w:r>
      <w:r w:rsidRPr="002A76D9">
        <w:tab/>
        <w:t>Сообщение, касающееся официального утверждения, распростр</w:t>
      </w:r>
      <w:r w:rsidRPr="002A76D9">
        <w:t>а</w:t>
      </w:r>
      <w:r w:rsidRPr="002A76D9">
        <w:t>нения</w:t>
      </w:r>
      <w:r>
        <w:t xml:space="preserve"> </w:t>
      </w:r>
      <w:r w:rsidRPr="002A76D9">
        <w:t>официального утверждения, отказа в официальном утве</w:t>
      </w:r>
      <w:r w:rsidRPr="002A76D9">
        <w:t>р</w:t>
      </w:r>
      <w:r w:rsidRPr="002A76D9">
        <w:t>ждении, отмены официального утверждения или окончательного прекращения производства типа фары на основании Правил № 98</w:t>
      </w:r>
    </w:p>
    <w:p w:rsidR="00AF20CB" w:rsidRPr="006709F9" w:rsidRDefault="00AF20CB" w:rsidP="00AF20CB">
      <w:pPr>
        <w:pStyle w:val="SingleTxtGR"/>
        <w:tabs>
          <w:tab w:val="clear" w:pos="1701"/>
        </w:tabs>
        <w:jc w:val="left"/>
      </w:pPr>
      <w:r w:rsidRPr="006709F9">
        <w:tab/>
      </w:r>
      <w:r>
        <w:t>..."</w:t>
      </w:r>
    </w:p>
    <w:p w:rsidR="003F608F" w:rsidRDefault="003F608F" w:rsidP="00AF20CB">
      <w:pPr>
        <w:pStyle w:val="SingleTxtGR"/>
        <w:rPr>
          <w:i/>
        </w:rPr>
      </w:pPr>
      <w:r w:rsidRPr="003F608F">
        <w:rPr>
          <w:i/>
        </w:rPr>
        <w:t>Те</w:t>
      </w:r>
      <w:proofErr w:type="gramStart"/>
      <w:r w:rsidRPr="003F608F">
        <w:rPr>
          <w:i/>
        </w:rPr>
        <w:t>кст пр</w:t>
      </w:r>
      <w:proofErr w:type="gramEnd"/>
      <w:r w:rsidRPr="003F608F">
        <w:rPr>
          <w:i/>
        </w:rPr>
        <w:t>авил</w:t>
      </w:r>
      <w:r>
        <w:rPr>
          <w:i/>
        </w:rPr>
        <w:t>,</w:t>
      </w:r>
    </w:p>
    <w:p w:rsidR="00AF20CB" w:rsidRPr="002A76D9" w:rsidRDefault="00AF20CB" w:rsidP="00AF20CB">
      <w:pPr>
        <w:pStyle w:val="SingleTxtGR"/>
      </w:pPr>
      <w:r w:rsidRPr="002A76D9">
        <w:t xml:space="preserve">изменить </w:t>
      </w:r>
      <w:r w:rsidR="003F608F" w:rsidRPr="003F608F">
        <w:rPr>
          <w:rFonts w:eastAsia="SimSun"/>
        </w:rPr>
        <w:t>"</w:t>
      </w:r>
      <w:r w:rsidR="003F608F" w:rsidRPr="003F608F">
        <w:t>Область применения</w:t>
      </w:r>
      <w:r w:rsidR="003F608F" w:rsidRPr="003F608F">
        <w:rPr>
          <w:rFonts w:eastAsia="SimSun"/>
        </w:rPr>
        <w:t>"</w:t>
      </w:r>
      <w:r w:rsidR="003F608F">
        <w:rPr>
          <w:i/>
        </w:rPr>
        <w:t xml:space="preserve"> </w:t>
      </w:r>
      <w:r w:rsidRPr="002A76D9">
        <w:t>следующим образом:</w:t>
      </w:r>
    </w:p>
    <w:p w:rsidR="00AF20CB" w:rsidRPr="002A76D9" w:rsidRDefault="00AF20CB" w:rsidP="00AF20CB">
      <w:pPr>
        <w:pStyle w:val="HChGR"/>
        <w:ind w:firstLine="1120"/>
        <w:rPr>
          <w:vertAlign w:val="superscript"/>
        </w:rPr>
      </w:pPr>
      <w:r>
        <w:t>"</w:t>
      </w:r>
      <w:r w:rsidRPr="002A76D9">
        <w:t>Область применения</w:t>
      </w:r>
      <w:proofErr w:type="gramStart"/>
      <w:r w:rsidRPr="00017AF3">
        <w:rPr>
          <w:sz w:val="22"/>
          <w:szCs w:val="22"/>
          <w:vertAlign w:val="superscript"/>
        </w:rPr>
        <w:t>1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ab/>
      </w:r>
      <w:r>
        <w:t>Настоящие Правила применяются</w:t>
      </w:r>
      <w:r w:rsidRPr="002A76D9">
        <w:t xml:space="preserve"> к</w:t>
      </w:r>
      <w:r>
        <w:t xml:space="preserve"> </w:t>
      </w:r>
      <w:r w:rsidRPr="0054445F">
        <w:t>фарам</w:t>
      </w:r>
      <w:r w:rsidRPr="0054445F">
        <w:rPr>
          <w:b/>
        </w:rPr>
        <w:t>,</w:t>
      </w:r>
      <w:r w:rsidRPr="00A11349">
        <w:t xml:space="preserve"> которые оснащены г</w:t>
      </w:r>
      <w:r w:rsidRPr="00A11349">
        <w:t>а</w:t>
      </w:r>
      <w:r w:rsidRPr="00A11349">
        <w:t>зораз</w:t>
      </w:r>
      <w:r w:rsidRPr="00CF4EE7">
        <w:t>рядными источниками света и предназначены для транспор</w:t>
      </w:r>
      <w:r w:rsidRPr="00CF4EE7">
        <w:t>т</w:t>
      </w:r>
      <w:r w:rsidRPr="00CF4EE7">
        <w:t xml:space="preserve">ных средств категорий </w:t>
      </w:r>
      <w:r w:rsidRPr="00CF4EE7">
        <w:rPr>
          <w:lang w:val="en-GB"/>
        </w:rPr>
        <w:t>M</w:t>
      </w:r>
      <w:r w:rsidRPr="00CF4EE7">
        <w:t xml:space="preserve">, </w:t>
      </w:r>
      <w:r w:rsidRPr="00CF4EE7">
        <w:rPr>
          <w:lang w:val="en-GB"/>
        </w:rPr>
        <w:t>N</w:t>
      </w:r>
      <w:r w:rsidRPr="00CF4EE7">
        <w:t xml:space="preserve"> и </w:t>
      </w:r>
      <w:r w:rsidRPr="00CF4EE7">
        <w:rPr>
          <w:lang w:val="en-GB"/>
        </w:rPr>
        <w:t>L</w:t>
      </w:r>
      <w:r w:rsidRPr="00CF4EE7">
        <w:rPr>
          <w:vertAlign w:val="subscript"/>
        </w:rPr>
        <w:t>3</w:t>
      </w:r>
      <w:r>
        <w:t>."</w:t>
      </w:r>
    </w:p>
    <w:p w:rsidR="00AF20CB" w:rsidRPr="002A76D9" w:rsidRDefault="00AF20CB" w:rsidP="00AF20CB">
      <w:pPr>
        <w:pStyle w:val="SingleTxtGR"/>
      </w:pPr>
      <w:r w:rsidRPr="002A76D9">
        <w:rPr>
          <w:i/>
        </w:rPr>
        <w:t xml:space="preserve">Пункт 2.1.6 </w:t>
      </w:r>
      <w:r w:rsidRPr="002A76D9">
        <w:t>исключить.</w:t>
      </w:r>
    </w:p>
    <w:p w:rsidR="00AF20CB" w:rsidRPr="002A76D9" w:rsidRDefault="00AF20CB" w:rsidP="00AF20CB">
      <w:pPr>
        <w:pStyle w:val="SingleTxtGR"/>
      </w:pPr>
      <w:r w:rsidRPr="002A76D9">
        <w:rPr>
          <w:i/>
        </w:rPr>
        <w:t xml:space="preserve">Пункт 2.1.7, </w:t>
      </w:r>
      <w:r w:rsidRPr="002A76D9">
        <w:t>изменить нумерацию на 2.1.6</w:t>
      </w:r>
      <w:r>
        <w:t>, а те</w:t>
      </w:r>
      <w:proofErr w:type="gramStart"/>
      <w:r>
        <w:t>кст сл</w:t>
      </w:r>
      <w:proofErr w:type="gramEnd"/>
      <w:r>
        <w:t>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>
        <w:t>"2.1.6</w:t>
      </w:r>
      <w:r w:rsidRPr="002A76D9">
        <w:tab/>
        <w:t>категория источник</w:t>
      </w:r>
      <w:r>
        <w:t>а света, указанная в перечне в П</w:t>
      </w:r>
      <w:r w:rsidRPr="002A76D9">
        <w:t>ра</w:t>
      </w:r>
      <w:r>
        <w:t>вилах № 37</w:t>
      </w:r>
      <w:r>
        <w:br/>
        <w:t>и в Правилах № </w:t>
      </w:r>
      <w:r w:rsidRPr="002A76D9">
        <w:t>99 и в сериях поправок к ним, действующих на момент подачи заявки на офи</w:t>
      </w:r>
      <w:r>
        <w:t>циальное утверждение типа</w:t>
      </w:r>
      <w:proofErr w:type="gramStart"/>
      <w:r>
        <w:t>."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>Пункт 2.2.2</w:t>
      </w:r>
      <w:r w:rsidRPr="002A76D9">
        <w:t xml:space="preserve"> 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"2.2</w:t>
      </w:r>
      <w:r>
        <w:t>.2</w:t>
      </w:r>
      <w:r>
        <w:tab/>
        <w:t>краткое техническое описание</w:t>
      </w:r>
      <w:r w:rsidRPr="002A76D9">
        <w:t>…</w:t>
      </w:r>
    </w:p>
    <w:p w:rsidR="00AF20CB" w:rsidRPr="002A76D9" w:rsidRDefault="00AF20CB" w:rsidP="00AF20CB">
      <w:pPr>
        <w:pStyle w:val="SingleTxtGR"/>
        <w:tabs>
          <w:tab w:val="clear" w:pos="1701"/>
          <w:tab w:val="left" w:pos="1680"/>
        </w:tabs>
        <w:ind w:left="2814" w:hanging="1134"/>
      </w:pPr>
      <w:r>
        <w:tab/>
      </w:r>
      <w:r w:rsidRPr="002A76D9">
        <w:rPr>
          <w:lang w:val="en-GB"/>
        </w:rPr>
        <w:t>b</w:t>
      </w:r>
      <w:r w:rsidRPr="002A76D9">
        <w:t>)</w:t>
      </w:r>
      <w:r w:rsidRPr="002A76D9">
        <w:tab/>
      </w:r>
      <w:proofErr w:type="gramStart"/>
      <w:r w:rsidRPr="002A76D9">
        <w:t>чертеж</w:t>
      </w:r>
      <w:proofErr w:type="gramEnd"/>
      <w:r w:rsidRPr="002A76D9">
        <w:t xml:space="preserve"> с указанием размеров и основных электрических и фотометрических характеристик и номинальный световой поток.</w:t>
      </w:r>
      <w:r>
        <w:t>"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>Пункт 2.2.3.1</w:t>
      </w:r>
      <w:r w:rsidRPr="002A76D9">
        <w:t xml:space="preserve"> 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"2.2.3.1</w:t>
      </w:r>
      <w:r w:rsidRPr="002A76D9">
        <w:tab/>
        <w:t>Для официального утверждения фары: два ее образца каждого типа</w:t>
      </w:r>
      <w:r w:rsidRPr="002A76D9">
        <w:rPr>
          <w:lang w:val="en-GB"/>
        </w:rPr>
        <w:t> </w:t>
      </w:r>
      <w:r w:rsidRPr="002A76D9">
        <w:t>− один образец, предназначенный для установки с левой ст</w:t>
      </w:r>
      <w:r w:rsidRPr="002A76D9">
        <w:t>о</w:t>
      </w:r>
      <w:r w:rsidRPr="002A76D9">
        <w:t>роны транспортного средства, а другой − для установки с правой стороны транспортного средства − со стандартным газоразрядным источником света и одно регулирующее устройство каждого и</w:t>
      </w:r>
      <w:r w:rsidRPr="002A76D9">
        <w:t>с</w:t>
      </w:r>
      <w:r w:rsidRPr="002A76D9">
        <w:t>пользу</w:t>
      </w:r>
      <w:r>
        <w:t>емого типа, когда это применимо</w:t>
      </w:r>
      <w:proofErr w:type="gramStart"/>
      <w:r>
        <w:t>."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 2.3 </w:t>
      </w:r>
      <w:r w:rsidRPr="002A76D9">
        <w:t>исключить.</w:t>
      </w:r>
    </w:p>
    <w:p w:rsidR="00AF20CB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>Пункт 2.4,</w:t>
      </w:r>
      <w:r w:rsidRPr="002A76D9">
        <w:t xml:space="preserve"> изменить нумерацию на 2.3</w:t>
      </w:r>
      <w:r>
        <w:t>, а те</w:t>
      </w:r>
      <w:proofErr w:type="gramStart"/>
      <w:r>
        <w:t>кст сл</w:t>
      </w:r>
      <w:proofErr w:type="gramEnd"/>
      <w:r>
        <w:t>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>
        <w:t>"2.3</w:t>
      </w:r>
      <w:r w:rsidRPr="002A76D9">
        <w:tab/>
        <w:t xml:space="preserve">К материалам, из которых изготовлены </w:t>
      </w:r>
      <w:proofErr w:type="spellStart"/>
      <w:r w:rsidRPr="002A76D9">
        <w:t>рассеиватели</w:t>
      </w:r>
      <w:proofErr w:type="spellEnd"/>
      <w:r w:rsidRPr="002A76D9">
        <w:t>, прилага</w:t>
      </w:r>
      <w:r>
        <w:t>ется</w:t>
      </w:r>
      <w:r w:rsidRPr="002A76D9">
        <w:t xml:space="preserve"> протокол испытания этих материалов и покрытий, если они уже были подвергнуты испытаниям, с указанием их ха</w:t>
      </w:r>
      <w:r>
        <w:t>рактеристик</w:t>
      </w:r>
      <w:proofErr w:type="gramStart"/>
      <w:r>
        <w:t>."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>Пункт 3.1</w:t>
      </w:r>
      <w:r w:rsidRPr="002A76D9">
        <w:t xml:space="preserve"> 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"3.1</w:t>
      </w:r>
      <w:proofErr w:type="gramStart"/>
      <w:r w:rsidRPr="002A76D9">
        <w:tab/>
        <w:t>Н</w:t>
      </w:r>
      <w:proofErr w:type="gramEnd"/>
      <w:r w:rsidRPr="002A76D9">
        <w:t>а фарах</w:t>
      </w:r>
      <w:r>
        <w:t>,</w:t>
      </w:r>
      <w:r w:rsidRPr="002A76D9">
        <w:t xml:space="preserve"> представленных на официальное утверждение, указыв</w:t>
      </w:r>
      <w:r w:rsidRPr="002A76D9">
        <w:t>а</w:t>
      </w:r>
      <w:r>
        <w:t>ется четкие и</w:t>
      </w:r>
      <w:r w:rsidRPr="002A76D9">
        <w:t xml:space="preserve"> нестирае</w:t>
      </w:r>
      <w:r>
        <w:t xml:space="preserve">мые торговое наименование или товарный знак </w:t>
      </w:r>
      <w:r w:rsidRPr="002A76D9">
        <w:t>подателя заявки".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 3.5 </w:t>
      </w:r>
      <w:r w:rsidRPr="002A76D9">
        <w:t>исключить.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  <w:rPr>
          <w:i/>
        </w:rPr>
      </w:pPr>
      <w:r w:rsidRPr="002A76D9">
        <w:rPr>
          <w:i/>
        </w:rPr>
        <w:lastRenderedPageBreak/>
        <w:t xml:space="preserve">Пункты 3.6–3.7.2, </w:t>
      </w:r>
      <w:r w:rsidRPr="002A76D9">
        <w:t>изменить нумерацию на 3.5–3.6.2.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 4.2.2.8 </w:t>
      </w:r>
      <w:r w:rsidRPr="002A76D9">
        <w:t>исключить.</w:t>
      </w:r>
    </w:p>
    <w:p w:rsidR="00AF20CB" w:rsidRPr="002A76D9" w:rsidRDefault="00AF20CB" w:rsidP="00AF20CB">
      <w:pPr>
        <w:pStyle w:val="SingleTxtGR"/>
        <w:tabs>
          <w:tab w:val="clear" w:pos="1701"/>
        </w:tabs>
      </w:pPr>
      <w:r w:rsidRPr="002A76D9">
        <w:rPr>
          <w:i/>
        </w:rPr>
        <w:t xml:space="preserve">Пункт 4.2.5 </w:t>
      </w:r>
      <w:r w:rsidRPr="002A76D9">
        <w:t>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"4.2.5</w:t>
      </w:r>
      <w:r w:rsidRPr="002A76D9">
        <w:tab/>
        <w:t>Знаки и обозначения, упомянутые в пунктах 4.2.1−4.2.3 выше, должны быть четкими и нестираемыми. Они могут проставляться на внутренней или внешней части (прозрачной или непрозрачной) фары, которая не может быть отделена от прозрачной части фары, испускающей свет</w:t>
      </w:r>
      <w:proofErr w:type="gramStart"/>
      <w:r>
        <w:t>."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 4.3.2.2.2 </w:t>
      </w:r>
      <w:r w:rsidRPr="002A76D9">
        <w:t>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"4.3.2.2.2</w:t>
      </w:r>
      <w:r w:rsidRPr="002A76D9">
        <w:tab/>
        <w:t>либо на все устройство таким образом, чтобы каждый из сгрупп</w:t>
      </w:r>
      <w:r w:rsidRPr="002A76D9">
        <w:t>и</w:t>
      </w:r>
      <w:r w:rsidRPr="002A76D9">
        <w:t xml:space="preserve">рованных, комбинированных или совмещенных огней мог быть четко идентифицирован (см. </w:t>
      </w:r>
      <w:r w:rsidRPr="00CD0627">
        <w:t>возможные примеры на рис. 10,</w:t>
      </w:r>
      <w:r>
        <w:t xml:space="preserve"> 11</w:t>
      </w:r>
      <w:r>
        <w:br/>
      </w:r>
      <w:r w:rsidRPr="00CD0627">
        <w:t>и 12</w:t>
      </w:r>
      <w:r w:rsidRPr="002A76D9">
        <w:t xml:space="preserve"> в</w:t>
      </w:r>
      <w:r w:rsidRPr="002A76D9">
        <w:rPr>
          <w:lang w:val="en-GB"/>
        </w:rPr>
        <w:t> </w:t>
      </w:r>
      <w:r w:rsidRPr="002A76D9">
        <w:t>приложении 2)</w:t>
      </w:r>
      <w:r>
        <w:t>."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  <w:rPr>
          <w:i/>
        </w:rPr>
      </w:pPr>
      <w:r w:rsidRPr="002A76D9">
        <w:rPr>
          <w:i/>
        </w:rPr>
        <w:t xml:space="preserve">Пункт 4.3.2.5 </w:t>
      </w:r>
      <w:r w:rsidRPr="002A76D9">
        <w:t>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"4.3.2.5</w:t>
      </w:r>
      <w:r w:rsidRPr="002A76D9">
        <w:tab/>
        <w:t xml:space="preserve">Примеры знаков официального утверждения сгруппированных, комбинированных или совмещенных огней со всеми упомянутыми выше дополнительными обозначениями приведены </w:t>
      </w:r>
      <w:r w:rsidRPr="00CD0627">
        <w:t>на рис.</w:t>
      </w:r>
      <w:r w:rsidRPr="00CD0627">
        <w:rPr>
          <w:lang w:val="en-US"/>
        </w:rPr>
        <w:t> </w:t>
      </w:r>
      <w:r w:rsidRPr="00CD0627">
        <w:t xml:space="preserve">10, </w:t>
      </w:r>
      <w:r>
        <w:t>11</w:t>
      </w:r>
      <w:r>
        <w:br/>
      </w:r>
      <w:r w:rsidRPr="00CD0627">
        <w:t xml:space="preserve">и 12 </w:t>
      </w:r>
      <w:r w:rsidRPr="002A76D9">
        <w:t>в приложении 2 к настоящим Правилам</w:t>
      </w:r>
      <w:proofErr w:type="gramStart"/>
      <w:r>
        <w:t>."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 4.3.3.1 </w:t>
      </w:r>
      <w:r w:rsidRPr="002A76D9">
        <w:t>изменить следующим образом:</w:t>
      </w:r>
    </w:p>
    <w:p w:rsidR="00AF20CB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"4.3.3.1</w:t>
      </w:r>
      <w:r w:rsidRPr="002A76D9">
        <w:tab/>
        <w:t xml:space="preserve">Кроме того, в случае использования одного и того же </w:t>
      </w:r>
      <w:proofErr w:type="spellStart"/>
      <w:r w:rsidRPr="002A76D9">
        <w:t>рассеивателя</w:t>
      </w:r>
      <w:proofErr w:type="spellEnd"/>
      <w:r w:rsidRPr="002A76D9">
        <w:t xml:space="preserve"> на него могут наноситься знаки официального утверждения, отн</w:t>
      </w:r>
      <w:r w:rsidRPr="002A76D9">
        <w:t>о</w:t>
      </w:r>
      <w:r w:rsidRPr="002A76D9">
        <w:t>сящиеся к различным типам или группам фар, при условии, что на корпусе фары</w:t>
      </w:r>
      <w:proofErr w:type="gramStart"/>
      <w:r w:rsidRPr="002A76D9">
        <w:t>,</w:t>
      </w:r>
      <w:r w:rsidRPr="00DE7D07">
        <w:t xml:space="preserve"> </w:t>
      </w:r>
      <w:r w:rsidRPr="002A76D9">
        <w:t>…".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 4.3.3.2 </w:t>
      </w:r>
      <w:r w:rsidRPr="002A76D9">
        <w:t>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>
        <w:t>"4.3.3.2</w:t>
      </w:r>
      <w:r w:rsidRPr="002A76D9">
        <w:tab/>
        <w:t xml:space="preserve">На </w:t>
      </w:r>
      <w:r w:rsidRPr="00C85A2E">
        <w:t xml:space="preserve">рис. 10 </w:t>
      </w:r>
      <w:r w:rsidRPr="002A76D9">
        <w:t>в приложении 2 к настоящим Правилам прив</w:t>
      </w:r>
      <w:r>
        <w:t>едены</w:t>
      </w:r>
      <w:r w:rsidRPr="002A76D9">
        <w:t xml:space="preserve"> пр</w:t>
      </w:r>
      <w:r w:rsidRPr="002A76D9">
        <w:t>и</w:t>
      </w:r>
      <w:r w:rsidRPr="002A76D9">
        <w:t>меры схем знаков официального утверждения, относящихся</w:t>
      </w:r>
      <w:r>
        <w:t xml:space="preserve"> </w:t>
      </w:r>
      <w:r w:rsidRPr="002A76D9">
        <w:t>к уп</w:t>
      </w:r>
      <w:r w:rsidRPr="002A76D9">
        <w:t>о</w:t>
      </w:r>
      <w:r w:rsidRPr="002A76D9">
        <w:t>мянутому выше случаю</w:t>
      </w:r>
      <w:proofErr w:type="gramStart"/>
      <w:r>
        <w:t>."</w:t>
      </w:r>
      <w:proofErr w:type="gramEnd"/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 4.3.4 </w:t>
      </w:r>
      <w:r w:rsidRPr="002A76D9">
        <w:t>исключить.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rPr>
          <w:i/>
        </w:rPr>
        <w:t xml:space="preserve">Пункты 5.8–5.8.4 </w:t>
      </w:r>
      <w:r w:rsidRPr="002A76D9">
        <w:t>изменить следующим образом: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"5.8</w:t>
      </w:r>
      <w:r w:rsidRPr="002A76D9">
        <w:tab/>
      </w:r>
      <w:r w:rsidRPr="00797AF4">
        <w:t>Источники света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5.8.1</w:t>
      </w:r>
      <w:r w:rsidRPr="002A76D9">
        <w:tab/>
        <w:t>Официал</w:t>
      </w:r>
      <w:r>
        <w:t>ьное утверждение газоразрядног</w:t>
      </w:r>
      <w:proofErr w:type="gramStart"/>
      <w:r>
        <w:t>о</w:t>
      </w:r>
      <w:r w:rsidRPr="002A76D9">
        <w:t>(</w:t>
      </w:r>
      <w:proofErr w:type="spellStart"/>
      <w:proofErr w:type="gramEnd"/>
      <w:r w:rsidRPr="002A76D9">
        <w:t>ых</w:t>
      </w:r>
      <w:proofErr w:type="spellEnd"/>
      <w:r w:rsidRPr="002A76D9">
        <w:t>) источ</w:t>
      </w:r>
      <w:r>
        <w:t>ника</w:t>
      </w:r>
      <w:r w:rsidRPr="002A76D9">
        <w:t>(</w:t>
      </w:r>
      <w:proofErr w:type="spellStart"/>
      <w:r w:rsidRPr="002A76D9">
        <w:t>ов</w:t>
      </w:r>
      <w:proofErr w:type="spellEnd"/>
      <w:r w:rsidRPr="002A76D9">
        <w:t>) св</w:t>
      </w:r>
      <w:r w:rsidRPr="002A76D9">
        <w:t>е</w:t>
      </w:r>
      <w:r w:rsidRPr="002A76D9">
        <w:t>та, который(</w:t>
      </w:r>
      <w:proofErr w:type="spellStart"/>
      <w:r w:rsidRPr="002A76D9">
        <w:t>ые</w:t>
      </w:r>
      <w:proofErr w:type="spellEnd"/>
      <w:r w:rsidRPr="002A76D9">
        <w:t>) должен (должны) быть сменным(и) и используе</w:t>
      </w:r>
      <w:r w:rsidRPr="002A76D9">
        <w:t>т</w:t>
      </w:r>
      <w:r>
        <w:t>ся(</w:t>
      </w:r>
      <w:proofErr w:type="spellStart"/>
      <w:r w:rsidRPr="002A76D9">
        <w:t>ются</w:t>
      </w:r>
      <w:proofErr w:type="spellEnd"/>
      <w:r w:rsidRPr="002A76D9">
        <w:t>) в газоразрядных фарах</w:t>
      </w:r>
      <w:r>
        <w:t>,</w:t>
      </w:r>
      <w:r w:rsidRPr="002A76D9">
        <w:t xml:space="preserve"> </w:t>
      </w:r>
      <w:r>
        <w:t>предоставляе</w:t>
      </w:r>
      <w:r w:rsidRPr="002A76D9">
        <w:t>тся на основании Правил</w:t>
      </w:r>
      <w:r>
        <w:t xml:space="preserve"> </w:t>
      </w:r>
      <w:r w:rsidRPr="002A76D9">
        <w:t>№</w:t>
      </w:r>
      <w:r>
        <w:t xml:space="preserve"> </w:t>
      </w:r>
      <w:r w:rsidRPr="002A76D9">
        <w:t>99 и се</w:t>
      </w:r>
      <w:r>
        <w:t>рий</w:t>
      </w:r>
      <w:r w:rsidRPr="002A76D9">
        <w:t xml:space="preserve"> поправок к ним, действующих на момент п</w:t>
      </w:r>
      <w:r w:rsidRPr="002A76D9">
        <w:t>о</w:t>
      </w:r>
      <w:r w:rsidRPr="002A76D9">
        <w:t>дачи заявки на официальное утверждение типа.</w:t>
      </w:r>
    </w:p>
    <w:p w:rsidR="00AF20CB" w:rsidRPr="002A76D9" w:rsidRDefault="00AF20CB" w:rsidP="00AF20CB">
      <w:pPr>
        <w:pStyle w:val="SingleTxtGR"/>
        <w:tabs>
          <w:tab w:val="clear" w:pos="1701"/>
        </w:tabs>
        <w:ind w:left="2268" w:hanging="1134"/>
      </w:pPr>
      <w:r w:rsidRPr="002A76D9">
        <w:t>5.8.2</w:t>
      </w:r>
      <w:proofErr w:type="gramStart"/>
      <w:r w:rsidRPr="002A76D9">
        <w:tab/>
        <w:t>В</w:t>
      </w:r>
      <w:proofErr w:type="gramEnd"/>
      <w:r w:rsidRPr="002A76D9">
        <w:t xml:space="preserve"> том случае, если в газоразрядной фаре используется одна или б</w:t>
      </w:r>
      <w:r w:rsidRPr="002A76D9">
        <w:t>о</w:t>
      </w:r>
      <w:r w:rsidRPr="002A76D9">
        <w:t xml:space="preserve">лее (дополнительных) ламп накаливания, эти лампы накаливания </w:t>
      </w:r>
      <w:r w:rsidRPr="00CD0627">
        <w:t>должны быть сменными и</w:t>
      </w:r>
      <w:r w:rsidRPr="002A76D9">
        <w:t xml:space="preserve"> </w:t>
      </w:r>
      <w:r>
        <w:t xml:space="preserve">должны быть </w:t>
      </w:r>
      <w:r w:rsidRPr="002A76D9">
        <w:t>официально утвержд</w:t>
      </w:r>
      <w:r>
        <w:t>ены</w:t>
      </w:r>
      <w:r w:rsidRPr="002A76D9">
        <w:t xml:space="preserve"> в соответствии с Правилами</w:t>
      </w:r>
      <w:r>
        <w:t xml:space="preserve"> </w:t>
      </w:r>
      <w:r w:rsidRPr="002A76D9">
        <w:t>№</w:t>
      </w:r>
      <w:r>
        <w:t xml:space="preserve"> </w:t>
      </w:r>
      <w:r w:rsidRPr="002A76D9">
        <w:t>37 и се</w:t>
      </w:r>
      <w:r>
        <w:t>риями</w:t>
      </w:r>
      <w:r w:rsidRPr="002A76D9">
        <w:t xml:space="preserve"> поправок к ним, де</w:t>
      </w:r>
      <w:r w:rsidRPr="002A76D9">
        <w:t>й</w:t>
      </w:r>
      <w:r w:rsidRPr="002A76D9">
        <w:t>ствую</w:t>
      </w:r>
      <w:r>
        <w:t>щими</w:t>
      </w:r>
      <w:r w:rsidRPr="002A76D9">
        <w:t xml:space="preserve"> на момент подачи заявки на официальное утверждение типа</w:t>
      </w:r>
      <w:r>
        <w:t>,</w:t>
      </w:r>
      <w:r w:rsidRPr="002A76D9">
        <w:t xml:space="preserve"> при условии отсутствия ограничений на использование в Правилах</w:t>
      </w:r>
      <w:r>
        <w:t xml:space="preserve"> </w:t>
      </w:r>
      <w:r w:rsidRPr="002A76D9">
        <w:t>№</w:t>
      </w:r>
      <w:r>
        <w:t xml:space="preserve"> </w:t>
      </w:r>
      <w:r w:rsidRPr="002A76D9">
        <w:t>37 и се</w:t>
      </w:r>
      <w:r>
        <w:t>риях</w:t>
      </w:r>
      <w:r w:rsidRPr="002A76D9">
        <w:t xml:space="preserve"> поправок к ним, действующих на момент подачи заявки на официальное утверждение типа.</w:t>
      </w:r>
    </w:p>
    <w:p w:rsidR="00AF20CB" w:rsidRPr="006B2CB8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t>5.8.3</w:t>
      </w:r>
      <w:r w:rsidRPr="006B2CB8">
        <w:tab/>
        <w:t xml:space="preserve">Конструкция устройства должна быть такой, чтобы </w:t>
      </w:r>
      <w:r w:rsidRPr="00A05BF8">
        <w:t>источни</w:t>
      </w:r>
      <w:proofErr w:type="gramStart"/>
      <w:r w:rsidRPr="00A05BF8">
        <w:t>к(</w:t>
      </w:r>
      <w:proofErr w:type="gramEnd"/>
      <w:r w:rsidRPr="00A05BF8">
        <w:t xml:space="preserve">и) света мог(ли) </w:t>
      </w:r>
      <w:r w:rsidRPr="006B2CB8">
        <w:t>устанавливаться</w:t>
      </w:r>
      <w:r>
        <w:t xml:space="preserve"> только в правильном положении.</w:t>
      </w:r>
    </w:p>
    <w:p w:rsidR="00AF20CB" w:rsidRPr="006B2CB8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t>5.8.4</w:t>
      </w:r>
      <w:r w:rsidRPr="006B2CB8">
        <w:tab/>
        <w:t>Патрон лампы накаливания должен соответствовать размерным х</w:t>
      </w:r>
      <w:r w:rsidRPr="006B2CB8">
        <w:t>а</w:t>
      </w:r>
      <w:r w:rsidRPr="006B2CB8">
        <w:t>рактеристикам, указанным в публикации</w:t>
      </w:r>
      <w:r w:rsidRPr="006B2CB8">
        <w:rPr>
          <w:lang w:val="en-GB"/>
        </w:rPr>
        <w:t> </w:t>
      </w:r>
      <w:r w:rsidRPr="006B2CB8">
        <w:t xml:space="preserve">60061 </w:t>
      </w:r>
      <w:proofErr w:type="spellStart"/>
      <w:r w:rsidRPr="006B2CB8">
        <w:t>МЭК</w:t>
      </w:r>
      <w:proofErr w:type="spellEnd"/>
      <w:r w:rsidRPr="006B2CB8">
        <w:t xml:space="preserve"> в зависимости от используе</w:t>
      </w:r>
      <w:r>
        <w:t>мой категории источник</w:t>
      </w:r>
      <w:proofErr w:type="gramStart"/>
      <w:r>
        <w:t>а(</w:t>
      </w:r>
      <w:proofErr w:type="spellStart"/>
      <w:proofErr w:type="gramEnd"/>
      <w:r w:rsidRPr="006B2CB8">
        <w:t>ов</w:t>
      </w:r>
      <w:proofErr w:type="spellEnd"/>
      <w:r w:rsidRPr="006B2CB8">
        <w:t>) света. Источники света должны легко устанавливаться в фаре</w:t>
      </w:r>
      <w:proofErr w:type="gramStart"/>
      <w:r>
        <w:t>."</w:t>
      </w:r>
      <w:proofErr w:type="gramEnd"/>
    </w:p>
    <w:p w:rsidR="00AF20CB" w:rsidRPr="006B2CB8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rPr>
          <w:i/>
        </w:rPr>
        <w:t xml:space="preserve">Пункты 5.9–5.9.3 </w:t>
      </w:r>
      <w:r w:rsidRPr="006B2CB8">
        <w:t>исключить.</w:t>
      </w:r>
    </w:p>
    <w:p w:rsidR="00AF20CB" w:rsidRPr="006B2CB8" w:rsidRDefault="00AF20CB" w:rsidP="00AF20CB">
      <w:pPr>
        <w:pStyle w:val="SingleTxtGR"/>
        <w:rPr>
          <w:i/>
        </w:rPr>
      </w:pPr>
      <w:r w:rsidRPr="006B2CB8">
        <w:rPr>
          <w:i/>
        </w:rPr>
        <w:t xml:space="preserve">Пункты 5.10–5.13, </w:t>
      </w:r>
      <w:r w:rsidRPr="006B2CB8">
        <w:t>изменить нумерацию на 5.9</w:t>
      </w:r>
      <w:r w:rsidRPr="006B2CB8">
        <w:rPr>
          <w:i/>
        </w:rPr>
        <w:t>–</w:t>
      </w:r>
      <w:r w:rsidRPr="006B2CB8">
        <w:t>5.12.</w:t>
      </w:r>
    </w:p>
    <w:p w:rsidR="00AF20CB" w:rsidRPr="006B2CB8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rPr>
          <w:i/>
        </w:rPr>
        <w:t xml:space="preserve">Пункт 6.6.1 </w:t>
      </w:r>
      <w:r w:rsidRPr="006B2CB8">
        <w:t>изменить следующим образом:</w:t>
      </w:r>
    </w:p>
    <w:p w:rsidR="00AF20CB" w:rsidRPr="006B2CB8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t>"6.1.1</w:t>
      </w:r>
      <w:r w:rsidRPr="006B2CB8">
        <w:tab/>
        <w:t xml:space="preserve">Фары </w:t>
      </w:r>
      <w:r>
        <w:t>изготавливаются</w:t>
      </w:r>
      <w:r w:rsidRPr="006B2CB8">
        <w:t xml:space="preserve"> таким образом, чтобы при использовании соответствующего газоразрядного источника света они обеспеч</w:t>
      </w:r>
      <w:r w:rsidRPr="006B2CB8">
        <w:t>и</w:t>
      </w:r>
      <w:r w:rsidRPr="006B2CB8">
        <w:t>вали надлежащую освещенность, не вызывая ослепления при включении ближнего света, и хорошую освещенность при включ</w:t>
      </w:r>
      <w:r w:rsidRPr="006B2CB8">
        <w:t>е</w:t>
      </w:r>
      <w:r w:rsidRPr="006B2CB8">
        <w:t>нии дальнего света</w:t>
      </w:r>
      <w:proofErr w:type="gramStart"/>
      <w:r>
        <w:t>."</w:t>
      </w:r>
      <w:proofErr w:type="gramEnd"/>
    </w:p>
    <w:p w:rsidR="00AF20CB" w:rsidRPr="006B2CB8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rPr>
          <w:i/>
        </w:rPr>
        <w:t xml:space="preserve">Пункт 6.1.3 </w:t>
      </w:r>
      <w:r w:rsidRPr="006B2CB8">
        <w:t>изменить следующим образом:</w:t>
      </w:r>
    </w:p>
    <w:p w:rsidR="00AF20CB" w:rsidRPr="006B2CB8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t>"6.1.3</w:t>
      </w:r>
      <w:r w:rsidRPr="006B2CB8">
        <w:tab/>
      </w:r>
      <w:r>
        <w:t>Фара</w:t>
      </w:r>
      <w:r w:rsidRPr="006B2CB8">
        <w:t xml:space="preserve"> </w:t>
      </w:r>
      <w:r w:rsidRPr="00A05BF8">
        <w:t>считается приемлемой</w:t>
      </w:r>
      <w:r w:rsidRPr="006B2CB8">
        <w:t xml:space="preserve">, если </w:t>
      </w:r>
      <w:r>
        <w:t>соблюдены</w:t>
      </w:r>
      <w:r w:rsidRPr="006B2CB8">
        <w:t xml:space="preserve"> фотометрические </w:t>
      </w:r>
      <w:r>
        <w:t>требования</w:t>
      </w:r>
      <w:r w:rsidRPr="006B2CB8">
        <w:t>, изложенные в настоящем пункте</w:t>
      </w:r>
      <w:r w:rsidRPr="006B2CB8">
        <w:rPr>
          <w:lang w:val="en-GB"/>
        </w:rPr>
        <w:t> </w:t>
      </w:r>
      <w:r w:rsidRPr="006B2CB8">
        <w:t>6, в случае одного и</w:t>
      </w:r>
      <w:r w:rsidRPr="006B2CB8">
        <w:t>с</w:t>
      </w:r>
      <w:r w:rsidRPr="006B2CB8">
        <w:t xml:space="preserve">точника света, который подвергался кондиционированию в </w:t>
      </w:r>
      <w:proofErr w:type="gramStart"/>
      <w:r w:rsidRPr="006B2CB8">
        <w:t>течение</w:t>
      </w:r>
      <w:proofErr w:type="gramEnd"/>
      <w:r w:rsidRPr="006B2CB8">
        <w:t xml:space="preserve"> по крайней мере 15 циклов в соответствии с пунктом</w:t>
      </w:r>
      <w:r w:rsidRPr="006B2CB8">
        <w:rPr>
          <w:lang w:val="en-GB"/>
        </w:rPr>
        <w:t> </w:t>
      </w:r>
      <w:r>
        <w:t>4 прилож</w:t>
      </w:r>
      <w:r>
        <w:t>е</w:t>
      </w:r>
      <w:r>
        <w:t>ния </w:t>
      </w:r>
      <w:r w:rsidRPr="006B2CB8">
        <w:t>4 к Правилам</w:t>
      </w:r>
      <w:r w:rsidRPr="006B2CB8">
        <w:rPr>
          <w:lang w:val="en-GB"/>
        </w:rPr>
        <w:t> </w:t>
      </w:r>
      <w:r w:rsidRPr="006B2CB8">
        <w:t>№</w:t>
      </w:r>
      <w:r w:rsidRPr="006B2CB8">
        <w:rPr>
          <w:lang w:val="en-GB"/>
        </w:rPr>
        <w:t> </w:t>
      </w:r>
      <w:r w:rsidRPr="006B2CB8">
        <w:t>99.</w:t>
      </w:r>
    </w:p>
    <w:p w:rsidR="00AF20CB" w:rsidRDefault="00AF20CB" w:rsidP="00AF20CB">
      <w:pPr>
        <w:pStyle w:val="SingleTxtGR"/>
        <w:tabs>
          <w:tab w:val="clear" w:pos="1701"/>
        </w:tabs>
        <w:ind w:left="2268" w:hanging="1134"/>
      </w:pPr>
      <w:r w:rsidRPr="006B2CB8">
        <w:tab/>
        <w:t>И</w:t>
      </w:r>
      <w:r>
        <w:t>спользуется</w:t>
      </w:r>
      <w:r w:rsidRPr="006B2CB8">
        <w:t xml:space="preserve"> стандартный (эталонный) источник света, </w:t>
      </w:r>
      <w:r>
        <w:t xml:space="preserve">который официально утвержден на основании Правил № 99 и </w:t>
      </w:r>
      <w:r w:rsidRPr="006B2CB8">
        <w:t>световой п</w:t>
      </w:r>
      <w:r w:rsidRPr="006B2CB8">
        <w:t>о</w:t>
      </w:r>
      <w:r w:rsidRPr="006B2CB8">
        <w:t xml:space="preserve">ток которого может отличаться от </w:t>
      </w:r>
      <w:r>
        <w:t>фактического</w:t>
      </w:r>
      <w:r w:rsidRPr="006B2CB8">
        <w:t xml:space="preserve"> светового потока, указанного в Правилах № 99. В этом случае значения силы света корректирую</w:t>
      </w:r>
      <w:r>
        <w:t>т</w:t>
      </w:r>
      <w:r w:rsidRPr="006B2CB8">
        <w:t xml:space="preserve"> соответствующим образом</w:t>
      </w:r>
      <w:proofErr w:type="gramStart"/>
      <w:r w:rsidRPr="006B2CB8">
        <w:t>.</w:t>
      </w:r>
      <w:r>
        <w:t>"</w:t>
      </w:r>
      <w:proofErr w:type="gramEnd"/>
    </w:p>
    <w:p w:rsidR="00645C48" w:rsidRDefault="00645C48" w:rsidP="00AF20CB">
      <w:pPr>
        <w:pStyle w:val="SingleTxtGR"/>
        <w:tabs>
          <w:tab w:val="clear" w:pos="1701"/>
        </w:tabs>
        <w:ind w:left="2268" w:hanging="1134"/>
        <w:rPr>
          <w:i/>
        </w:rPr>
      </w:pPr>
      <w:r>
        <w:rPr>
          <w:i/>
        </w:rPr>
        <w:t>Приложение 1,</w:t>
      </w:r>
    </w:p>
    <w:p w:rsidR="00645C48" w:rsidRDefault="00645C48" w:rsidP="00AF20CB">
      <w:pPr>
        <w:pStyle w:val="SingleTxtGR"/>
        <w:tabs>
          <w:tab w:val="clear" w:pos="1701"/>
        </w:tabs>
        <w:ind w:left="2268" w:hanging="1134"/>
      </w:pPr>
      <w:r w:rsidRPr="00645C48">
        <w:rPr>
          <w:i/>
        </w:rPr>
        <w:t>Заголовок</w:t>
      </w:r>
      <w:r>
        <w:t xml:space="preserve"> изменить следующим образом:</w:t>
      </w:r>
    </w:p>
    <w:p w:rsidR="00645C48" w:rsidRPr="006B2CB8" w:rsidRDefault="00645C48" w:rsidP="00645C48">
      <w:pPr>
        <w:pStyle w:val="HChGR"/>
      </w:pPr>
      <w:r>
        <w:tab/>
      </w:r>
      <w:r>
        <w:tab/>
        <w:t>"</w:t>
      </w:r>
      <w:r w:rsidRPr="002A76D9">
        <w:t>Сообщение, касающееся официального утверждения, распространения</w:t>
      </w:r>
      <w:r>
        <w:t xml:space="preserve"> </w:t>
      </w:r>
      <w:r w:rsidRPr="002A76D9">
        <w:t>официального утверждения, отказа в официальном утверждении, отмены официального утверждения или окончательного прекращения производства типа фары на основании Правил № 98</w:t>
      </w:r>
      <w:r>
        <w:t>"</w:t>
      </w:r>
    </w:p>
    <w:p w:rsidR="00645C48" w:rsidRDefault="00AF20CB" w:rsidP="00AF20CB">
      <w:pPr>
        <w:pStyle w:val="SingleTxtGR"/>
        <w:rPr>
          <w:i/>
        </w:rPr>
      </w:pPr>
      <w:r>
        <w:rPr>
          <w:i/>
        </w:rPr>
        <w:t xml:space="preserve">Приложение 9, </w:t>
      </w:r>
    </w:p>
    <w:p w:rsidR="00AF20CB" w:rsidRPr="00E63DFB" w:rsidRDefault="00645C48" w:rsidP="00AF20CB">
      <w:pPr>
        <w:pStyle w:val="SingleTxtGR"/>
      </w:pPr>
      <w:r>
        <w:rPr>
          <w:i/>
        </w:rPr>
        <w:t xml:space="preserve">Пункт </w:t>
      </w:r>
      <w:r w:rsidR="00AF20CB">
        <w:rPr>
          <w:i/>
        </w:rPr>
        <w:t>4</w:t>
      </w:r>
      <w:r w:rsidR="00AF20CB" w:rsidRPr="00E63DFB">
        <w:rPr>
          <w:i/>
        </w:rPr>
        <w:t xml:space="preserve"> </w:t>
      </w:r>
      <w:r w:rsidR="00AF20CB" w:rsidRPr="00B11300">
        <w:t>изменить следующим образом:</w:t>
      </w:r>
    </w:p>
    <w:p w:rsidR="00AF20CB" w:rsidRPr="00EA0C30" w:rsidRDefault="00AF20CB" w:rsidP="00AF20CB">
      <w:pPr>
        <w:pStyle w:val="SingleTxtGR"/>
        <w:tabs>
          <w:tab w:val="clear" w:pos="1701"/>
        </w:tabs>
      </w:pPr>
      <w:r>
        <w:t>"4</w:t>
      </w:r>
      <w:r w:rsidRPr="00EA0C30">
        <w:t>.</w:t>
      </w:r>
      <w:r w:rsidRPr="00EA0C30">
        <w:tab/>
        <w:t>Изменение вертикального положения светотеневой границы</w:t>
      </w:r>
    </w:p>
    <w:p w:rsidR="00AF20CB" w:rsidRPr="00EA0C30" w:rsidRDefault="00AF20CB" w:rsidP="00AF20CB">
      <w:pPr>
        <w:pStyle w:val="SingleTxtGR"/>
        <w:tabs>
          <w:tab w:val="clear" w:pos="1701"/>
        </w:tabs>
        <w:ind w:left="2268" w:hanging="1134"/>
      </w:pPr>
      <w:r w:rsidRPr="00EA0C30">
        <w:tab/>
        <w:t>Для проверки изменения вертикального положения светотеневой границы под влиянием тепла применяется нижеследующая проц</w:t>
      </w:r>
      <w:r w:rsidRPr="00EA0C30">
        <w:t>е</w:t>
      </w:r>
      <w:r w:rsidRPr="00EA0C30">
        <w:t>дура.</w:t>
      </w:r>
    </w:p>
    <w:p w:rsidR="00AF20CB" w:rsidRPr="00EA0C30" w:rsidRDefault="00AF20CB" w:rsidP="00AF20CB">
      <w:pPr>
        <w:pStyle w:val="SingleTxtGR"/>
        <w:tabs>
          <w:tab w:val="clear" w:pos="1701"/>
        </w:tabs>
        <w:ind w:left="2268" w:hanging="1134"/>
      </w:pPr>
      <w:r w:rsidRPr="00EA0C30">
        <w:tab/>
      </w:r>
      <w:r>
        <w:t>П</w:t>
      </w:r>
      <w:r w:rsidRPr="00EA0C30">
        <w:t>роводится испытание одной из фар образца</w:t>
      </w:r>
      <w:proofErr w:type="gramStart"/>
      <w:r w:rsidRPr="00EA0C30">
        <w:t xml:space="preserve"> А</w:t>
      </w:r>
      <w:proofErr w:type="gramEnd"/>
      <w:r w:rsidRPr="00EA0C30">
        <w:t xml:space="preserve"> в соответствии с процедурой, описанной в пункте 2.1 приложения</w:t>
      </w:r>
      <w:r w:rsidRPr="00EA0C30">
        <w:rPr>
          <w:lang w:val="en-US"/>
        </w:rPr>
        <w:t> </w:t>
      </w:r>
      <w:r w:rsidRPr="00EA0C30">
        <w:t>4, после трехра</w:t>
      </w:r>
      <w:r w:rsidRPr="00EA0C30">
        <w:t>з</w:t>
      </w:r>
      <w:r w:rsidRPr="00EA0C30">
        <w:t>ового последовательного прохождения цикла, указанного в пун</w:t>
      </w:r>
      <w:r w:rsidRPr="00EA0C30">
        <w:t>к</w:t>
      </w:r>
      <w:r w:rsidRPr="00EA0C30">
        <w:t>те 2.2.2 приложения 4.</w:t>
      </w:r>
    </w:p>
    <w:p w:rsidR="00AF20CB" w:rsidRPr="00EA0C30" w:rsidRDefault="00AF20CB" w:rsidP="00AF20CB">
      <w:pPr>
        <w:pStyle w:val="SingleTxtGR"/>
        <w:tabs>
          <w:tab w:val="clear" w:pos="1701"/>
        </w:tabs>
        <w:ind w:left="2268" w:hanging="1134"/>
      </w:pPr>
      <w:r w:rsidRPr="00EA0C30">
        <w:tab/>
        <w:t xml:space="preserve">Фара считается приемлемой, если </w:t>
      </w:r>
      <w:r w:rsidRPr="00EA0C30">
        <w:sym w:font="Symbol" w:char="F044"/>
      </w:r>
      <w:r>
        <w:t>r не превышает 1,5 мрад в направлении вверх и 2,5 мрад в направлении вниз.</w:t>
      </w:r>
    </w:p>
    <w:p w:rsidR="00AF20CB" w:rsidRDefault="00AF20CB" w:rsidP="00AF20CB">
      <w:pPr>
        <w:pStyle w:val="SingleTxtGR"/>
        <w:tabs>
          <w:tab w:val="clear" w:pos="1701"/>
        </w:tabs>
        <w:ind w:left="2268" w:hanging="1134"/>
      </w:pPr>
      <w:r w:rsidRPr="00EA0C30">
        <w:tab/>
        <w:t xml:space="preserve">Если это значение превышает 1,5 мрад, но не превышает 2,0 мрад, </w:t>
      </w:r>
      <w:r>
        <w:t>в направлении вверх или превышает 2,5 мрад, но составляет не б</w:t>
      </w:r>
      <w:r>
        <w:t>о</w:t>
      </w:r>
      <w:r>
        <w:t>лее 3,0 мрад в направлении вниз, то проводится испытание второй фары образца</w:t>
      </w:r>
      <w:proofErr w:type="gramStart"/>
      <w:r>
        <w:t xml:space="preserve"> А</w:t>
      </w:r>
      <w:proofErr w:type="gramEnd"/>
      <w:r>
        <w:t>, причем среднеарифметическое абсолютных зн</w:t>
      </w:r>
      <w:r>
        <w:t>а</w:t>
      </w:r>
      <w:r>
        <w:t>чений, зарегистрированных на обоих образцах, не должно прев</w:t>
      </w:r>
      <w:r>
        <w:t>ы</w:t>
      </w:r>
      <w:r>
        <w:t>шать 1,5 мрад в направлении вверх и 2,5 мрад в направлении вниз.</w:t>
      </w:r>
    </w:p>
    <w:p w:rsidR="00AF20CB" w:rsidRPr="00EA0C30" w:rsidRDefault="00AF20CB" w:rsidP="00AF20CB">
      <w:pPr>
        <w:pStyle w:val="SingleTxtGR"/>
        <w:tabs>
          <w:tab w:val="clear" w:pos="1701"/>
        </w:tabs>
        <w:ind w:left="2268" w:hanging="1134"/>
      </w:pPr>
      <w:r w:rsidRPr="00EA0C30">
        <w:tab/>
        <w:t xml:space="preserve">Однако если </w:t>
      </w:r>
      <w:r>
        <w:t xml:space="preserve">это значение 1,5 мрад в направлении вверх и 2,5 мрад в направлении вниз не выдерживается для образца А, то обе фары образца </w:t>
      </w:r>
      <w:proofErr w:type="gramStart"/>
      <w:r>
        <w:t>В подвергаются</w:t>
      </w:r>
      <w:proofErr w:type="gramEnd"/>
      <w:r>
        <w:t xml:space="preserve"> одинаковой процедуре и </w:t>
      </w:r>
      <w:r w:rsidRPr="00EA0C30">
        <w:t xml:space="preserve">значение </w:t>
      </w:r>
      <w:r w:rsidRPr="00EA0C30">
        <w:sym w:font="Symbol" w:char="F044"/>
      </w:r>
      <w:r w:rsidRPr="00EA0C30">
        <w:t>r для каждой из них не должно превышать 1,5 мрад</w:t>
      </w:r>
      <w:r>
        <w:t xml:space="preserve"> в направлении вверх и 2,5 мрад в направлении вниз</w:t>
      </w:r>
      <w:r w:rsidRPr="00EA0C30">
        <w:t>."</w:t>
      </w:r>
    </w:p>
    <w:p w:rsidR="00AF20CB" w:rsidRPr="00C85A2E" w:rsidRDefault="00AF20CB" w:rsidP="00AF20C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C8B" w:rsidRDefault="00152C8B" w:rsidP="004152C8">
      <w:pPr>
        <w:pStyle w:val="SingleTxtGR"/>
        <w:rPr>
          <w:szCs w:val="24"/>
        </w:rPr>
      </w:pPr>
    </w:p>
    <w:sectPr w:rsidR="00152C8B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63" w:rsidRDefault="00213263">
      <w:r>
        <w:rPr>
          <w:lang w:val="en-US"/>
        </w:rPr>
        <w:tab/>
      </w:r>
      <w:r>
        <w:separator/>
      </w:r>
    </w:p>
  </w:endnote>
  <w:endnote w:type="continuationSeparator" w:id="0">
    <w:p w:rsidR="00213263" w:rsidRDefault="002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5A4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5A4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412BC7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63" w:rsidRPr="00F71F63" w:rsidRDefault="0021326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13263" w:rsidRPr="00F71F63" w:rsidRDefault="0021326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13263" w:rsidRPr="00635E86" w:rsidRDefault="00213263" w:rsidP="00635E86">
      <w:pPr>
        <w:pStyle w:val="Footer"/>
      </w:pPr>
    </w:p>
  </w:footnote>
  <w:footnote w:id="1">
    <w:p w:rsidR="002E27D0" w:rsidRPr="00AF112F" w:rsidRDefault="002E27D0" w:rsidP="002E27D0">
      <w:pPr>
        <w:pStyle w:val="FootnoteText"/>
        <w:rPr>
          <w:szCs w:val="18"/>
          <w:lang w:val="ru-RU"/>
        </w:rPr>
      </w:pPr>
      <w:r>
        <w:tab/>
      </w:r>
      <w:r w:rsidRPr="00AF112F">
        <w:rPr>
          <w:rStyle w:val="FootnoteReference"/>
          <w:szCs w:val="18"/>
          <w:vertAlign w:val="baseline"/>
          <w:lang w:val="ru-RU"/>
        </w:rPr>
        <w:t>*</w:t>
      </w:r>
      <w:r w:rsidRPr="00AF112F">
        <w:rPr>
          <w:szCs w:val="18"/>
          <w:lang w:val="ru-RU"/>
        </w:rPr>
        <w:tab/>
      </w:r>
      <w:r w:rsidRPr="00AF112F">
        <w:rPr>
          <w:lang w:val="ru-RU"/>
        </w:rPr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</w:t>
      </w:r>
      <w:r>
        <w:rPr>
          <w:lang w:val="ru-RU"/>
        </w:rPr>
        <w:t>транспортных средств, совершено</w:t>
      </w:r>
      <w:r w:rsidRPr="00AF112F">
        <w:rPr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645358">
    <w:pPr>
      <w:pStyle w:val="Header"/>
      <w:rPr>
        <w:lang w:val="en-US"/>
      </w:rPr>
    </w:pPr>
    <w:r w:rsidRPr="00D623A7">
      <w:t>E</w:t>
    </w:r>
    <w:r w:rsidR="004152C8" w:rsidRPr="004152C8">
      <w:t xml:space="preserve"> </w:t>
    </w:r>
    <w:r w:rsidR="004152C8" w:rsidRPr="00D623A7">
      <w:t>E/</w:t>
    </w:r>
    <w:proofErr w:type="spellStart"/>
    <w:r w:rsidR="004152C8" w:rsidRPr="00D623A7">
      <w:t>ECE</w:t>
    </w:r>
    <w:proofErr w:type="spellEnd"/>
    <w:r w:rsidR="004152C8" w:rsidRPr="00D623A7">
      <w:t>/324</w:t>
    </w:r>
    <w:r w:rsidR="004152C8">
      <w:t>/Rev.1/Add.97/Rev.3/Amend.4</w:t>
    </w:r>
    <w:r w:rsidR="004152C8">
      <w:br/>
    </w:r>
    <w:r w:rsidR="004152C8" w:rsidRPr="00D623A7">
      <w:t>E/</w:t>
    </w:r>
    <w:proofErr w:type="spellStart"/>
    <w:r w:rsidR="004152C8" w:rsidRPr="00D623A7">
      <w:t>ECE</w:t>
    </w:r>
    <w:proofErr w:type="spellEnd"/>
    <w:r w:rsidR="004152C8" w:rsidRPr="00D623A7">
      <w:t>/TRANS/505</w:t>
    </w:r>
    <w:r w:rsidR="004152C8">
      <w:t>/Rev.1/Add.97/Rev.3/Amend.4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4152C8" w:rsidRPr="00D623A7">
      <w:t>E/</w:t>
    </w:r>
    <w:proofErr w:type="spellStart"/>
    <w:r w:rsidR="004152C8" w:rsidRPr="00D623A7">
      <w:t>ECE</w:t>
    </w:r>
    <w:proofErr w:type="spellEnd"/>
    <w:r w:rsidR="004152C8" w:rsidRPr="00D623A7">
      <w:t>/324</w:t>
    </w:r>
    <w:r w:rsidR="004152C8">
      <w:t>/Rev.1/Add.97/Rev.3/Amend.4</w:t>
    </w:r>
    <w:r w:rsidR="004152C8">
      <w:br/>
    </w:r>
    <w:r w:rsidR="004152C8" w:rsidRPr="00D623A7">
      <w:t>E/</w:t>
    </w:r>
    <w:proofErr w:type="spellStart"/>
    <w:r w:rsidR="004152C8" w:rsidRPr="00D623A7">
      <w:t>ECE</w:t>
    </w:r>
    <w:proofErr w:type="spellEnd"/>
    <w:r w:rsidR="004152C8" w:rsidRPr="00D623A7">
      <w:t>/TRANS/505</w:t>
    </w:r>
    <w:r w:rsidR="004152C8">
      <w:t>/Rev.1/Add.97/Rev.3/Amend.4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52E9"/>
    <w:rsid w:val="00141432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294"/>
    <w:rsid w:val="001A75D5"/>
    <w:rsid w:val="001A7D40"/>
    <w:rsid w:val="001D07F7"/>
    <w:rsid w:val="001D159F"/>
    <w:rsid w:val="001D568D"/>
    <w:rsid w:val="001D7B8F"/>
    <w:rsid w:val="001E48EE"/>
    <w:rsid w:val="001F2A18"/>
    <w:rsid w:val="001F2D04"/>
    <w:rsid w:val="0020059C"/>
    <w:rsid w:val="002019BD"/>
    <w:rsid w:val="0020341D"/>
    <w:rsid w:val="00213263"/>
    <w:rsid w:val="00232D42"/>
    <w:rsid w:val="00237334"/>
    <w:rsid w:val="002444F4"/>
    <w:rsid w:val="002629A0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27D0"/>
    <w:rsid w:val="002E43F3"/>
    <w:rsid w:val="002F6F05"/>
    <w:rsid w:val="0030281E"/>
    <w:rsid w:val="003037A7"/>
    <w:rsid w:val="00316CA9"/>
    <w:rsid w:val="003215F5"/>
    <w:rsid w:val="00321C4D"/>
    <w:rsid w:val="0032510F"/>
    <w:rsid w:val="00325BF1"/>
    <w:rsid w:val="00332891"/>
    <w:rsid w:val="003529EE"/>
    <w:rsid w:val="00356BB2"/>
    <w:rsid w:val="00360477"/>
    <w:rsid w:val="00362876"/>
    <w:rsid w:val="003628CD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608F"/>
    <w:rsid w:val="00400CF6"/>
    <w:rsid w:val="00401CE0"/>
    <w:rsid w:val="00403234"/>
    <w:rsid w:val="00407AC3"/>
    <w:rsid w:val="0041298E"/>
    <w:rsid w:val="00412BC7"/>
    <w:rsid w:val="00414586"/>
    <w:rsid w:val="00415059"/>
    <w:rsid w:val="004152C8"/>
    <w:rsid w:val="00424FDD"/>
    <w:rsid w:val="004276E3"/>
    <w:rsid w:val="0043033D"/>
    <w:rsid w:val="00432F08"/>
    <w:rsid w:val="00435FE4"/>
    <w:rsid w:val="004421E8"/>
    <w:rsid w:val="00457634"/>
    <w:rsid w:val="00457F00"/>
    <w:rsid w:val="004654CB"/>
    <w:rsid w:val="00466720"/>
    <w:rsid w:val="00472A6B"/>
    <w:rsid w:val="00474F42"/>
    <w:rsid w:val="00480B6D"/>
    <w:rsid w:val="0048244D"/>
    <w:rsid w:val="00485190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91E8F"/>
    <w:rsid w:val="00593A04"/>
    <w:rsid w:val="005940D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F0F76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2A21"/>
    <w:rsid w:val="00645358"/>
    <w:rsid w:val="00645C48"/>
    <w:rsid w:val="006501A5"/>
    <w:rsid w:val="006567B2"/>
    <w:rsid w:val="00660341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5FF7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27B3"/>
    <w:rsid w:val="0073439E"/>
    <w:rsid w:val="00735602"/>
    <w:rsid w:val="0074063C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61C52"/>
    <w:rsid w:val="008645F8"/>
    <w:rsid w:val="00867299"/>
    <w:rsid w:val="008727A1"/>
    <w:rsid w:val="00882854"/>
    <w:rsid w:val="00886271"/>
    <w:rsid w:val="00886B0F"/>
    <w:rsid w:val="00891C0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7F13"/>
    <w:rsid w:val="008F3185"/>
    <w:rsid w:val="008F6CAF"/>
    <w:rsid w:val="009109AE"/>
    <w:rsid w:val="00915B0A"/>
    <w:rsid w:val="0091740B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2446A"/>
    <w:rsid w:val="00A2760F"/>
    <w:rsid w:val="00A4025D"/>
    <w:rsid w:val="00A572A2"/>
    <w:rsid w:val="00A6590E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783D"/>
    <w:rsid w:val="00AE38B9"/>
    <w:rsid w:val="00AE60E2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546D"/>
    <w:rsid w:val="00B4554D"/>
    <w:rsid w:val="00B522B4"/>
    <w:rsid w:val="00B52550"/>
    <w:rsid w:val="00B608DC"/>
    <w:rsid w:val="00B81305"/>
    <w:rsid w:val="00B843BC"/>
    <w:rsid w:val="00B85828"/>
    <w:rsid w:val="00B8744B"/>
    <w:rsid w:val="00BA3D5F"/>
    <w:rsid w:val="00BB17DC"/>
    <w:rsid w:val="00BB1AF9"/>
    <w:rsid w:val="00BB489A"/>
    <w:rsid w:val="00BB4C4A"/>
    <w:rsid w:val="00BD3CAE"/>
    <w:rsid w:val="00BD5F3C"/>
    <w:rsid w:val="00BE33B0"/>
    <w:rsid w:val="00C03544"/>
    <w:rsid w:val="00C07C0F"/>
    <w:rsid w:val="00C145C4"/>
    <w:rsid w:val="00C20D2F"/>
    <w:rsid w:val="00C2131B"/>
    <w:rsid w:val="00C25A42"/>
    <w:rsid w:val="00C37AF8"/>
    <w:rsid w:val="00C37C79"/>
    <w:rsid w:val="00C41BBC"/>
    <w:rsid w:val="00C51419"/>
    <w:rsid w:val="00C54056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26B13"/>
    <w:rsid w:val="00D26BB6"/>
    <w:rsid w:val="00D26CC1"/>
    <w:rsid w:val="00D26D7E"/>
    <w:rsid w:val="00D30662"/>
    <w:rsid w:val="00D3080C"/>
    <w:rsid w:val="00D32A0B"/>
    <w:rsid w:val="00D6236B"/>
    <w:rsid w:val="00D809D1"/>
    <w:rsid w:val="00D84ECF"/>
    <w:rsid w:val="00DA2851"/>
    <w:rsid w:val="00DA2B7C"/>
    <w:rsid w:val="00DA5686"/>
    <w:rsid w:val="00DB2FC0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120E3"/>
    <w:rsid w:val="00E2168B"/>
    <w:rsid w:val="00E27AD2"/>
    <w:rsid w:val="00E307D1"/>
    <w:rsid w:val="00E326E9"/>
    <w:rsid w:val="00E35346"/>
    <w:rsid w:val="00E46A04"/>
    <w:rsid w:val="00E4763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C0044"/>
    <w:rsid w:val="00EC5B76"/>
    <w:rsid w:val="00EC6B9F"/>
    <w:rsid w:val="00ED3F4A"/>
    <w:rsid w:val="00EE0A07"/>
    <w:rsid w:val="00EE516D"/>
    <w:rsid w:val="00EF1380"/>
    <w:rsid w:val="00EF4D1B"/>
    <w:rsid w:val="00EF7295"/>
    <w:rsid w:val="00F03297"/>
    <w:rsid w:val="00F069D1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A5522"/>
    <w:rsid w:val="00FA6E4A"/>
    <w:rsid w:val="00FB2B35"/>
    <w:rsid w:val="00FC227C"/>
    <w:rsid w:val="00FC4AE1"/>
    <w:rsid w:val="00FD01F2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7272-71C9-42E9-80AB-CC36FA8F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6962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2015-05-21T15:49:00Z</cp:lastPrinted>
  <dcterms:created xsi:type="dcterms:W3CDTF">2015-06-15T09:28:00Z</dcterms:created>
  <dcterms:modified xsi:type="dcterms:W3CDTF">2015-06-22T09:50:00Z</dcterms:modified>
</cp:coreProperties>
</file>