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A6794A">
            <w:pPr>
              <w:jc w:val="right"/>
            </w:pPr>
            <w:r w:rsidRPr="00014D07">
              <w:rPr>
                <w:sz w:val="40"/>
              </w:rPr>
              <w:t>E</w:t>
            </w:r>
            <w:r>
              <w:t>/ECE/324/</w:t>
            </w:r>
            <w:r w:rsidR="00841EB5">
              <w:t>Rev.</w:t>
            </w:r>
            <w:r w:rsidR="00A6794A">
              <w:t>1</w:t>
            </w:r>
            <w:r w:rsidR="00841EB5">
              <w:t>/</w:t>
            </w:r>
            <w:r>
              <w:t>Add.</w:t>
            </w:r>
            <w:r w:rsidR="00A6794A">
              <w:t>97</w:t>
            </w:r>
            <w:r>
              <w:t>/Rev.</w:t>
            </w:r>
            <w:r w:rsidR="00A6794A">
              <w:t>3</w:t>
            </w:r>
            <w:r>
              <w:t>/</w:t>
            </w:r>
            <w:r w:rsidR="00D623A7">
              <w:t>Amend.</w:t>
            </w:r>
            <w:r w:rsidR="00A6794A">
              <w:t>4</w:t>
            </w:r>
            <w:r>
              <w:t>−</w:t>
            </w:r>
            <w:r w:rsidRPr="00014D07">
              <w:rPr>
                <w:sz w:val="40"/>
              </w:rPr>
              <w:t>E</w:t>
            </w:r>
            <w:r>
              <w:t>/ECE/TRANS/505</w:t>
            </w:r>
            <w:r w:rsidR="00A6794A">
              <w:t>/Rev.1/Add.97/Rev.3/Amend.4</w:t>
            </w:r>
          </w:p>
        </w:tc>
      </w:tr>
      <w:tr w:rsidR="003C3936" w:rsidTr="00B05A5C">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Pr="00910522" w:rsidRDefault="00292B55" w:rsidP="00910522">
            <w:r>
              <w:t>22</w:t>
            </w:r>
            <w:bookmarkStart w:id="0" w:name="_GoBack"/>
            <w:bookmarkEnd w:id="0"/>
            <w:r w:rsidR="00910522">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A6794A">
        <w:t>97</w:t>
      </w:r>
      <w:r>
        <w:t xml:space="preserve"> – Regulation No.</w:t>
      </w:r>
      <w:r w:rsidR="00271A7F">
        <w:t xml:space="preserve"> </w:t>
      </w:r>
      <w:r w:rsidR="00A6794A">
        <w:t>98</w:t>
      </w:r>
    </w:p>
    <w:p w:rsidR="0064636E" w:rsidRPr="00014D07" w:rsidRDefault="0064636E" w:rsidP="0064636E">
      <w:pPr>
        <w:pStyle w:val="H1G"/>
      </w:pPr>
      <w:r>
        <w:tab/>
      </w:r>
      <w:r>
        <w:tab/>
      </w:r>
      <w:r w:rsidRPr="00014D07">
        <w:t xml:space="preserve">Revision </w:t>
      </w:r>
      <w:r w:rsidR="00A6794A">
        <w:t>3</w:t>
      </w:r>
      <w:r w:rsidRPr="00014D07">
        <w:t xml:space="preserve"> - </w:t>
      </w:r>
      <w:r w:rsidR="00D623A7">
        <w:t>Amendment</w:t>
      </w:r>
      <w:r w:rsidRPr="00014D07">
        <w:t xml:space="preserve"> </w:t>
      </w:r>
      <w:r w:rsidR="00A6794A">
        <w:t>4</w:t>
      </w:r>
    </w:p>
    <w:p w:rsidR="0064636E" w:rsidRPr="00272880" w:rsidRDefault="00D623A7" w:rsidP="0064636E">
      <w:pPr>
        <w:pStyle w:val="SingleTxtG"/>
        <w:spacing w:after="360"/>
        <w:rPr>
          <w:spacing w:val="-2"/>
        </w:rPr>
      </w:pPr>
      <w:r>
        <w:rPr>
          <w:spacing w:val="-2"/>
        </w:rPr>
        <w:t xml:space="preserve">Supplement </w:t>
      </w:r>
      <w:r w:rsidR="00A6794A">
        <w:rPr>
          <w:spacing w:val="-2"/>
        </w:rPr>
        <w:t>5</w:t>
      </w:r>
      <w:r>
        <w:rPr>
          <w:spacing w:val="-2"/>
        </w:rPr>
        <w:t xml:space="preserve"> to </w:t>
      </w:r>
      <w:r w:rsidR="00271A7F">
        <w:rPr>
          <w:spacing w:val="-2"/>
        </w:rPr>
        <w:t xml:space="preserve">the </w:t>
      </w:r>
      <w:r w:rsidR="00A6794A">
        <w:rPr>
          <w:spacing w:val="-2"/>
        </w:rPr>
        <w:t>01</w:t>
      </w:r>
      <w:r>
        <w:rPr>
          <w:spacing w:val="-2"/>
        </w:rPr>
        <w:t xml:space="preserve"> series of amendments</w:t>
      </w:r>
      <w:r w:rsidR="0064636E" w:rsidRPr="00272880">
        <w:rPr>
          <w:spacing w:val="-2"/>
        </w:rPr>
        <w:t xml:space="preserve"> – Date of entry into force: </w:t>
      </w:r>
      <w:r w:rsidR="00B05A5C">
        <w:t>15 June 2015</w:t>
      </w:r>
    </w:p>
    <w:p w:rsidR="0064636E" w:rsidRDefault="0064636E" w:rsidP="0064636E">
      <w:pPr>
        <w:pStyle w:val="H1G"/>
        <w:rPr>
          <w:lang w:val="en-US"/>
        </w:rPr>
      </w:pPr>
      <w:r w:rsidRPr="00A6794A">
        <w:rPr>
          <w:rStyle w:val="H1GChar"/>
          <w:b/>
        </w:rPr>
        <w:tab/>
      </w:r>
      <w:r w:rsidRPr="00A6794A">
        <w:rPr>
          <w:rStyle w:val="H1GChar"/>
          <w:b/>
        </w:rPr>
        <w:tab/>
      </w:r>
      <w:r w:rsidR="00A6794A" w:rsidRPr="00A6794A">
        <w:rPr>
          <w:rStyle w:val="H1GChar"/>
          <w:b/>
        </w:rPr>
        <w:t>Uniform provisions concerning the approval of motor vehicle headlamps equipped with gas-discharge light sources</w:t>
      </w:r>
    </w:p>
    <w:p w:rsidR="00B05A5C" w:rsidRDefault="00B05A5C" w:rsidP="00B05A5C">
      <w:pPr>
        <w:pStyle w:val="SingleTxtG"/>
      </w:pPr>
      <w:r w:rsidRPr="00B05A5C">
        <w:t xml:space="preserve">This document is meant purely as documentation tool. The authentic and legal binding text is: </w:t>
      </w:r>
      <w:proofErr w:type="spellStart"/>
      <w:r w:rsidRPr="00B05A5C">
        <w:t>ECE</w:t>
      </w:r>
      <w:proofErr w:type="spellEnd"/>
      <w:r w:rsidRPr="00B05A5C">
        <w:t>/TRANS/WP.29/201</w:t>
      </w:r>
      <w:r>
        <w:t>3</w:t>
      </w:r>
      <w:r w:rsidRPr="00B05A5C">
        <w:t>/</w:t>
      </w:r>
      <w:r>
        <w:t>90/Rev.1</w:t>
      </w:r>
      <w:r w:rsidR="00AC613C">
        <w:t>.</w:t>
      </w:r>
    </w:p>
    <w:p w:rsidR="000D3A4F" w:rsidRPr="000D3A4F" w:rsidRDefault="00292B55"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A6794A" w:rsidRDefault="00B05A5C" w:rsidP="00A6794A">
      <w:pPr>
        <w:spacing w:after="120" w:line="240" w:lineRule="auto"/>
        <w:ind w:left="2268" w:right="1133" w:hanging="1134"/>
        <w:jc w:val="both"/>
        <w:rPr>
          <w:i/>
        </w:rPr>
      </w:pPr>
      <w:r>
        <w:rPr>
          <w:i/>
        </w:rPr>
        <w:t xml:space="preserve">Table of </w:t>
      </w:r>
      <w:r w:rsidR="00A6794A" w:rsidRPr="00A6794A">
        <w:rPr>
          <w:i/>
        </w:rPr>
        <w:t xml:space="preserve">Contents, </w:t>
      </w:r>
    </w:p>
    <w:p w:rsidR="00A6794A" w:rsidRPr="00A6794A" w:rsidRDefault="00B05A5C" w:rsidP="00A6794A">
      <w:pPr>
        <w:spacing w:after="120" w:line="240" w:lineRule="auto"/>
        <w:ind w:left="2268" w:right="1133" w:hanging="1134"/>
        <w:jc w:val="both"/>
      </w:pPr>
      <w:r>
        <w:rPr>
          <w:i/>
        </w:rPr>
        <w:t>List of a</w:t>
      </w:r>
      <w:r w:rsidR="00A6794A" w:rsidRPr="00A6794A">
        <w:rPr>
          <w:i/>
        </w:rPr>
        <w:t>nnex</w:t>
      </w:r>
      <w:r>
        <w:rPr>
          <w:i/>
        </w:rPr>
        <w:t>es</w:t>
      </w:r>
      <w:r w:rsidR="00A6794A" w:rsidRPr="00A6794A">
        <w:rPr>
          <w:i/>
        </w:rPr>
        <w:t xml:space="preserve">, </w:t>
      </w:r>
      <w:r w:rsidR="00A6794A" w:rsidRPr="00A6794A">
        <w:t>amend the content to read:</w:t>
      </w:r>
    </w:p>
    <w:p w:rsidR="00A6794A" w:rsidRPr="00A6794A" w:rsidRDefault="00A6794A" w:rsidP="00A6794A">
      <w:pPr>
        <w:tabs>
          <w:tab w:val="right" w:leader="dot" w:pos="8505"/>
          <w:tab w:val="right" w:pos="9639"/>
        </w:tabs>
        <w:spacing w:after="120" w:line="240" w:lineRule="auto"/>
        <w:ind w:left="2268" w:right="1133" w:hanging="1134"/>
        <w:jc w:val="both"/>
        <w:rPr>
          <w:rFonts w:eastAsia="SimSun"/>
        </w:rPr>
      </w:pPr>
      <w:r w:rsidRPr="00A6794A">
        <w:rPr>
          <w:rFonts w:eastAsia="SimSun"/>
        </w:rPr>
        <w:t>"1</w:t>
      </w:r>
      <w:r w:rsidRPr="00A6794A">
        <w:rPr>
          <w:rFonts w:eastAsia="SimSun"/>
        </w:rPr>
        <w:tab/>
        <w:t>Communication concerning the approval or extension or refusal or withdrawal of approval or production definitively discontinued of a type of headlamp pursuant to Regulation No. 98</w:t>
      </w:r>
    </w:p>
    <w:p w:rsidR="00A6794A" w:rsidRPr="00A6794A" w:rsidRDefault="00A6794A" w:rsidP="00A6794A">
      <w:pPr>
        <w:tabs>
          <w:tab w:val="right" w:leader="dot" w:pos="8505"/>
          <w:tab w:val="right" w:pos="9639"/>
        </w:tabs>
        <w:spacing w:after="120" w:line="240" w:lineRule="auto"/>
        <w:ind w:left="2268" w:right="1133"/>
        <w:jc w:val="both"/>
        <w:rPr>
          <w:rFonts w:eastAsia="SimSun"/>
        </w:rPr>
      </w:pPr>
      <w:r w:rsidRPr="00A6794A">
        <w:rPr>
          <w:rFonts w:eastAsia="SimSun"/>
        </w:rPr>
        <w:t>…"</w:t>
      </w:r>
    </w:p>
    <w:p w:rsidR="00A6794A" w:rsidRDefault="00A6794A" w:rsidP="00A6794A">
      <w:pPr>
        <w:spacing w:after="120" w:line="240" w:lineRule="auto"/>
        <w:ind w:left="2268" w:right="1133" w:hanging="1134"/>
        <w:jc w:val="both"/>
        <w:rPr>
          <w:rFonts w:eastAsia="SimSun"/>
          <w:i/>
        </w:rPr>
      </w:pPr>
      <w:r>
        <w:rPr>
          <w:rFonts w:eastAsia="SimSun"/>
          <w:i/>
        </w:rPr>
        <w:t>Text of the Regulation,</w:t>
      </w:r>
    </w:p>
    <w:p w:rsidR="00A6794A" w:rsidRPr="00A6794A" w:rsidRDefault="00B05A5C" w:rsidP="00A6794A">
      <w:pPr>
        <w:spacing w:after="120" w:line="240" w:lineRule="auto"/>
        <w:ind w:left="2268" w:right="1133" w:hanging="1134"/>
        <w:jc w:val="both"/>
        <w:rPr>
          <w:rFonts w:eastAsia="SimSun"/>
        </w:rPr>
      </w:pPr>
      <w:r>
        <w:rPr>
          <w:rFonts w:eastAsia="SimSun"/>
        </w:rPr>
        <w:t>A</w:t>
      </w:r>
      <w:r w:rsidR="00A6794A" w:rsidRPr="00A6794A">
        <w:rPr>
          <w:rFonts w:eastAsia="SimSun"/>
        </w:rPr>
        <w:t xml:space="preserve">mend </w:t>
      </w:r>
      <w:r>
        <w:rPr>
          <w:rFonts w:eastAsia="SimSun"/>
        </w:rPr>
        <w:t xml:space="preserve">"Scope" </w:t>
      </w:r>
      <w:r w:rsidR="00A6794A" w:rsidRPr="00A6794A">
        <w:rPr>
          <w:rFonts w:eastAsia="SimSun"/>
        </w:rPr>
        <w:t>to read:</w:t>
      </w:r>
    </w:p>
    <w:p w:rsidR="00A6794A" w:rsidRPr="00A6794A" w:rsidRDefault="00A6794A" w:rsidP="00A6794A">
      <w:pPr>
        <w:pStyle w:val="HChG"/>
      </w:pPr>
      <w:r>
        <w:tab/>
      </w:r>
      <w:r>
        <w:tab/>
        <w:t>"</w:t>
      </w:r>
      <w:r>
        <w:tab/>
      </w:r>
      <w:r>
        <w:tab/>
      </w:r>
      <w:r w:rsidRPr="00A6794A">
        <w:t>Scope</w:t>
      </w:r>
      <w:r w:rsidRPr="00A6794A">
        <w:rPr>
          <w:vertAlign w:val="superscript"/>
        </w:rPr>
        <w:t>1</w:t>
      </w:r>
    </w:p>
    <w:p w:rsidR="00A6794A" w:rsidRPr="00A6794A" w:rsidRDefault="00A6794A" w:rsidP="00A6794A">
      <w:pPr>
        <w:spacing w:after="120" w:line="240" w:lineRule="auto"/>
        <w:ind w:left="2268" w:right="1133"/>
        <w:jc w:val="both"/>
      </w:pPr>
      <w:r w:rsidRPr="00A6794A">
        <w:t>This Regulation applies to headlamps utilizing gas-discharge light sources, for vehicles of categories, M and N and L</w:t>
      </w:r>
      <w:r w:rsidRPr="00A6794A">
        <w:rPr>
          <w:vertAlign w:val="subscript"/>
        </w:rPr>
        <w:t>3</w:t>
      </w:r>
      <w:r w:rsidRPr="00A6794A">
        <w:t>."</w:t>
      </w:r>
    </w:p>
    <w:p w:rsidR="00A6794A" w:rsidRPr="00A6794A" w:rsidRDefault="00A6794A" w:rsidP="00A6794A">
      <w:pPr>
        <w:spacing w:after="120" w:line="240" w:lineRule="auto"/>
        <w:ind w:left="2268" w:right="1133" w:hanging="1134"/>
        <w:jc w:val="both"/>
        <w:rPr>
          <w:rFonts w:eastAsia="SimSun"/>
        </w:rPr>
      </w:pPr>
      <w:r w:rsidRPr="00A6794A">
        <w:rPr>
          <w:rFonts w:eastAsia="SimSun"/>
          <w:i/>
        </w:rPr>
        <w:t xml:space="preserve">Paragraph 2.1.6., </w:t>
      </w:r>
      <w:r w:rsidRPr="00A6794A">
        <w:rPr>
          <w:rFonts w:eastAsia="SimSun"/>
        </w:rPr>
        <w:t>shall be deleted.</w:t>
      </w:r>
    </w:p>
    <w:p w:rsidR="00A6794A" w:rsidRPr="00A6794A" w:rsidRDefault="00A6794A" w:rsidP="00A6794A">
      <w:pPr>
        <w:spacing w:after="120" w:line="240" w:lineRule="auto"/>
        <w:ind w:left="2268" w:right="1133" w:hanging="1134"/>
        <w:jc w:val="both"/>
        <w:rPr>
          <w:rFonts w:eastAsia="SimSun"/>
        </w:rPr>
      </w:pPr>
      <w:r w:rsidRPr="00A6794A">
        <w:rPr>
          <w:rFonts w:eastAsia="SimSun"/>
          <w:i/>
        </w:rPr>
        <w:t xml:space="preserve">Paragraph 2.1.7., </w:t>
      </w:r>
      <w:r w:rsidRPr="00A6794A">
        <w:rPr>
          <w:rFonts w:eastAsia="SimSun"/>
        </w:rPr>
        <w:t xml:space="preserve">renumber as paragraph 2.1.6. </w:t>
      </w:r>
      <w:proofErr w:type="gramStart"/>
      <w:r w:rsidRPr="00A6794A">
        <w:rPr>
          <w:rFonts w:eastAsia="SimSun"/>
        </w:rPr>
        <w:t>and</w:t>
      </w:r>
      <w:proofErr w:type="gramEnd"/>
      <w:r w:rsidRPr="00A6794A">
        <w:rPr>
          <w:rFonts w:eastAsia="SimSun"/>
        </w:rPr>
        <w:t xml:space="preserve"> amend to read:</w:t>
      </w:r>
    </w:p>
    <w:p w:rsidR="00A6794A" w:rsidRPr="00A6794A" w:rsidRDefault="00A6794A" w:rsidP="00A6794A">
      <w:pPr>
        <w:spacing w:after="120" w:line="240" w:lineRule="auto"/>
        <w:ind w:left="2268" w:right="1133" w:hanging="1134"/>
        <w:jc w:val="both"/>
      </w:pPr>
      <w:r w:rsidRPr="00A6794A">
        <w:t>"2.1.6.</w:t>
      </w:r>
      <w:r w:rsidRPr="00A6794A">
        <w:tab/>
        <w:t>The category of light source as listed in Regulations Nos. 37 or 99 and their series of amendments in force at the time of application for type approval."</w:t>
      </w:r>
    </w:p>
    <w:p w:rsidR="00A6794A" w:rsidRPr="00A6794A" w:rsidRDefault="00A6794A" w:rsidP="00A6794A">
      <w:pPr>
        <w:spacing w:after="120" w:line="240" w:lineRule="auto"/>
        <w:ind w:left="2268" w:right="1133" w:hanging="1134"/>
        <w:jc w:val="both"/>
        <w:rPr>
          <w:rFonts w:eastAsia="SimSun"/>
        </w:rPr>
      </w:pPr>
      <w:r w:rsidRPr="00A6794A">
        <w:rPr>
          <w:rFonts w:eastAsia="SimSun"/>
          <w:i/>
        </w:rPr>
        <w:t>Paragraph 2.2.2.,</w:t>
      </w:r>
      <w:r w:rsidRPr="00A6794A">
        <w:rPr>
          <w:rFonts w:eastAsia="SimSun"/>
        </w:rPr>
        <w:t xml:space="preserve"> amend to read:</w:t>
      </w:r>
    </w:p>
    <w:p w:rsidR="00A6794A" w:rsidRPr="00A6794A" w:rsidRDefault="00A6794A" w:rsidP="00A6794A">
      <w:pPr>
        <w:widowControl w:val="0"/>
        <w:spacing w:after="120" w:line="240" w:lineRule="auto"/>
        <w:ind w:left="2268" w:right="1133" w:hanging="1134"/>
        <w:jc w:val="both"/>
      </w:pPr>
      <w:r w:rsidRPr="00A6794A">
        <w:t>"2.2.2.</w:t>
      </w:r>
      <w:r w:rsidRPr="00A6794A">
        <w:tab/>
        <w:t>A brief technical …</w:t>
      </w:r>
    </w:p>
    <w:p w:rsidR="00A6794A" w:rsidRPr="00A6794A" w:rsidRDefault="00A6794A" w:rsidP="00A6794A">
      <w:pPr>
        <w:spacing w:after="120" w:line="240" w:lineRule="auto"/>
        <w:ind w:left="2835" w:right="1133" w:hanging="567"/>
        <w:jc w:val="both"/>
      </w:pPr>
      <w:proofErr w:type="gramStart"/>
      <w:r w:rsidRPr="00A6794A">
        <w:t>(b)</w:t>
      </w:r>
      <w:r w:rsidRPr="00A6794A">
        <w:tab/>
        <w:t>A drawing with dimensions and the basic electrical and photometric values and the objective luminous flux."</w:t>
      </w:r>
      <w:proofErr w:type="gramEnd"/>
    </w:p>
    <w:p w:rsidR="00A6794A" w:rsidRPr="00A6794A" w:rsidRDefault="00A6794A" w:rsidP="00A6794A">
      <w:pPr>
        <w:spacing w:after="120" w:line="240" w:lineRule="auto"/>
        <w:ind w:left="2268" w:right="1133" w:hanging="1134"/>
        <w:jc w:val="both"/>
        <w:rPr>
          <w:rFonts w:eastAsia="SimSun"/>
        </w:rPr>
      </w:pPr>
      <w:r w:rsidRPr="00A6794A">
        <w:rPr>
          <w:rFonts w:eastAsia="SimSun"/>
          <w:i/>
        </w:rPr>
        <w:t>Paragraph 2.2.3.1.,</w:t>
      </w:r>
      <w:r w:rsidRPr="00A6794A">
        <w:rPr>
          <w:rFonts w:eastAsia="SimSun"/>
        </w:rPr>
        <w:t xml:space="preserve"> amend to read:</w:t>
      </w:r>
    </w:p>
    <w:p w:rsidR="00A6794A" w:rsidRPr="00A6794A" w:rsidRDefault="00A6794A" w:rsidP="00A6794A">
      <w:pPr>
        <w:widowControl w:val="0"/>
        <w:spacing w:after="120" w:line="240" w:lineRule="auto"/>
        <w:ind w:left="2268" w:right="1133" w:hanging="1134"/>
        <w:jc w:val="both"/>
      </w:pPr>
      <w:r w:rsidRPr="00A6794A">
        <w:t>"2.2.3.1.</w:t>
      </w:r>
      <w:r w:rsidRPr="00A6794A">
        <w:tab/>
        <w:t xml:space="preserve">For approval of a headlamp, two samples </w:t>
      </w:r>
      <w:r w:rsidRPr="00A6794A">
        <w:rPr>
          <w:bCs/>
        </w:rPr>
        <w:t>of</w:t>
      </w:r>
      <w:r w:rsidRPr="00A6794A">
        <w:t xml:space="preserve"> each </w:t>
      </w:r>
      <w:r w:rsidRPr="00A6794A">
        <w:rPr>
          <w:bCs/>
        </w:rPr>
        <w:t>type of headlamp</w:t>
      </w:r>
      <w:r w:rsidRPr="00A6794A">
        <w:t>, one sample intended for the installation on the left side of the vehicle and one sample intended for the installation of the right side of the vehicle, with standard gas-discharge light source and one ballast of each type to be used, where applicable."</w:t>
      </w:r>
    </w:p>
    <w:p w:rsidR="00A6794A" w:rsidRPr="00A6794A" w:rsidRDefault="00A6794A" w:rsidP="00A6794A">
      <w:pPr>
        <w:spacing w:after="120" w:line="240" w:lineRule="auto"/>
        <w:ind w:left="2268" w:right="1133" w:hanging="1134"/>
        <w:jc w:val="both"/>
        <w:rPr>
          <w:rFonts w:eastAsia="SimSun"/>
        </w:rPr>
      </w:pPr>
      <w:r w:rsidRPr="00A6794A">
        <w:rPr>
          <w:rFonts w:eastAsia="SimSun"/>
          <w:i/>
        </w:rPr>
        <w:t xml:space="preserve">Paragraph 2.3., </w:t>
      </w:r>
      <w:r w:rsidRPr="00A6794A">
        <w:rPr>
          <w:rFonts w:eastAsia="SimSun"/>
        </w:rPr>
        <w:t>shall be deleted.</w:t>
      </w:r>
    </w:p>
    <w:p w:rsidR="00A6794A" w:rsidRPr="00A6794A" w:rsidRDefault="00A6794A" w:rsidP="00A6794A">
      <w:pPr>
        <w:spacing w:after="120" w:line="240" w:lineRule="auto"/>
        <w:ind w:left="2268" w:right="1133" w:hanging="1134"/>
        <w:jc w:val="both"/>
        <w:rPr>
          <w:rFonts w:eastAsia="SimSun"/>
        </w:rPr>
      </w:pPr>
      <w:r w:rsidRPr="00A6794A">
        <w:rPr>
          <w:rFonts w:eastAsia="SimSun"/>
          <w:i/>
        </w:rPr>
        <w:t xml:space="preserve">Paragraph 2.4., </w:t>
      </w:r>
      <w:r w:rsidRPr="00A6794A">
        <w:rPr>
          <w:rFonts w:eastAsia="SimSun"/>
        </w:rPr>
        <w:t xml:space="preserve">renumber as paragraph 2.3. </w:t>
      </w:r>
      <w:proofErr w:type="gramStart"/>
      <w:r w:rsidRPr="00A6794A">
        <w:rPr>
          <w:rFonts w:eastAsia="SimSun"/>
        </w:rPr>
        <w:t>and</w:t>
      </w:r>
      <w:proofErr w:type="gramEnd"/>
      <w:r w:rsidRPr="00A6794A">
        <w:rPr>
          <w:rFonts w:eastAsia="SimSun"/>
        </w:rPr>
        <w:t xml:space="preserve"> amend to read:</w:t>
      </w:r>
    </w:p>
    <w:p w:rsidR="00A6794A" w:rsidRPr="00A6794A" w:rsidRDefault="00A6794A" w:rsidP="00A6794A">
      <w:pPr>
        <w:spacing w:after="120" w:line="240" w:lineRule="auto"/>
        <w:ind w:left="2268" w:right="1133" w:hanging="1134"/>
        <w:jc w:val="both"/>
      </w:pPr>
      <w:r w:rsidRPr="00A6794A">
        <w:t>"2.3.</w:t>
      </w:r>
      <w:r w:rsidRPr="00A6794A">
        <w:tab/>
        <w:t xml:space="preserve">The materials making up the lens shall be accompanied by the test report of the characteristics of these materials and coatings if they have already been tested." </w:t>
      </w:r>
    </w:p>
    <w:p w:rsidR="00A6794A" w:rsidRPr="00A6794A" w:rsidRDefault="00A6794A" w:rsidP="00A6794A">
      <w:pPr>
        <w:spacing w:after="120" w:line="240" w:lineRule="auto"/>
        <w:ind w:left="2268" w:right="1133" w:hanging="1134"/>
        <w:jc w:val="both"/>
        <w:rPr>
          <w:rFonts w:eastAsia="SimSun"/>
        </w:rPr>
      </w:pPr>
      <w:r w:rsidRPr="00A6794A">
        <w:rPr>
          <w:rFonts w:eastAsia="SimSun"/>
          <w:i/>
        </w:rPr>
        <w:t>Paragraph 3.1.,</w:t>
      </w:r>
      <w:r w:rsidRPr="00A6794A">
        <w:rPr>
          <w:rFonts w:eastAsia="SimSun"/>
        </w:rPr>
        <w:t xml:space="preserve"> amend to read:</w:t>
      </w:r>
    </w:p>
    <w:p w:rsidR="00A6794A" w:rsidRPr="00A6794A" w:rsidRDefault="00A6794A" w:rsidP="00A6794A">
      <w:pPr>
        <w:spacing w:after="120" w:line="240" w:lineRule="auto"/>
        <w:ind w:left="2268" w:right="1133" w:hanging="1134"/>
        <w:jc w:val="both"/>
      </w:pPr>
      <w:r w:rsidRPr="00A6794A">
        <w:t>"3.1.</w:t>
      </w:r>
      <w:r w:rsidRPr="00A6794A">
        <w:tab/>
        <w:t>Headlamps submitted for approval shall bear legibly and indelibly the trade name or mark of the applicant."</w:t>
      </w:r>
    </w:p>
    <w:p w:rsidR="00A6794A" w:rsidRPr="00A6794A" w:rsidRDefault="00A6794A" w:rsidP="00A6794A">
      <w:pPr>
        <w:spacing w:after="120" w:line="240" w:lineRule="auto"/>
        <w:ind w:left="2268" w:right="1133" w:hanging="1134"/>
        <w:jc w:val="both"/>
      </w:pPr>
      <w:r w:rsidRPr="00A6794A">
        <w:rPr>
          <w:i/>
        </w:rPr>
        <w:t xml:space="preserve">Paragraph 3.5., </w:t>
      </w:r>
      <w:r w:rsidRPr="00A6794A">
        <w:t>shall be deleted.</w:t>
      </w:r>
    </w:p>
    <w:p w:rsidR="00A6794A" w:rsidRPr="00A6794A" w:rsidRDefault="00A6794A" w:rsidP="00A6794A">
      <w:pPr>
        <w:spacing w:after="120" w:line="240" w:lineRule="auto"/>
        <w:ind w:left="2268" w:right="1133" w:hanging="1134"/>
        <w:jc w:val="both"/>
        <w:rPr>
          <w:i/>
        </w:rPr>
      </w:pPr>
      <w:proofErr w:type="gramStart"/>
      <w:r w:rsidRPr="00A6794A">
        <w:rPr>
          <w:i/>
        </w:rPr>
        <w:t>Paragraphs 3.6.</w:t>
      </w:r>
      <w:proofErr w:type="gramEnd"/>
      <w:r w:rsidRPr="00A6794A">
        <w:rPr>
          <w:i/>
        </w:rPr>
        <w:t xml:space="preserve"> </w:t>
      </w:r>
      <w:proofErr w:type="gramStart"/>
      <w:r w:rsidRPr="00A6794A">
        <w:rPr>
          <w:i/>
        </w:rPr>
        <w:t>to</w:t>
      </w:r>
      <w:proofErr w:type="gramEnd"/>
      <w:r w:rsidRPr="00A6794A">
        <w:rPr>
          <w:i/>
        </w:rPr>
        <w:t xml:space="preserve"> 3.7.2., </w:t>
      </w:r>
      <w:r w:rsidRPr="00A6794A">
        <w:t xml:space="preserve">renumber as paragraphs 3.5. </w:t>
      </w:r>
      <w:proofErr w:type="gramStart"/>
      <w:r w:rsidRPr="00A6794A">
        <w:t>to</w:t>
      </w:r>
      <w:proofErr w:type="gramEnd"/>
      <w:r w:rsidRPr="00A6794A">
        <w:t xml:space="preserve"> 3.6.2.</w:t>
      </w:r>
    </w:p>
    <w:p w:rsidR="00A6794A" w:rsidRPr="00A6794A" w:rsidRDefault="00A6794A" w:rsidP="00A6794A">
      <w:pPr>
        <w:spacing w:after="120" w:line="240" w:lineRule="auto"/>
        <w:ind w:left="2268" w:right="1133" w:hanging="1134"/>
        <w:jc w:val="both"/>
      </w:pPr>
      <w:r w:rsidRPr="00A6794A">
        <w:rPr>
          <w:i/>
        </w:rPr>
        <w:t xml:space="preserve">Paragraph 4.2.2.8., </w:t>
      </w:r>
      <w:r w:rsidRPr="00A6794A">
        <w:t>shall be deleted.</w:t>
      </w:r>
    </w:p>
    <w:p w:rsidR="00A6794A" w:rsidRPr="00A6794A" w:rsidRDefault="00A6794A" w:rsidP="00A6794A">
      <w:pPr>
        <w:spacing w:after="120" w:line="240" w:lineRule="auto"/>
        <w:ind w:left="2268" w:right="1133" w:hanging="1134"/>
        <w:jc w:val="both"/>
      </w:pPr>
      <w:r>
        <w:rPr>
          <w:i/>
        </w:rPr>
        <w:br w:type="page"/>
      </w:r>
      <w:r w:rsidRPr="00A6794A">
        <w:rPr>
          <w:i/>
        </w:rPr>
        <w:lastRenderedPageBreak/>
        <w:t xml:space="preserve">Paragraph 4.2.5., </w:t>
      </w:r>
      <w:r w:rsidRPr="00A6794A">
        <w:t>amend to read:</w:t>
      </w:r>
    </w:p>
    <w:p w:rsidR="00A6794A" w:rsidRPr="00A6794A" w:rsidRDefault="00A6794A" w:rsidP="00A6794A">
      <w:pPr>
        <w:widowControl w:val="0"/>
        <w:spacing w:after="120" w:line="240" w:lineRule="auto"/>
        <w:ind w:left="2268" w:right="1133" w:hanging="1134"/>
        <w:jc w:val="both"/>
      </w:pPr>
      <w:r w:rsidRPr="00A6794A">
        <w:t>"4.2.5.</w:t>
      </w:r>
      <w:r w:rsidRPr="00A6794A">
        <w:tab/>
        <w:t xml:space="preserve">The marks and symbols referred to in paragraphs 4.2.1. </w:t>
      </w:r>
      <w:proofErr w:type="gramStart"/>
      <w:r w:rsidRPr="00A6794A">
        <w:t>to</w:t>
      </w:r>
      <w:proofErr w:type="gramEnd"/>
      <w:r w:rsidRPr="00A6794A">
        <w:t xml:space="preserve"> 4.2.3. </w:t>
      </w:r>
      <w:proofErr w:type="gramStart"/>
      <w:r w:rsidRPr="00A6794A">
        <w:t>above</w:t>
      </w:r>
      <w:proofErr w:type="gramEnd"/>
      <w:r w:rsidRPr="00A6794A">
        <w:t xml:space="preserve"> shall be clearly legible and be indelible. They may be placed on an inner or outer part (transparent or not) of the headlamp, which cannot be separated from the transparent part of the headlamp emitting the light."</w:t>
      </w:r>
    </w:p>
    <w:p w:rsidR="00A6794A" w:rsidRPr="00A6794A" w:rsidRDefault="00A6794A" w:rsidP="00A6794A">
      <w:pPr>
        <w:widowControl w:val="0"/>
        <w:spacing w:after="120" w:line="240" w:lineRule="auto"/>
        <w:ind w:left="2268" w:right="1133" w:hanging="1134"/>
        <w:jc w:val="both"/>
      </w:pPr>
      <w:r w:rsidRPr="00A6794A">
        <w:rPr>
          <w:i/>
        </w:rPr>
        <w:t xml:space="preserve">Paragraph 4.3.2.2.2., </w:t>
      </w:r>
      <w:r w:rsidRPr="00A6794A">
        <w:t>amend to read:</w:t>
      </w:r>
    </w:p>
    <w:p w:rsidR="00A6794A" w:rsidRPr="00A6794A" w:rsidRDefault="00A6794A" w:rsidP="00A6794A">
      <w:pPr>
        <w:spacing w:after="120" w:line="240" w:lineRule="auto"/>
        <w:ind w:left="2268" w:right="1133" w:hanging="1134"/>
        <w:jc w:val="both"/>
      </w:pPr>
      <w:r w:rsidRPr="00A6794A">
        <w:t>"4.3.2.2.2.</w:t>
      </w:r>
      <w:r w:rsidRPr="00A6794A">
        <w:tab/>
        <w:t>Or in a group, in such a way that each of the grouped, combined or reciprocally incorporated lamps may be clearly identified (see possible examples in Annex 2, Figures 10, 11, 12)."</w:t>
      </w:r>
    </w:p>
    <w:p w:rsidR="00A6794A" w:rsidRPr="00A6794A" w:rsidRDefault="00A6794A" w:rsidP="00A6794A">
      <w:pPr>
        <w:spacing w:after="120" w:line="240" w:lineRule="auto"/>
        <w:ind w:left="2268" w:right="1133" w:hanging="1134"/>
        <w:jc w:val="both"/>
        <w:rPr>
          <w:i/>
        </w:rPr>
      </w:pPr>
      <w:r w:rsidRPr="00A6794A">
        <w:rPr>
          <w:i/>
        </w:rPr>
        <w:t>Paragraph 4.3.2.5., amend to read:</w:t>
      </w:r>
    </w:p>
    <w:p w:rsidR="00A6794A" w:rsidRPr="00A6794A" w:rsidRDefault="00A6794A" w:rsidP="00A6794A">
      <w:pPr>
        <w:spacing w:after="120" w:line="240" w:lineRule="auto"/>
        <w:ind w:left="2268" w:right="1133" w:hanging="1134"/>
        <w:jc w:val="both"/>
      </w:pPr>
      <w:r w:rsidRPr="00A6794A">
        <w:t>"4.3.2.5.</w:t>
      </w:r>
      <w:r w:rsidRPr="00A6794A">
        <w:tab/>
        <w:t xml:space="preserve">Annex 2, Figures 10, 11, 12 of this Regulation </w:t>
      </w:r>
      <w:proofErr w:type="gramStart"/>
      <w:r w:rsidRPr="00A6794A">
        <w:t>give</w:t>
      </w:r>
      <w:proofErr w:type="gramEnd"/>
      <w:r w:rsidRPr="00A6794A">
        <w:t xml:space="preserve"> examples of arrangements of approval marks for grouped, combined or reciprocally incorporated lamps with all the above-mentioned additional symbols."</w:t>
      </w:r>
    </w:p>
    <w:p w:rsidR="00A6794A" w:rsidRPr="00A6794A" w:rsidRDefault="00A6794A" w:rsidP="00A6794A">
      <w:pPr>
        <w:spacing w:after="120" w:line="240" w:lineRule="auto"/>
        <w:ind w:left="2268" w:right="1133" w:hanging="1134"/>
        <w:jc w:val="both"/>
      </w:pPr>
      <w:r w:rsidRPr="00A6794A">
        <w:rPr>
          <w:i/>
        </w:rPr>
        <w:t xml:space="preserve">Paragraph 4.3.3.1., </w:t>
      </w:r>
      <w:r w:rsidRPr="00A6794A">
        <w:t>amend to read:</w:t>
      </w:r>
    </w:p>
    <w:p w:rsidR="00A6794A" w:rsidRPr="00A6794A" w:rsidRDefault="00A6794A" w:rsidP="00A6794A">
      <w:pPr>
        <w:widowControl w:val="0"/>
        <w:tabs>
          <w:tab w:val="left" w:pos="-868"/>
        </w:tabs>
        <w:spacing w:after="120" w:line="240" w:lineRule="auto"/>
        <w:ind w:left="2268" w:right="1133" w:hanging="1134"/>
        <w:jc w:val="both"/>
      </w:pPr>
      <w:r w:rsidRPr="00A6794A">
        <w:t>"4.3.3.1.</w:t>
      </w:r>
      <w:r w:rsidRPr="00A6794A">
        <w:tab/>
        <w:t xml:space="preserve">In addition, where the same lens is used, the latter may bear the different approval marks relating to the different types of headlamps or units of lamps, provided that the main body of the </w:t>
      </w:r>
      <w:proofErr w:type="gramStart"/>
      <w:r w:rsidRPr="00A6794A">
        <w:t>headlamp, …"</w:t>
      </w:r>
      <w:proofErr w:type="gramEnd"/>
    </w:p>
    <w:p w:rsidR="00A6794A" w:rsidRPr="00A6794A" w:rsidRDefault="00A6794A" w:rsidP="00A6794A">
      <w:pPr>
        <w:widowControl w:val="0"/>
        <w:tabs>
          <w:tab w:val="left" w:pos="-868"/>
        </w:tabs>
        <w:spacing w:after="120" w:line="240" w:lineRule="auto"/>
        <w:ind w:left="2268" w:right="1133" w:hanging="1134"/>
        <w:jc w:val="both"/>
      </w:pPr>
      <w:r w:rsidRPr="00A6794A">
        <w:rPr>
          <w:i/>
        </w:rPr>
        <w:t xml:space="preserve">Paragraph 4.3.3.2., </w:t>
      </w:r>
      <w:r w:rsidRPr="00A6794A">
        <w:t>amend to read:</w:t>
      </w:r>
    </w:p>
    <w:p w:rsidR="00A6794A" w:rsidRPr="00A6794A" w:rsidRDefault="00A6794A" w:rsidP="00A6794A">
      <w:pPr>
        <w:widowControl w:val="0"/>
        <w:tabs>
          <w:tab w:val="left" w:pos="-868"/>
        </w:tabs>
        <w:spacing w:after="120" w:line="240" w:lineRule="auto"/>
        <w:ind w:left="2268" w:right="1133" w:hanging="1134"/>
        <w:jc w:val="both"/>
      </w:pPr>
      <w:r w:rsidRPr="00A6794A">
        <w:t xml:space="preserve">"4.3.3.2. </w:t>
      </w:r>
      <w:r w:rsidRPr="00A6794A">
        <w:tab/>
        <w:t>Annex 2, Figure 10 of this Regulation gives examples of arrangements of approval marks relating to the above case."</w:t>
      </w:r>
    </w:p>
    <w:p w:rsidR="00A6794A" w:rsidRPr="00A6794A" w:rsidRDefault="00A6794A" w:rsidP="00A6794A">
      <w:pPr>
        <w:spacing w:after="120" w:line="240" w:lineRule="auto"/>
        <w:ind w:left="2268" w:right="1133" w:hanging="1134"/>
        <w:jc w:val="both"/>
      </w:pPr>
      <w:r w:rsidRPr="00A6794A">
        <w:rPr>
          <w:i/>
        </w:rPr>
        <w:t>Paragraph 4.3.4</w:t>
      </w:r>
      <w:r w:rsidR="00B05A5C">
        <w:rPr>
          <w:i/>
        </w:rPr>
        <w:t>.</w:t>
      </w:r>
      <w:r w:rsidRPr="00A6794A">
        <w:rPr>
          <w:i/>
        </w:rPr>
        <w:t xml:space="preserve">, </w:t>
      </w:r>
      <w:r w:rsidRPr="00A6794A">
        <w:t>shall be deleted.</w:t>
      </w:r>
    </w:p>
    <w:p w:rsidR="00A6794A" w:rsidRPr="00A6794A" w:rsidRDefault="00A6794A" w:rsidP="00A6794A">
      <w:pPr>
        <w:spacing w:after="120" w:line="240" w:lineRule="auto"/>
        <w:ind w:left="2268" w:right="1133" w:hanging="1134"/>
        <w:jc w:val="both"/>
      </w:pPr>
      <w:proofErr w:type="gramStart"/>
      <w:r w:rsidRPr="00A6794A">
        <w:rPr>
          <w:i/>
        </w:rPr>
        <w:t>Paragraphs 5.8.</w:t>
      </w:r>
      <w:proofErr w:type="gramEnd"/>
      <w:r w:rsidRPr="00A6794A">
        <w:rPr>
          <w:i/>
        </w:rPr>
        <w:t xml:space="preserve"> </w:t>
      </w:r>
      <w:proofErr w:type="gramStart"/>
      <w:r w:rsidRPr="00A6794A">
        <w:rPr>
          <w:i/>
        </w:rPr>
        <w:t>to</w:t>
      </w:r>
      <w:proofErr w:type="gramEnd"/>
      <w:r w:rsidRPr="00A6794A">
        <w:rPr>
          <w:i/>
        </w:rPr>
        <w:t xml:space="preserve"> 5.8.4., </w:t>
      </w:r>
      <w:r w:rsidRPr="00A6794A">
        <w:t>amend to read:</w:t>
      </w:r>
    </w:p>
    <w:p w:rsidR="00A6794A" w:rsidRPr="00A6794A" w:rsidRDefault="00A6794A" w:rsidP="00A6794A">
      <w:pPr>
        <w:spacing w:after="120" w:line="240" w:lineRule="auto"/>
        <w:ind w:left="2268" w:right="1133" w:hanging="1134"/>
        <w:jc w:val="both"/>
      </w:pPr>
      <w:r w:rsidRPr="00A6794A">
        <w:t>"5.8.</w:t>
      </w:r>
      <w:r w:rsidRPr="00A6794A">
        <w:tab/>
        <w:t xml:space="preserve">Light sources </w:t>
      </w:r>
    </w:p>
    <w:p w:rsidR="00A6794A" w:rsidRPr="00A6794A" w:rsidRDefault="00A6794A" w:rsidP="00A6794A">
      <w:pPr>
        <w:spacing w:after="120" w:line="240" w:lineRule="auto"/>
        <w:ind w:left="2268" w:right="1133" w:hanging="1134"/>
        <w:jc w:val="both"/>
      </w:pPr>
      <w:r w:rsidRPr="00A6794A">
        <w:t>5.8.1.</w:t>
      </w:r>
      <w:r w:rsidRPr="00A6794A">
        <w:tab/>
        <w:t>The gas-discharge light source(s) used in gas-discharge headlamps shall be replaceable and approved according to Regulation No. 99 and its series of amendments in force at the time of application for type approval.</w:t>
      </w:r>
    </w:p>
    <w:p w:rsidR="00A6794A" w:rsidRPr="00A6794A" w:rsidRDefault="00A6794A" w:rsidP="00A6794A">
      <w:pPr>
        <w:spacing w:after="120" w:line="240" w:lineRule="auto"/>
        <w:ind w:left="2268" w:right="1133" w:hanging="1134"/>
        <w:jc w:val="both"/>
      </w:pPr>
      <w:r w:rsidRPr="00A6794A">
        <w:t>5.8.2.</w:t>
      </w:r>
      <w:r w:rsidRPr="00A6794A">
        <w:tab/>
        <w:t>In the case that one or more (additional) filament light sources are used in the gas-discharge headlamp, these filament light sources shall be replaceable and approved according to Regulation No. 37 and its series of amendments in force at the time of application for type approval, provided that no restriction on the use is made in Regulation No. 37 and its series of amendments in force at the time of application for type approval.</w:t>
      </w:r>
    </w:p>
    <w:p w:rsidR="00A6794A" w:rsidRPr="00A6794A" w:rsidRDefault="00A6794A" w:rsidP="00A6794A">
      <w:pPr>
        <w:spacing w:after="120" w:line="240" w:lineRule="auto"/>
        <w:ind w:left="2268" w:right="1133" w:hanging="1134"/>
        <w:jc w:val="both"/>
      </w:pPr>
      <w:r w:rsidRPr="00A6794A">
        <w:t>5.8.3.</w:t>
      </w:r>
      <w:r w:rsidRPr="00A6794A">
        <w:tab/>
        <w:t xml:space="preserve">The design of the device shall be such that the light source(s) can be fixed in no other position but the correct one. </w:t>
      </w:r>
    </w:p>
    <w:p w:rsidR="00A6794A" w:rsidRPr="00A6794A" w:rsidRDefault="00A6794A" w:rsidP="00A6794A">
      <w:pPr>
        <w:spacing w:after="120" w:line="240" w:lineRule="auto"/>
        <w:ind w:left="2268" w:right="1133" w:hanging="1134"/>
        <w:jc w:val="both"/>
      </w:pPr>
      <w:r w:rsidRPr="00A6794A">
        <w:t>5.8.4.</w:t>
      </w:r>
      <w:r w:rsidRPr="00A6794A">
        <w:tab/>
        <w:t xml:space="preserve">The lamp holder shall conform to the dimensional characteristics as given on the data sheet of </w:t>
      </w:r>
      <w:proofErr w:type="spellStart"/>
      <w:r w:rsidRPr="00A6794A">
        <w:t>IEC</w:t>
      </w:r>
      <w:proofErr w:type="spellEnd"/>
      <w:r w:rsidRPr="00A6794A">
        <w:t xml:space="preserve"> Publication 60061, relevant to the category of light source(s) used. The light source(s) shall fit easily into the headlamp."</w:t>
      </w:r>
    </w:p>
    <w:p w:rsidR="00A6794A" w:rsidRPr="00A6794A" w:rsidRDefault="00A6794A" w:rsidP="00A6794A">
      <w:pPr>
        <w:spacing w:after="120" w:line="240" w:lineRule="auto"/>
        <w:ind w:left="2268" w:right="1133" w:hanging="1134"/>
        <w:jc w:val="both"/>
      </w:pPr>
      <w:proofErr w:type="gramStart"/>
      <w:r w:rsidRPr="00A6794A">
        <w:rPr>
          <w:i/>
        </w:rPr>
        <w:t>Paragraphs 5.9.</w:t>
      </w:r>
      <w:proofErr w:type="gramEnd"/>
      <w:r w:rsidRPr="00A6794A">
        <w:rPr>
          <w:i/>
        </w:rPr>
        <w:t xml:space="preserve"> </w:t>
      </w:r>
      <w:proofErr w:type="gramStart"/>
      <w:r w:rsidRPr="00A6794A">
        <w:rPr>
          <w:i/>
        </w:rPr>
        <w:t>to</w:t>
      </w:r>
      <w:proofErr w:type="gramEnd"/>
      <w:r w:rsidRPr="00A6794A">
        <w:rPr>
          <w:i/>
        </w:rPr>
        <w:t xml:space="preserve"> 5.9.3., </w:t>
      </w:r>
      <w:r w:rsidRPr="00A6794A">
        <w:t>shall be deleted.</w:t>
      </w:r>
    </w:p>
    <w:p w:rsidR="00A6794A" w:rsidRPr="00A6794A" w:rsidRDefault="00A6794A" w:rsidP="00A6794A">
      <w:pPr>
        <w:spacing w:after="120" w:line="240" w:lineRule="auto"/>
        <w:ind w:left="2268" w:right="1133" w:hanging="1134"/>
        <w:jc w:val="both"/>
        <w:rPr>
          <w:i/>
        </w:rPr>
      </w:pPr>
      <w:proofErr w:type="gramStart"/>
      <w:r w:rsidRPr="00A6794A">
        <w:rPr>
          <w:i/>
        </w:rPr>
        <w:t>Paragraphs 5.10.</w:t>
      </w:r>
      <w:proofErr w:type="gramEnd"/>
      <w:r w:rsidRPr="00A6794A">
        <w:rPr>
          <w:i/>
        </w:rPr>
        <w:t xml:space="preserve"> </w:t>
      </w:r>
      <w:proofErr w:type="gramStart"/>
      <w:r w:rsidRPr="00A6794A">
        <w:rPr>
          <w:i/>
        </w:rPr>
        <w:t>to</w:t>
      </w:r>
      <w:proofErr w:type="gramEnd"/>
      <w:r w:rsidRPr="00A6794A">
        <w:rPr>
          <w:i/>
        </w:rPr>
        <w:t xml:space="preserve"> 5.13., </w:t>
      </w:r>
      <w:r w:rsidRPr="00A6794A">
        <w:t xml:space="preserve">renumber as paragraphs 5.9. </w:t>
      </w:r>
      <w:proofErr w:type="gramStart"/>
      <w:r w:rsidRPr="00A6794A">
        <w:t>to</w:t>
      </w:r>
      <w:proofErr w:type="gramEnd"/>
      <w:r w:rsidRPr="00A6794A">
        <w:t xml:space="preserve"> 5.12.</w:t>
      </w:r>
    </w:p>
    <w:p w:rsidR="00A6794A" w:rsidRPr="00A6794A" w:rsidRDefault="00A6794A" w:rsidP="00A6794A">
      <w:pPr>
        <w:spacing w:after="120" w:line="240" w:lineRule="auto"/>
        <w:ind w:left="2268" w:right="1133" w:hanging="1134"/>
        <w:jc w:val="both"/>
      </w:pPr>
      <w:r w:rsidRPr="00A6794A">
        <w:rPr>
          <w:i/>
        </w:rPr>
        <w:t xml:space="preserve">Paragraph 6.1.1., </w:t>
      </w:r>
      <w:r w:rsidRPr="00A6794A">
        <w:t>amend to read:</w:t>
      </w:r>
    </w:p>
    <w:p w:rsidR="00A6794A" w:rsidRPr="00A6794A" w:rsidRDefault="00A6794A" w:rsidP="00A6794A">
      <w:pPr>
        <w:spacing w:after="120" w:line="240" w:lineRule="auto"/>
        <w:ind w:left="2268" w:right="1133" w:hanging="1134"/>
        <w:jc w:val="both"/>
      </w:pPr>
      <w:r w:rsidRPr="00A6794A">
        <w:t>"6.1.1.</w:t>
      </w:r>
      <w:r w:rsidRPr="00A6794A">
        <w:tab/>
        <w:t xml:space="preserve">Headlamps shall be so made that with suitable gas-discharge light source they give adequate </w:t>
      </w:r>
      <w:proofErr w:type="spellStart"/>
      <w:r w:rsidRPr="00A6794A">
        <w:t>illuminance</w:t>
      </w:r>
      <w:proofErr w:type="spellEnd"/>
      <w:r w:rsidRPr="00A6794A">
        <w:t xml:space="preserve"> without dazzle when emitting the</w:t>
      </w:r>
      <w:r w:rsidRPr="00A6794A">
        <w:br/>
        <w:t>passing-beam and good illumination when emitting the driving-beam."</w:t>
      </w:r>
    </w:p>
    <w:p w:rsidR="00A6794A" w:rsidRPr="00A6794A" w:rsidRDefault="00A6794A" w:rsidP="00A6794A">
      <w:pPr>
        <w:spacing w:after="120" w:line="240" w:lineRule="auto"/>
        <w:ind w:left="2268" w:right="1133" w:hanging="1134"/>
        <w:jc w:val="both"/>
      </w:pPr>
      <w:r>
        <w:rPr>
          <w:i/>
        </w:rPr>
        <w:br w:type="page"/>
      </w:r>
      <w:r w:rsidRPr="00A6794A">
        <w:rPr>
          <w:i/>
        </w:rPr>
        <w:t xml:space="preserve">Paragraph 6.1.3., </w:t>
      </w:r>
      <w:r w:rsidRPr="00A6794A">
        <w:t>amend to read:</w:t>
      </w:r>
    </w:p>
    <w:p w:rsidR="00A6794A" w:rsidRPr="00A6794A" w:rsidRDefault="00A6794A" w:rsidP="00A6794A">
      <w:pPr>
        <w:spacing w:after="120" w:line="240" w:lineRule="auto"/>
        <w:ind w:left="2268" w:right="1133" w:hanging="1134"/>
        <w:jc w:val="both"/>
      </w:pPr>
      <w:r w:rsidRPr="00A6794A">
        <w:t>"6.1.3.</w:t>
      </w:r>
      <w:r w:rsidRPr="00A6794A">
        <w:tab/>
        <w:t xml:space="preserve">The headlamp shall be deemed satisfactory if the photometric requirements set in the present paragraph 6. </w:t>
      </w:r>
      <w:proofErr w:type="gramStart"/>
      <w:r w:rsidRPr="00A6794A">
        <w:t>are</w:t>
      </w:r>
      <w:proofErr w:type="gramEnd"/>
      <w:r w:rsidRPr="00A6794A">
        <w:t xml:space="preserve"> met with one light source, which has been aged during at least 15 cycles, in accordance with Annex 4, paragraph 4. </w:t>
      </w:r>
      <w:proofErr w:type="gramStart"/>
      <w:r w:rsidRPr="00A6794A">
        <w:t>of</w:t>
      </w:r>
      <w:proofErr w:type="gramEnd"/>
      <w:r w:rsidRPr="00A6794A">
        <w:t xml:space="preserve"> Regulation No. 99.</w:t>
      </w:r>
    </w:p>
    <w:p w:rsidR="00A6794A" w:rsidRPr="00A6794A" w:rsidRDefault="00A6794A" w:rsidP="00A6794A">
      <w:pPr>
        <w:spacing w:after="120" w:line="240" w:lineRule="auto"/>
        <w:ind w:left="2268" w:right="1133"/>
        <w:jc w:val="both"/>
      </w:pPr>
      <w:r w:rsidRPr="00A6794A">
        <w:t>It shall be a standard (</w:t>
      </w:r>
      <w:proofErr w:type="spellStart"/>
      <w:r w:rsidRPr="00A6794A">
        <w:t>étalon</w:t>
      </w:r>
      <w:proofErr w:type="spellEnd"/>
      <w:r w:rsidRPr="00A6794A">
        <w:t>) light-source approved according to Regulation No. 99 and its luminous flux may differ from the objective luminous flux specified in Regulation No. 99. In this case, the luminous intensities shall be corrected accordingly. "</w:t>
      </w:r>
    </w:p>
    <w:p w:rsidR="008F7091" w:rsidRDefault="008F7091" w:rsidP="008F7091">
      <w:pPr>
        <w:spacing w:after="120" w:line="240" w:lineRule="auto"/>
        <w:ind w:left="1134" w:right="1133"/>
        <w:jc w:val="both"/>
        <w:rPr>
          <w:rFonts w:eastAsia="SimSun"/>
          <w:i/>
        </w:rPr>
      </w:pPr>
      <w:r>
        <w:rPr>
          <w:rFonts w:eastAsia="SimSun"/>
          <w:i/>
        </w:rPr>
        <w:t>Annex 1,</w:t>
      </w:r>
    </w:p>
    <w:p w:rsidR="008F7091" w:rsidRDefault="008F7091" w:rsidP="008F7091">
      <w:pPr>
        <w:spacing w:after="120" w:line="240" w:lineRule="auto"/>
        <w:ind w:left="1134" w:right="1133"/>
        <w:jc w:val="both"/>
        <w:rPr>
          <w:rFonts w:eastAsia="SimSun"/>
          <w:i/>
        </w:rPr>
      </w:pPr>
      <w:r>
        <w:rPr>
          <w:rFonts w:eastAsia="SimSun"/>
          <w:i/>
        </w:rPr>
        <w:t>The title,</w:t>
      </w:r>
      <w:r w:rsidRPr="008F7091">
        <w:rPr>
          <w:rFonts w:eastAsia="SimSun"/>
        </w:rPr>
        <w:t xml:space="preserve"> amend to read:</w:t>
      </w:r>
    </w:p>
    <w:p w:rsidR="008F7091" w:rsidRDefault="008F7091" w:rsidP="008F7091">
      <w:pPr>
        <w:pStyle w:val="HChG"/>
        <w:rPr>
          <w:rFonts w:eastAsia="SimSun"/>
        </w:rPr>
      </w:pPr>
      <w:r>
        <w:rPr>
          <w:rFonts w:eastAsia="SimSun"/>
        </w:rPr>
        <w:tab/>
      </w:r>
      <w:r>
        <w:rPr>
          <w:rFonts w:eastAsia="SimSun"/>
        </w:rPr>
        <w:tab/>
      </w:r>
      <w:r w:rsidRPr="008F7091">
        <w:rPr>
          <w:rFonts w:eastAsia="SimSun"/>
        </w:rPr>
        <w:t>"</w:t>
      </w:r>
      <w:r w:rsidRPr="00A6794A">
        <w:rPr>
          <w:rFonts w:eastAsia="SimSun"/>
        </w:rPr>
        <w:t>Communication concerning the approval or extension or refusal or withdrawal of approval or production definitively discontinued of a type of headlamp pursuant to Regulation No. 98</w:t>
      </w:r>
      <w:r>
        <w:rPr>
          <w:rFonts w:eastAsia="SimSun"/>
        </w:rPr>
        <w:t>"</w:t>
      </w:r>
    </w:p>
    <w:p w:rsidR="00A6794A" w:rsidRDefault="00A6794A" w:rsidP="00A6794A">
      <w:pPr>
        <w:spacing w:after="120" w:line="240" w:lineRule="auto"/>
        <w:ind w:left="1134" w:right="1133"/>
        <w:jc w:val="both"/>
        <w:rPr>
          <w:rFonts w:eastAsia="SimSun"/>
          <w:i/>
        </w:rPr>
      </w:pPr>
      <w:r w:rsidRPr="00A6794A">
        <w:rPr>
          <w:rFonts w:eastAsia="SimSun"/>
          <w:i/>
        </w:rPr>
        <w:t xml:space="preserve">Annex 9, </w:t>
      </w:r>
    </w:p>
    <w:p w:rsidR="00A6794A" w:rsidRPr="00A6794A" w:rsidRDefault="00A6794A" w:rsidP="00A6794A">
      <w:pPr>
        <w:spacing w:after="120" w:line="240" w:lineRule="auto"/>
        <w:ind w:left="1134" w:right="1133"/>
        <w:jc w:val="both"/>
        <w:rPr>
          <w:rFonts w:eastAsia="SimSun"/>
        </w:rPr>
      </w:pPr>
      <w:r>
        <w:rPr>
          <w:rFonts w:eastAsia="SimSun"/>
          <w:i/>
        </w:rPr>
        <w:t>P</w:t>
      </w:r>
      <w:r w:rsidRPr="00A6794A">
        <w:rPr>
          <w:rFonts w:eastAsia="SimSun"/>
          <w:i/>
        </w:rPr>
        <w:t xml:space="preserve">aragraph </w:t>
      </w:r>
      <w:proofErr w:type="gramStart"/>
      <w:r w:rsidRPr="00A6794A">
        <w:rPr>
          <w:rFonts w:eastAsia="SimSun"/>
          <w:i/>
        </w:rPr>
        <w:t>4.</w:t>
      </w:r>
      <w:r w:rsidRPr="00A6794A">
        <w:rPr>
          <w:rFonts w:eastAsia="SimSun"/>
          <w:bCs/>
          <w:i/>
          <w:iCs/>
        </w:rPr>
        <w:t>,</w:t>
      </w:r>
      <w:proofErr w:type="gramEnd"/>
      <w:r w:rsidRPr="00A6794A">
        <w:rPr>
          <w:rFonts w:eastAsia="SimSun"/>
          <w:bCs/>
          <w:i/>
          <w:iCs/>
        </w:rPr>
        <w:t xml:space="preserve"> </w:t>
      </w:r>
      <w:r w:rsidRPr="00A6794A">
        <w:rPr>
          <w:rFonts w:eastAsia="SimSun"/>
        </w:rPr>
        <w:t>amend to read:</w:t>
      </w:r>
    </w:p>
    <w:p w:rsidR="00A6794A" w:rsidRPr="00A6794A" w:rsidRDefault="00A6794A" w:rsidP="00A6794A">
      <w:pPr>
        <w:spacing w:after="120" w:line="240" w:lineRule="auto"/>
        <w:ind w:left="2268" w:right="1133" w:hanging="1134"/>
        <w:jc w:val="both"/>
        <w:rPr>
          <w:rFonts w:eastAsia="SimSun"/>
        </w:rPr>
      </w:pPr>
      <w:r w:rsidRPr="00A6794A">
        <w:rPr>
          <w:rFonts w:eastAsia="SimSun"/>
        </w:rPr>
        <w:t>4.</w:t>
      </w:r>
      <w:r w:rsidRPr="00A6794A">
        <w:rPr>
          <w:rFonts w:eastAsia="SimSun"/>
        </w:rPr>
        <w:tab/>
        <w:t>Change of the vertical position of the cut-off line</w:t>
      </w:r>
    </w:p>
    <w:p w:rsidR="00A6794A" w:rsidRPr="00A6794A" w:rsidRDefault="00A6794A" w:rsidP="00A6794A">
      <w:pPr>
        <w:spacing w:after="120" w:line="240" w:lineRule="auto"/>
        <w:ind w:left="2268" w:right="1133"/>
        <w:jc w:val="both"/>
        <w:rPr>
          <w:rFonts w:eastAsia="SimSun"/>
        </w:rPr>
      </w:pPr>
      <w:r w:rsidRPr="00A6794A">
        <w:rPr>
          <w:rFonts w:eastAsia="SimSun"/>
        </w:rPr>
        <w:t>With respect to the verification of the change in vertical positions of the</w:t>
      </w:r>
      <w:r w:rsidRPr="00A6794A">
        <w:rPr>
          <w:rFonts w:eastAsia="SimSun"/>
        </w:rPr>
        <w:br/>
        <w:t>cut-off line under the influence of heat, the following procedure shall be applied:</w:t>
      </w:r>
    </w:p>
    <w:p w:rsidR="00A6794A" w:rsidRPr="00A6794A" w:rsidRDefault="00A6794A" w:rsidP="00A6794A">
      <w:pPr>
        <w:spacing w:after="120" w:line="240" w:lineRule="auto"/>
        <w:ind w:left="2268" w:right="1133"/>
        <w:jc w:val="both"/>
        <w:rPr>
          <w:rFonts w:eastAsia="SimSun"/>
        </w:rPr>
      </w:pPr>
      <w:r w:rsidRPr="00A6794A">
        <w:rPr>
          <w:rFonts w:eastAsia="SimSun"/>
        </w:rPr>
        <w:t xml:space="preserve">One of the headlamps of sample </w:t>
      </w:r>
      <w:proofErr w:type="gramStart"/>
      <w:r w:rsidRPr="00A6794A">
        <w:rPr>
          <w:rFonts w:eastAsia="SimSun"/>
        </w:rPr>
        <w:t>A</w:t>
      </w:r>
      <w:proofErr w:type="gramEnd"/>
      <w:r w:rsidRPr="00A6794A">
        <w:rPr>
          <w:rFonts w:eastAsia="SimSun"/>
        </w:rPr>
        <w:t xml:space="preserve"> after sampling procedure in Figure 1 of this Annex shall be tested according to the procedure described in paragraph 2.1. </w:t>
      </w:r>
      <w:proofErr w:type="gramStart"/>
      <w:r w:rsidRPr="00A6794A">
        <w:rPr>
          <w:rFonts w:eastAsia="SimSun"/>
        </w:rPr>
        <w:t>of</w:t>
      </w:r>
      <w:proofErr w:type="gramEnd"/>
      <w:r w:rsidRPr="00A6794A">
        <w:rPr>
          <w:rFonts w:eastAsia="SimSun"/>
        </w:rPr>
        <w:t xml:space="preserve"> Annex 4 after being subjected three consecutive times to the cycle described in paragraph 2.2.2. </w:t>
      </w:r>
      <w:proofErr w:type="gramStart"/>
      <w:r w:rsidRPr="00A6794A">
        <w:rPr>
          <w:rFonts w:eastAsia="SimSun"/>
        </w:rPr>
        <w:t>of</w:t>
      </w:r>
      <w:proofErr w:type="gramEnd"/>
      <w:r w:rsidRPr="00A6794A">
        <w:rPr>
          <w:rFonts w:eastAsia="SimSun"/>
        </w:rPr>
        <w:t xml:space="preserve"> Annex 4.</w:t>
      </w:r>
    </w:p>
    <w:p w:rsidR="00A6794A" w:rsidRPr="00A6794A" w:rsidRDefault="00A6794A" w:rsidP="00A6794A">
      <w:pPr>
        <w:spacing w:after="120" w:line="240" w:lineRule="auto"/>
        <w:ind w:left="2268" w:right="1133"/>
        <w:jc w:val="both"/>
        <w:rPr>
          <w:rFonts w:eastAsia="SimSun"/>
        </w:rPr>
      </w:pPr>
      <w:r w:rsidRPr="00A6794A">
        <w:rPr>
          <w:rFonts w:eastAsia="SimSun"/>
        </w:rPr>
        <w:t xml:space="preserve">The headlamp shall be considered as acceptable if </w:t>
      </w:r>
      <w:r w:rsidRPr="00A6794A">
        <w:rPr>
          <w:rFonts w:eastAsia="SimSun"/>
        </w:rPr>
        <w:sym w:font="Symbol" w:char="F044"/>
      </w:r>
      <w:r w:rsidRPr="00A6794A">
        <w:rPr>
          <w:rFonts w:eastAsia="SimSun"/>
        </w:rPr>
        <w:t>r does not exceed 1.5 </w:t>
      </w:r>
      <w:proofErr w:type="spellStart"/>
      <w:r w:rsidRPr="00A6794A">
        <w:rPr>
          <w:rFonts w:eastAsia="SimSun"/>
        </w:rPr>
        <w:t>mrad</w:t>
      </w:r>
      <w:proofErr w:type="spellEnd"/>
      <w:r w:rsidRPr="00A6794A">
        <w:rPr>
          <w:rFonts w:eastAsia="SimSun"/>
        </w:rPr>
        <w:t xml:space="preserve"> upwards and does not exceed 2.5 </w:t>
      </w:r>
      <w:proofErr w:type="spellStart"/>
      <w:r w:rsidRPr="00A6794A">
        <w:rPr>
          <w:rFonts w:eastAsia="SimSun"/>
        </w:rPr>
        <w:t>mrad</w:t>
      </w:r>
      <w:proofErr w:type="spellEnd"/>
      <w:r w:rsidRPr="00A6794A">
        <w:rPr>
          <w:rFonts w:eastAsia="SimSun"/>
        </w:rPr>
        <w:t xml:space="preserve"> downwards.</w:t>
      </w:r>
    </w:p>
    <w:p w:rsidR="00A6794A" w:rsidRPr="00A6794A" w:rsidRDefault="00A6794A" w:rsidP="00A6794A">
      <w:pPr>
        <w:spacing w:after="120" w:line="240" w:lineRule="auto"/>
        <w:ind w:left="2268" w:right="1133"/>
        <w:jc w:val="both"/>
        <w:rPr>
          <w:rFonts w:eastAsia="SimSun"/>
        </w:rPr>
      </w:pPr>
      <w:r w:rsidRPr="00A6794A">
        <w:rPr>
          <w:rFonts w:eastAsia="SimSun"/>
        </w:rPr>
        <w:t xml:space="preserve">If this value exceeds 1.5 </w:t>
      </w:r>
      <w:proofErr w:type="spellStart"/>
      <w:r w:rsidRPr="00A6794A">
        <w:rPr>
          <w:rFonts w:eastAsia="SimSun"/>
        </w:rPr>
        <w:t>mrad</w:t>
      </w:r>
      <w:proofErr w:type="spellEnd"/>
      <w:r w:rsidRPr="00A6794A">
        <w:rPr>
          <w:rFonts w:eastAsia="SimSun"/>
        </w:rPr>
        <w:t xml:space="preserve"> but is not more than 2.0 </w:t>
      </w:r>
      <w:proofErr w:type="spellStart"/>
      <w:r w:rsidRPr="00A6794A">
        <w:rPr>
          <w:rFonts w:eastAsia="SimSun"/>
        </w:rPr>
        <w:t>mrad</w:t>
      </w:r>
      <w:proofErr w:type="spellEnd"/>
      <w:r w:rsidRPr="00A6794A">
        <w:rPr>
          <w:rFonts w:eastAsia="SimSun"/>
        </w:rPr>
        <w:t xml:space="preserve"> upwards or exceeds 2.5 </w:t>
      </w:r>
      <w:proofErr w:type="spellStart"/>
      <w:r w:rsidRPr="00A6794A">
        <w:rPr>
          <w:rFonts w:eastAsia="SimSun"/>
        </w:rPr>
        <w:t>mrad</w:t>
      </w:r>
      <w:proofErr w:type="spellEnd"/>
      <w:r w:rsidRPr="00A6794A">
        <w:rPr>
          <w:rFonts w:eastAsia="SimSun"/>
        </w:rPr>
        <w:t xml:space="preserve"> but is not more than 3.0 </w:t>
      </w:r>
      <w:proofErr w:type="spellStart"/>
      <w:r w:rsidRPr="00A6794A">
        <w:rPr>
          <w:rFonts w:eastAsia="SimSun"/>
        </w:rPr>
        <w:t>mrad</w:t>
      </w:r>
      <w:proofErr w:type="spellEnd"/>
      <w:r w:rsidRPr="00A6794A">
        <w:rPr>
          <w:rFonts w:eastAsia="SimSun"/>
        </w:rPr>
        <w:t xml:space="preserve"> downwards, the second headlamp of sample A shall be subjected to the test after which the mean of the absolute values recorded in both samples shall not exceed 1.5 </w:t>
      </w:r>
      <w:proofErr w:type="spellStart"/>
      <w:r w:rsidRPr="00A6794A">
        <w:rPr>
          <w:rFonts w:eastAsia="SimSun"/>
        </w:rPr>
        <w:t>mrad</w:t>
      </w:r>
      <w:proofErr w:type="spellEnd"/>
      <w:r w:rsidRPr="00A6794A">
        <w:rPr>
          <w:rFonts w:eastAsia="SimSun"/>
        </w:rPr>
        <w:t xml:space="preserve"> upwards and shall not exceed 2.5 </w:t>
      </w:r>
      <w:proofErr w:type="spellStart"/>
      <w:r w:rsidRPr="00A6794A">
        <w:rPr>
          <w:rFonts w:eastAsia="SimSun"/>
        </w:rPr>
        <w:t>mrad</w:t>
      </w:r>
      <w:proofErr w:type="spellEnd"/>
      <w:r w:rsidRPr="00A6794A">
        <w:rPr>
          <w:rFonts w:eastAsia="SimSun"/>
        </w:rPr>
        <w:t xml:space="preserve"> downwards.</w:t>
      </w:r>
    </w:p>
    <w:p w:rsidR="00A6794A" w:rsidRPr="00A6794A" w:rsidRDefault="00A6794A" w:rsidP="00A6794A">
      <w:pPr>
        <w:spacing w:after="120" w:line="240" w:lineRule="auto"/>
        <w:ind w:left="2268" w:right="1133"/>
        <w:jc w:val="both"/>
        <w:rPr>
          <w:rFonts w:eastAsia="SimSun"/>
        </w:rPr>
      </w:pPr>
      <w:r w:rsidRPr="00A6794A">
        <w:rPr>
          <w:rFonts w:eastAsia="SimSun"/>
        </w:rPr>
        <w:t xml:space="preserve">However, if this value of 1.5 </w:t>
      </w:r>
      <w:proofErr w:type="spellStart"/>
      <w:r w:rsidRPr="00A6794A">
        <w:rPr>
          <w:rFonts w:eastAsia="SimSun"/>
        </w:rPr>
        <w:t>mrad</w:t>
      </w:r>
      <w:proofErr w:type="spellEnd"/>
      <w:r w:rsidRPr="00A6794A">
        <w:rPr>
          <w:rFonts w:eastAsia="SimSun"/>
        </w:rPr>
        <w:t xml:space="preserve"> upwards and 2.5 </w:t>
      </w:r>
      <w:proofErr w:type="spellStart"/>
      <w:r w:rsidRPr="00A6794A">
        <w:rPr>
          <w:rFonts w:eastAsia="SimSun"/>
        </w:rPr>
        <w:t>mrad</w:t>
      </w:r>
      <w:proofErr w:type="spellEnd"/>
      <w:r w:rsidRPr="00A6794A">
        <w:rPr>
          <w:rFonts w:eastAsia="SimSun"/>
        </w:rPr>
        <w:t xml:space="preserve"> downwards on sample A is not complied with, the two headlamps of sample B shall be subjected to the same procedure and the value of </w:t>
      </w:r>
      <w:r w:rsidRPr="00A6794A">
        <w:rPr>
          <w:rFonts w:eastAsia="SimSun"/>
        </w:rPr>
        <w:sym w:font="Symbol" w:char="F044"/>
      </w:r>
      <w:r w:rsidRPr="00A6794A">
        <w:rPr>
          <w:rFonts w:eastAsia="SimSun"/>
        </w:rPr>
        <w:t xml:space="preserve">r for each of them shall not exceed 1.5 </w:t>
      </w:r>
      <w:proofErr w:type="spellStart"/>
      <w:r w:rsidRPr="00A6794A">
        <w:rPr>
          <w:rFonts w:eastAsia="SimSun"/>
        </w:rPr>
        <w:t>mrad</w:t>
      </w:r>
      <w:proofErr w:type="spellEnd"/>
      <w:r w:rsidRPr="00A6794A">
        <w:rPr>
          <w:rFonts w:eastAsia="SimSun"/>
        </w:rPr>
        <w:t xml:space="preserve"> upwards and shall not exceed 2.5 </w:t>
      </w:r>
      <w:proofErr w:type="spellStart"/>
      <w:r w:rsidRPr="00A6794A">
        <w:rPr>
          <w:rFonts w:eastAsia="SimSun"/>
        </w:rPr>
        <w:t>mrad</w:t>
      </w:r>
      <w:proofErr w:type="spellEnd"/>
      <w:r w:rsidRPr="00A6794A">
        <w:rPr>
          <w:rFonts w:eastAsia="SimSun"/>
        </w:rPr>
        <w:t xml:space="preserve"> downwards."</w:t>
      </w:r>
    </w:p>
    <w:p w:rsidR="00A6794A" w:rsidRPr="00A6794A" w:rsidRDefault="00A6794A" w:rsidP="00A6794A">
      <w:pPr>
        <w:spacing w:before="240"/>
        <w:ind w:left="1134" w:right="1134"/>
        <w:jc w:val="center"/>
        <w:rPr>
          <w:u w:val="single"/>
        </w:rPr>
      </w:pPr>
      <w:r w:rsidRPr="00A6794A">
        <w:rPr>
          <w:i/>
          <w:u w:val="single"/>
        </w:rPr>
        <w:tab/>
      </w:r>
      <w:r w:rsidRPr="00A6794A">
        <w:rPr>
          <w:i/>
          <w:u w:val="single"/>
        </w:rPr>
        <w:tab/>
      </w:r>
      <w:r w:rsidRPr="00A6794A">
        <w:rPr>
          <w:i/>
          <w:u w:val="singl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0A" w:rsidRDefault="00E53C0A"/>
  </w:endnote>
  <w:endnote w:type="continuationSeparator" w:id="0">
    <w:p w:rsidR="00E53C0A" w:rsidRDefault="00E53C0A"/>
  </w:endnote>
  <w:endnote w:type="continuationNotice" w:id="1">
    <w:p w:rsidR="00E53C0A" w:rsidRDefault="00E5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92B55">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92B55">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292B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0A" w:rsidRPr="000B175B" w:rsidRDefault="00E53C0A" w:rsidP="000B175B">
      <w:pPr>
        <w:tabs>
          <w:tab w:val="right" w:pos="2155"/>
        </w:tabs>
        <w:spacing w:after="80"/>
        <w:ind w:left="680"/>
        <w:rPr>
          <w:u w:val="single"/>
        </w:rPr>
      </w:pPr>
      <w:r>
        <w:rPr>
          <w:u w:val="single"/>
        </w:rPr>
        <w:tab/>
      </w:r>
    </w:p>
  </w:footnote>
  <w:footnote w:type="continuationSeparator" w:id="0">
    <w:p w:rsidR="00E53C0A" w:rsidRPr="00FC68B7" w:rsidRDefault="00E53C0A" w:rsidP="00FC68B7">
      <w:pPr>
        <w:tabs>
          <w:tab w:val="left" w:pos="2155"/>
        </w:tabs>
        <w:spacing w:after="80"/>
        <w:ind w:left="680"/>
        <w:rPr>
          <w:u w:val="single"/>
        </w:rPr>
      </w:pPr>
      <w:r>
        <w:rPr>
          <w:u w:val="single"/>
        </w:rPr>
        <w:tab/>
      </w:r>
    </w:p>
  </w:footnote>
  <w:footnote w:type="continuationNotice" w:id="1">
    <w:p w:rsidR="00E53C0A" w:rsidRDefault="00E53C0A"/>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A6794A">
    <w:pPr>
      <w:pStyle w:val="Header"/>
    </w:pPr>
    <w:r w:rsidRPr="00D623A7">
      <w:t>E/</w:t>
    </w:r>
    <w:proofErr w:type="spellStart"/>
    <w:r w:rsidRPr="00D623A7">
      <w:t>ECE</w:t>
    </w:r>
    <w:proofErr w:type="spellEnd"/>
    <w:r w:rsidRPr="00D623A7">
      <w:t>/324</w:t>
    </w:r>
    <w:r w:rsidR="00A6794A">
      <w:t>/Rev.1/Add.97/Rev.3/Amend.4</w:t>
    </w:r>
    <w:r>
      <w:br/>
    </w:r>
    <w:r w:rsidRPr="00D623A7">
      <w:t>E/</w:t>
    </w:r>
    <w:proofErr w:type="spellStart"/>
    <w:r w:rsidRPr="00D623A7">
      <w:t>ECE</w:t>
    </w:r>
    <w:proofErr w:type="spellEnd"/>
    <w:r w:rsidRPr="00D623A7">
      <w:t>/TRANS/505</w:t>
    </w:r>
    <w:r w:rsidR="00A6794A">
      <w:t>/Rev.1/Add.97/Rev.3/Amend.4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A6794A" w:rsidP="00776D12">
    <w:pPr>
      <w:pStyle w:val="Header"/>
      <w:jc w:val="right"/>
    </w:pPr>
    <w:r w:rsidRPr="00D623A7">
      <w:t>E/</w:t>
    </w:r>
    <w:proofErr w:type="spellStart"/>
    <w:r w:rsidRPr="00D623A7">
      <w:t>ECE</w:t>
    </w:r>
    <w:proofErr w:type="spellEnd"/>
    <w:r w:rsidRPr="00D623A7">
      <w:t>/324</w:t>
    </w:r>
    <w:r>
      <w:t>/Rev.1/Add.97/Rev.3/Amend.4</w:t>
    </w:r>
    <w:r>
      <w:br/>
    </w:r>
    <w:r w:rsidRPr="00D623A7">
      <w:t>E/</w:t>
    </w:r>
    <w:proofErr w:type="spellStart"/>
    <w:r w:rsidRPr="00D623A7">
      <w:t>ECE</w:t>
    </w:r>
    <w:proofErr w:type="spellEnd"/>
    <w:r w:rsidRPr="00D623A7">
      <w:t>/TRANS/505</w:t>
    </w:r>
    <w:r>
      <w:t>/Rev.1/Add.97/Rev.3/Amend.4</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069603F"/>
    <w:multiLevelType w:val="hybridMultilevel"/>
    <w:tmpl w:val="DF2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94A"/>
    <w:rsid w:val="00050F6B"/>
    <w:rsid w:val="00072C8C"/>
    <w:rsid w:val="000931C0"/>
    <w:rsid w:val="000B175B"/>
    <w:rsid w:val="000B3A0F"/>
    <w:rsid w:val="000D3A4F"/>
    <w:rsid w:val="000E0415"/>
    <w:rsid w:val="000F17A3"/>
    <w:rsid w:val="001220B8"/>
    <w:rsid w:val="00134B40"/>
    <w:rsid w:val="001352D9"/>
    <w:rsid w:val="00165E82"/>
    <w:rsid w:val="001A17D4"/>
    <w:rsid w:val="001B4B04"/>
    <w:rsid w:val="001C6663"/>
    <w:rsid w:val="001C7895"/>
    <w:rsid w:val="001D26DF"/>
    <w:rsid w:val="00211E0B"/>
    <w:rsid w:val="002405A7"/>
    <w:rsid w:val="00271A7F"/>
    <w:rsid w:val="002923A7"/>
    <w:rsid w:val="00292B55"/>
    <w:rsid w:val="002A1E3A"/>
    <w:rsid w:val="003107FA"/>
    <w:rsid w:val="003229D8"/>
    <w:rsid w:val="0033745A"/>
    <w:rsid w:val="003610F4"/>
    <w:rsid w:val="0039277A"/>
    <w:rsid w:val="003972E0"/>
    <w:rsid w:val="003C2CC4"/>
    <w:rsid w:val="003C3936"/>
    <w:rsid w:val="003D4B23"/>
    <w:rsid w:val="003F1ED3"/>
    <w:rsid w:val="004325CB"/>
    <w:rsid w:val="00446DE4"/>
    <w:rsid w:val="0049480E"/>
    <w:rsid w:val="004A41CA"/>
    <w:rsid w:val="004E3FEB"/>
    <w:rsid w:val="00503228"/>
    <w:rsid w:val="00505384"/>
    <w:rsid w:val="005420F2"/>
    <w:rsid w:val="0054561B"/>
    <w:rsid w:val="00567EB2"/>
    <w:rsid w:val="005B3DB3"/>
    <w:rsid w:val="00611FC4"/>
    <w:rsid w:val="006176FB"/>
    <w:rsid w:val="00627ED0"/>
    <w:rsid w:val="00640B26"/>
    <w:rsid w:val="0064636E"/>
    <w:rsid w:val="00665595"/>
    <w:rsid w:val="00685AE1"/>
    <w:rsid w:val="0069341E"/>
    <w:rsid w:val="006A7392"/>
    <w:rsid w:val="006E564B"/>
    <w:rsid w:val="00702920"/>
    <w:rsid w:val="00713BD8"/>
    <w:rsid w:val="0072632A"/>
    <w:rsid w:val="00743CD6"/>
    <w:rsid w:val="00750602"/>
    <w:rsid w:val="00776D12"/>
    <w:rsid w:val="007B6BA5"/>
    <w:rsid w:val="007C3390"/>
    <w:rsid w:val="007C4F4B"/>
    <w:rsid w:val="007F0B83"/>
    <w:rsid w:val="007F6611"/>
    <w:rsid w:val="008051ED"/>
    <w:rsid w:val="008175E9"/>
    <w:rsid w:val="008242D7"/>
    <w:rsid w:val="00827E05"/>
    <w:rsid w:val="008311A3"/>
    <w:rsid w:val="00841EB5"/>
    <w:rsid w:val="00871FD5"/>
    <w:rsid w:val="00886B7F"/>
    <w:rsid w:val="008979B1"/>
    <w:rsid w:val="008A6B25"/>
    <w:rsid w:val="008A6C4F"/>
    <w:rsid w:val="008E0E46"/>
    <w:rsid w:val="008F7091"/>
    <w:rsid w:val="00907AD2"/>
    <w:rsid w:val="00910522"/>
    <w:rsid w:val="00963CBA"/>
    <w:rsid w:val="00974A8D"/>
    <w:rsid w:val="009860C5"/>
    <w:rsid w:val="00991261"/>
    <w:rsid w:val="009F3A17"/>
    <w:rsid w:val="00A1427D"/>
    <w:rsid w:val="00A304ED"/>
    <w:rsid w:val="00A569D6"/>
    <w:rsid w:val="00A6794A"/>
    <w:rsid w:val="00A72F22"/>
    <w:rsid w:val="00A748A6"/>
    <w:rsid w:val="00A85956"/>
    <w:rsid w:val="00A879A4"/>
    <w:rsid w:val="00AC613C"/>
    <w:rsid w:val="00B05A5C"/>
    <w:rsid w:val="00B30179"/>
    <w:rsid w:val="00B33EC0"/>
    <w:rsid w:val="00B701B3"/>
    <w:rsid w:val="00B81E12"/>
    <w:rsid w:val="00BA148D"/>
    <w:rsid w:val="00BC2683"/>
    <w:rsid w:val="00BC358D"/>
    <w:rsid w:val="00BC74E9"/>
    <w:rsid w:val="00BD2146"/>
    <w:rsid w:val="00BD538F"/>
    <w:rsid w:val="00BE4F74"/>
    <w:rsid w:val="00BE618E"/>
    <w:rsid w:val="00BF4A36"/>
    <w:rsid w:val="00C17699"/>
    <w:rsid w:val="00C41A28"/>
    <w:rsid w:val="00C463DD"/>
    <w:rsid w:val="00C51DF2"/>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53C0A"/>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4</Pages>
  <Words>1103</Words>
  <Characters>6290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2015-06-05T12:24:00Z</cp:lastPrinted>
  <dcterms:created xsi:type="dcterms:W3CDTF">2015-06-15T12:01:00Z</dcterms:created>
  <dcterms:modified xsi:type="dcterms:W3CDTF">2015-06-22T09:38:00Z</dcterms:modified>
</cp:coreProperties>
</file>