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257167" w:rsidTr="00457676">
        <w:trPr>
          <w:trHeight w:hRule="exact" w:val="851"/>
        </w:trPr>
        <w:tc>
          <w:tcPr>
            <w:tcW w:w="9639" w:type="dxa"/>
            <w:gridSpan w:val="2"/>
            <w:tcBorders>
              <w:bottom w:val="single" w:sz="4" w:space="0" w:color="auto"/>
            </w:tcBorders>
            <w:shd w:val="clear" w:color="auto" w:fill="auto"/>
            <w:vAlign w:val="bottom"/>
          </w:tcPr>
          <w:p w:rsidR="00257167" w:rsidRPr="00257167" w:rsidRDefault="00257167" w:rsidP="00257167">
            <w:pPr>
              <w:jc w:val="right"/>
            </w:pPr>
            <w:bookmarkStart w:id="0" w:name="_GoBack"/>
            <w:bookmarkEnd w:id="0"/>
            <w:r w:rsidRPr="00257167">
              <w:rPr>
                <w:sz w:val="40"/>
              </w:rPr>
              <w:t>E</w:t>
            </w:r>
            <w:r w:rsidRPr="00257167">
              <w:t>/ECE/324/Rev.1/Add.89/Rev.3/Amend.2−</w:t>
            </w:r>
            <w:r w:rsidRPr="00257167">
              <w:rPr>
                <w:sz w:val="40"/>
              </w:rPr>
              <w:t>E</w:t>
            </w:r>
            <w:r w:rsidRPr="00257167">
              <w:t>/ECE/TRANS/505/Rev.1/Add.89/Rev.3/Amend.2</w:t>
            </w:r>
          </w:p>
        </w:tc>
      </w:tr>
      <w:tr w:rsidR="00421A10" w:rsidRPr="00257167" w:rsidTr="00457676">
        <w:trPr>
          <w:trHeight w:hRule="exact" w:val="2835"/>
        </w:trPr>
        <w:tc>
          <w:tcPr>
            <w:tcW w:w="6804" w:type="dxa"/>
            <w:tcBorders>
              <w:top w:val="single" w:sz="4" w:space="0" w:color="auto"/>
              <w:bottom w:val="single" w:sz="12" w:space="0" w:color="auto"/>
            </w:tcBorders>
            <w:shd w:val="clear" w:color="auto" w:fill="auto"/>
          </w:tcPr>
          <w:p w:rsidR="00421A10" w:rsidRPr="00257167" w:rsidRDefault="00421A10" w:rsidP="00457676">
            <w:pPr>
              <w:spacing w:before="120" w:line="380" w:lineRule="exact"/>
            </w:pPr>
          </w:p>
        </w:tc>
        <w:tc>
          <w:tcPr>
            <w:tcW w:w="2835" w:type="dxa"/>
            <w:tcBorders>
              <w:top w:val="single" w:sz="4" w:space="0" w:color="auto"/>
              <w:bottom w:val="single" w:sz="12" w:space="0" w:color="auto"/>
            </w:tcBorders>
            <w:shd w:val="clear" w:color="auto" w:fill="auto"/>
          </w:tcPr>
          <w:p w:rsidR="00421A10" w:rsidRPr="00257167" w:rsidRDefault="00257167" w:rsidP="00457676">
            <w:pPr>
              <w:spacing w:before="480" w:line="240" w:lineRule="exact"/>
            </w:pPr>
            <w:r w:rsidRPr="00257167">
              <w:t>3 février 2015</w:t>
            </w:r>
          </w:p>
        </w:tc>
      </w:tr>
    </w:tbl>
    <w:p w:rsidR="00421A10" w:rsidRPr="00257167" w:rsidRDefault="0029791D" w:rsidP="0029791D">
      <w:pPr>
        <w:pStyle w:val="HChG"/>
      </w:pPr>
      <w:r w:rsidRPr="00257167">
        <w:tab/>
      </w:r>
      <w:r w:rsidRPr="00257167">
        <w:tab/>
      </w:r>
      <w:r w:rsidR="00421A10" w:rsidRPr="00257167">
        <w:t>Accord</w:t>
      </w:r>
    </w:p>
    <w:p w:rsidR="00421A10" w:rsidRPr="00257167" w:rsidRDefault="0029791D" w:rsidP="0029791D">
      <w:pPr>
        <w:pStyle w:val="H1G"/>
      </w:pPr>
      <w:r w:rsidRPr="00257167">
        <w:tab/>
      </w:r>
      <w:r w:rsidRPr="00257167">
        <w:tab/>
      </w:r>
      <w:r w:rsidR="00421A10" w:rsidRPr="00257167">
        <w:t>Concernant l’adoption de prescriptions techniques uniformes applicables aux véhicules à roues, aux équipements et aux pièces susceptibles d’être montés ou utilisés sur un véhicule à roues</w:t>
      </w:r>
      <w:r w:rsidR="00421A10" w:rsidRPr="00257167">
        <w:br/>
        <w:t>et les conditions de reconnaissance réciproque des homologations délivrées conformément à ces prescriptions</w:t>
      </w:r>
      <w:r w:rsidRPr="00257167">
        <w:rPr>
          <w:b w:val="0"/>
          <w:sz w:val="20"/>
        </w:rPr>
        <w:t>*</w:t>
      </w:r>
    </w:p>
    <w:p w:rsidR="00421A10" w:rsidRPr="00257167" w:rsidRDefault="00421A10" w:rsidP="00257167">
      <w:pPr>
        <w:pStyle w:val="SingleTxtG"/>
        <w:jc w:val="left"/>
        <w:rPr>
          <w:b/>
          <w:sz w:val="24"/>
          <w:szCs w:val="24"/>
        </w:rPr>
      </w:pPr>
      <w:r w:rsidRPr="00257167">
        <w:t xml:space="preserve">(Révision </w:t>
      </w:r>
      <w:r w:rsidR="00257167" w:rsidRPr="00257167">
        <w:t>2,</w:t>
      </w:r>
      <w:r w:rsidRPr="00257167">
        <w:t xml:space="preserve"> comprenant les amendements entrés en vigueur le 16 octobre 1995)</w:t>
      </w:r>
    </w:p>
    <w:p w:rsidR="00421A10" w:rsidRPr="00257167" w:rsidRDefault="0029791D" w:rsidP="0029791D">
      <w:pPr>
        <w:jc w:val="center"/>
      </w:pPr>
      <w:r w:rsidRPr="00257167">
        <w:t>_______________</w:t>
      </w:r>
    </w:p>
    <w:p w:rsidR="00421A10" w:rsidRPr="00257167" w:rsidRDefault="0029791D" w:rsidP="00257167">
      <w:pPr>
        <w:pStyle w:val="HChG"/>
      </w:pPr>
      <w:r w:rsidRPr="00257167">
        <w:tab/>
      </w:r>
      <w:r w:rsidRPr="00257167">
        <w:tab/>
      </w:r>
      <w:r w:rsidR="00421A10" w:rsidRPr="00257167">
        <w:t xml:space="preserve">Additif </w:t>
      </w:r>
      <w:r w:rsidR="00257167" w:rsidRPr="00257167">
        <w:t>89−</w:t>
      </w:r>
      <w:r w:rsidR="00421A10" w:rsidRPr="00257167">
        <w:t xml:space="preserve"> Règlement n</w:t>
      </w:r>
      <w:r w:rsidR="00421A10" w:rsidRPr="00257167">
        <w:rPr>
          <w:vertAlign w:val="superscript"/>
        </w:rPr>
        <w:t>o</w:t>
      </w:r>
      <w:r w:rsidR="00421A10" w:rsidRPr="00257167">
        <w:t> </w:t>
      </w:r>
      <w:r w:rsidR="00257167" w:rsidRPr="00257167">
        <w:t>90</w:t>
      </w:r>
    </w:p>
    <w:p w:rsidR="00421A10" w:rsidRPr="00257167" w:rsidRDefault="0029791D" w:rsidP="0029791D">
      <w:pPr>
        <w:pStyle w:val="H1G"/>
      </w:pPr>
      <w:r w:rsidRPr="00257167">
        <w:tab/>
      </w:r>
      <w:r w:rsidRPr="00257167">
        <w:tab/>
      </w:r>
      <w:r w:rsidR="00421A10" w:rsidRPr="00257167">
        <w:t xml:space="preserve">Révision </w:t>
      </w:r>
      <w:r w:rsidR="00257167" w:rsidRPr="00257167">
        <w:t>3 − Amendement 2</w:t>
      </w:r>
    </w:p>
    <w:p w:rsidR="00421A10" w:rsidRPr="00257167" w:rsidRDefault="00257167" w:rsidP="00DC0BC3">
      <w:pPr>
        <w:pStyle w:val="SingleTxtG"/>
      </w:pPr>
      <w:r w:rsidRPr="00257167">
        <w:rPr>
          <w:spacing w:val="-2"/>
        </w:rPr>
        <w:t xml:space="preserve">Complément 2 à la série 02 d’amendements </w:t>
      </w:r>
      <w:r w:rsidR="00DC0BC3">
        <w:rPr>
          <w:spacing w:val="-2"/>
        </w:rPr>
        <w:t>−</w:t>
      </w:r>
      <w:r w:rsidRPr="00257167">
        <w:rPr>
          <w:spacing w:val="-2"/>
        </w:rPr>
        <w:t xml:space="preserve"> Date d’entrée en vigueur: 22 janvier </w:t>
      </w:r>
      <w:r w:rsidRPr="00257167">
        <w:t>2015</w:t>
      </w:r>
    </w:p>
    <w:p w:rsidR="00421A10" w:rsidRPr="00257167" w:rsidRDefault="0029791D" w:rsidP="00257167">
      <w:pPr>
        <w:pStyle w:val="H1G"/>
      </w:pPr>
      <w:r w:rsidRPr="00257167">
        <w:tab/>
      </w:r>
      <w:r w:rsidRPr="00257167">
        <w:tab/>
      </w:r>
      <w:r w:rsidR="00257167" w:rsidRPr="00257167">
        <w:t>Prescriptions uniformes relatives à l’</w:t>
      </w:r>
      <w:r w:rsidR="00DC0BC3">
        <w:t>homologation des plaquettes de </w:t>
      </w:r>
      <w:r w:rsidR="00257167" w:rsidRPr="00257167">
        <w:t>frein de rechange, des garnitures de frein à tambour de rechang</w:t>
      </w:r>
      <w:r w:rsidR="00DC0BC3">
        <w:t>e et </w:t>
      </w:r>
      <w:r w:rsidR="00257167" w:rsidRPr="00257167">
        <w:t>des disques et tambours de rechange</w:t>
      </w:r>
      <w:r w:rsidR="00DC0BC3">
        <w:t xml:space="preserve"> pour les véhicules à moteur et </w:t>
      </w:r>
      <w:r w:rsidR="00257167" w:rsidRPr="00257167">
        <w:t>leurs remorques</w:t>
      </w:r>
    </w:p>
    <w:p w:rsidR="00257167" w:rsidRPr="00257167" w:rsidRDefault="00257167" w:rsidP="00257167">
      <w:pPr>
        <w:pStyle w:val="SingleTxtG"/>
      </w:pPr>
      <w:r w:rsidRPr="00257167">
        <w:br w:type="page"/>
      </w:r>
      <w:r w:rsidRPr="00257167">
        <w:rPr>
          <w:i/>
        </w:rPr>
        <w:lastRenderedPageBreak/>
        <w:t>Paragraphe 1.2</w:t>
      </w:r>
      <w:r w:rsidRPr="00257167">
        <w:t>, modifier comme suit:</w:t>
      </w:r>
    </w:p>
    <w:p w:rsidR="00257167" w:rsidRPr="00257167" w:rsidRDefault="00257167" w:rsidP="00257167">
      <w:pPr>
        <w:pStyle w:val="SingleTxtG"/>
        <w:ind w:left="2268" w:hanging="1134"/>
      </w:pPr>
      <w:r w:rsidRPr="00257167">
        <w:t>«1.2</w:t>
      </w:r>
      <w:r w:rsidRPr="00257167">
        <w:tab/>
        <w:t>Les disques de frein, tambours de frein, garnitures de frein assemblées et garnitures de frein à tambour d’origine montés lors d</w:t>
      </w:r>
      <w:r w:rsidR="00DC0BC3">
        <w:t>e la fabrication du </w:t>
      </w:r>
      <w:r w:rsidRPr="00257167">
        <w:t>véhicule, ainsi que les disques de frein, tambours de frein, garnitures de frein assemblées et garnitures de frein à tambour de rechange d’origine destinés à la réparation du véhicule, ne sont</w:t>
      </w:r>
      <w:r w:rsidR="00DC0BC3">
        <w:t xml:space="preserve"> pas soumis aux dispositions du </w:t>
      </w:r>
      <w:r w:rsidRPr="00257167">
        <w:t>présent Règlement.».</w:t>
      </w:r>
    </w:p>
    <w:p w:rsidR="00257167" w:rsidRPr="00257167" w:rsidRDefault="00257167" w:rsidP="00257167">
      <w:pPr>
        <w:pStyle w:val="SingleTxtG"/>
      </w:pPr>
      <w:r w:rsidRPr="00257167">
        <w:rPr>
          <w:i/>
          <w:iCs/>
        </w:rPr>
        <w:t>Ajouter deux nouveaux paragraphes, 2.2.13 et 2.2.14</w:t>
      </w:r>
      <w:r w:rsidRPr="00257167">
        <w:t>, ainsi conçus:</w:t>
      </w:r>
    </w:p>
    <w:p w:rsidR="00257167" w:rsidRPr="00257167" w:rsidRDefault="00257167" w:rsidP="00257167">
      <w:pPr>
        <w:pStyle w:val="SingleTxtG"/>
        <w:ind w:left="2268" w:hanging="1134"/>
        <w:rPr>
          <w:rFonts w:eastAsia="MS Mincho"/>
          <w:bCs/>
          <w:lang w:eastAsia="en-GB"/>
        </w:rPr>
      </w:pPr>
      <w:r w:rsidRPr="00257167">
        <w:rPr>
          <w:rFonts w:eastAsia="MS Mincho"/>
          <w:lang w:eastAsia="en-GB"/>
        </w:rPr>
        <w:t>«2.2.13</w:t>
      </w:r>
      <w:r w:rsidRPr="00257167">
        <w:rPr>
          <w:rFonts w:eastAsia="MS Mincho"/>
          <w:lang w:eastAsia="en-GB"/>
        </w:rPr>
        <w:tab/>
      </w:r>
      <w:r w:rsidRPr="00257167">
        <w:rPr>
          <w:szCs w:val="24"/>
        </w:rPr>
        <w:t>“</w:t>
      </w:r>
      <w:r w:rsidRPr="00257167">
        <w:rPr>
          <w:i/>
          <w:szCs w:val="24"/>
        </w:rPr>
        <w:t>Garniture de frein assemblée identique</w:t>
      </w:r>
      <w:r w:rsidRPr="00257167">
        <w:rPr>
          <w:szCs w:val="24"/>
        </w:rPr>
        <w:t>”, une garniture de frein assemblée de rechange qui est identique à la garniture de frein assemblée fournie et installée en tant qu’équipement d’origine et incluse dans l’homologation de type du véhicule selon le Règlement n</w:t>
      </w:r>
      <w:r w:rsidRPr="00257167">
        <w:rPr>
          <w:szCs w:val="24"/>
          <w:vertAlign w:val="superscript"/>
        </w:rPr>
        <w:t>o</w:t>
      </w:r>
      <w:r w:rsidRPr="00257167">
        <w:rPr>
          <w:szCs w:val="24"/>
        </w:rPr>
        <w:t> 13 ou le Règlement n</w:t>
      </w:r>
      <w:r w:rsidRPr="00257167">
        <w:rPr>
          <w:szCs w:val="24"/>
          <w:vertAlign w:val="superscript"/>
        </w:rPr>
        <w:t>o</w:t>
      </w:r>
      <w:r w:rsidRPr="00257167">
        <w:rPr>
          <w:szCs w:val="24"/>
        </w:rPr>
        <w:t> 13-H, à l’exception de la marque du constructeur du véhicule ou du fabricant du frein, qui est absente</w:t>
      </w:r>
      <w:r w:rsidRPr="00257167">
        <w:rPr>
          <w:bCs/>
          <w:szCs w:val="24"/>
        </w:rPr>
        <w:t>.</w:t>
      </w:r>
    </w:p>
    <w:p w:rsidR="00257167" w:rsidRPr="00257167" w:rsidRDefault="00257167" w:rsidP="00257167">
      <w:pPr>
        <w:pStyle w:val="SingleTxtG"/>
        <w:ind w:left="2268" w:hanging="1134"/>
        <w:rPr>
          <w:rFonts w:eastAsia="MS Mincho"/>
          <w:bCs/>
          <w:lang w:eastAsia="en-GB"/>
        </w:rPr>
      </w:pPr>
      <w:r>
        <w:rPr>
          <w:rFonts w:eastAsia="MS Mincho"/>
          <w:lang w:eastAsia="en-GB"/>
        </w:rPr>
        <w:t>2.2.14</w:t>
      </w:r>
      <w:r w:rsidRPr="00257167">
        <w:rPr>
          <w:rFonts w:eastAsia="MS Mincho"/>
          <w:lang w:eastAsia="en-GB"/>
        </w:rPr>
        <w:tab/>
      </w:r>
      <w:r w:rsidRPr="00257167">
        <w:rPr>
          <w:szCs w:val="24"/>
        </w:rPr>
        <w:t>“</w:t>
      </w:r>
      <w:r w:rsidRPr="00257167">
        <w:rPr>
          <w:i/>
          <w:szCs w:val="24"/>
        </w:rPr>
        <w:t>Garniture de frein à tambour identique</w:t>
      </w:r>
      <w:r w:rsidRPr="00257167">
        <w:rPr>
          <w:szCs w:val="24"/>
        </w:rPr>
        <w:t>”, une garniture de frein à tambour de rechange qui est identique à la garniture de frein à tambour fournie et installée en tant qu’équipement d’origine et incluse dans l’homologation de type du véhicule selon le Règlement n</w:t>
      </w:r>
      <w:r w:rsidRPr="00257167">
        <w:rPr>
          <w:szCs w:val="24"/>
          <w:vertAlign w:val="superscript"/>
        </w:rPr>
        <w:t>o</w:t>
      </w:r>
      <w:r w:rsidRPr="00257167">
        <w:rPr>
          <w:szCs w:val="24"/>
        </w:rPr>
        <w:t> 13 ou le Règlement n</w:t>
      </w:r>
      <w:r w:rsidRPr="00257167">
        <w:rPr>
          <w:szCs w:val="24"/>
          <w:vertAlign w:val="superscript"/>
        </w:rPr>
        <w:t>o</w:t>
      </w:r>
      <w:r w:rsidRPr="00257167">
        <w:rPr>
          <w:szCs w:val="24"/>
        </w:rPr>
        <w:t> 13-H, à l’exception de la marque du constructeur du véhicule ou du fabricant du frein, qui est absente</w:t>
      </w:r>
      <w:r w:rsidRPr="00257167">
        <w:rPr>
          <w:bCs/>
          <w:szCs w:val="24"/>
        </w:rPr>
        <w:t>.</w:t>
      </w:r>
      <w:r w:rsidRPr="00257167">
        <w:rPr>
          <w:szCs w:val="24"/>
        </w:rPr>
        <w:t>».</w:t>
      </w:r>
    </w:p>
    <w:p w:rsidR="00257167" w:rsidRPr="00257167" w:rsidRDefault="00257167" w:rsidP="00257167">
      <w:pPr>
        <w:pStyle w:val="SingleTxtG"/>
      </w:pPr>
      <w:r w:rsidRPr="00257167">
        <w:rPr>
          <w:i/>
          <w:iCs/>
        </w:rPr>
        <w:t>Paragraphe 2.3.3.2</w:t>
      </w:r>
      <w:r w:rsidRPr="00257167">
        <w:t>, modifier comme suit:</w:t>
      </w:r>
    </w:p>
    <w:p w:rsidR="00257167" w:rsidRPr="00257167" w:rsidRDefault="00257167" w:rsidP="00257167">
      <w:pPr>
        <w:pStyle w:val="SingleTxtG"/>
        <w:ind w:left="2268" w:hanging="1134"/>
      </w:pPr>
      <w:r w:rsidRPr="00257167">
        <w:t>«2.3.3.2</w:t>
      </w:r>
      <w:r w:rsidRPr="00257167">
        <w:tab/>
      </w:r>
      <w:r w:rsidRPr="00257167">
        <w:rPr>
          <w:szCs w:val="24"/>
        </w:rPr>
        <w:t>“</w:t>
      </w:r>
      <w:r w:rsidRPr="00257167">
        <w:rPr>
          <w:i/>
          <w:szCs w:val="24"/>
        </w:rPr>
        <w:t>Disque de frein identique</w:t>
      </w:r>
      <w:r w:rsidRPr="00257167">
        <w:rPr>
          <w:szCs w:val="24"/>
        </w:rPr>
        <w:t>”, un disque de frein de rechange qui est identique au disque de frein fourni et monté en tant qu’équipement d’origine et inclus dans l’homologation de type du véhicule selon le Règlement n</w:t>
      </w:r>
      <w:r w:rsidRPr="00257167">
        <w:rPr>
          <w:szCs w:val="24"/>
          <w:vertAlign w:val="superscript"/>
        </w:rPr>
        <w:t>o</w:t>
      </w:r>
      <w:r w:rsidRPr="00257167">
        <w:rPr>
          <w:szCs w:val="24"/>
        </w:rPr>
        <w:t> 13 ou le Règlement n</w:t>
      </w:r>
      <w:r w:rsidRPr="00257167">
        <w:rPr>
          <w:szCs w:val="24"/>
          <w:vertAlign w:val="superscript"/>
        </w:rPr>
        <w:t>o</w:t>
      </w:r>
      <w:r w:rsidRPr="00257167">
        <w:rPr>
          <w:szCs w:val="24"/>
        </w:rPr>
        <w:t> 13-H, à l’exception de la marque du constructeur du véhicule ou du fabricant du frein et du code d’identification, qui sont absents.».</w:t>
      </w:r>
    </w:p>
    <w:p w:rsidR="00257167" w:rsidRPr="00257167" w:rsidRDefault="00257167" w:rsidP="00257167">
      <w:pPr>
        <w:pStyle w:val="SingleTxtG"/>
      </w:pPr>
      <w:r w:rsidRPr="00257167">
        <w:rPr>
          <w:i/>
        </w:rPr>
        <w:t>Paragraphe 2.3.3.3</w:t>
      </w:r>
      <w:r w:rsidRPr="00257167">
        <w:rPr>
          <w:iCs/>
        </w:rPr>
        <w:t xml:space="preserve">, </w:t>
      </w:r>
      <w:r w:rsidRPr="00257167">
        <w:t>modifier comme suit:</w:t>
      </w:r>
    </w:p>
    <w:p w:rsidR="00257167" w:rsidRPr="00257167" w:rsidRDefault="00257167" w:rsidP="00257167">
      <w:pPr>
        <w:pStyle w:val="SingleTxtG"/>
        <w:ind w:left="2268" w:hanging="1134"/>
      </w:pPr>
      <w:r w:rsidRPr="00257167">
        <w:t>«2.3.3.3</w:t>
      </w:r>
      <w:r w:rsidRPr="00257167">
        <w:tab/>
      </w:r>
      <w:r w:rsidRPr="00257167">
        <w:rPr>
          <w:szCs w:val="24"/>
        </w:rPr>
        <w:t>“</w:t>
      </w:r>
      <w:r w:rsidRPr="00257167">
        <w:rPr>
          <w:i/>
          <w:szCs w:val="24"/>
        </w:rPr>
        <w:t>Tambour de frein identique</w:t>
      </w:r>
      <w:r w:rsidRPr="00257167">
        <w:rPr>
          <w:szCs w:val="24"/>
        </w:rPr>
        <w:t>”, un tambour de frein de rechange qui est identique au tambour de frein fourni et monté en tant qu’équipement d’origine et inclus dans l’homologation de type du véhicule selon le Règlement n</w:t>
      </w:r>
      <w:r w:rsidRPr="00257167">
        <w:rPr>
          <w:szCs w:val="24"/>
          <w:vertAlign w:val="superscript"/>
        </w:rPr>
        <w:t>o</w:t>
      </w:r>
      <w:r w:rsidRPr="00257167">
        <w:rPr>
          <w:szCs w:val="24"/>
        </w:rPr>
        <w:t> 13 ou le Règlement n</w:t>
      </w:r>
      <w:r w:rsidRPr="00257167">
        <w:rPr>
          <w:szCs w:val="24"/>
          <w:vertAlign w:val="superscript"/>
        </w:rPr>
        <w:t>o</w:t>
      </w:r>
      <w:r w:rsidRPr="00257167">
        <w:rPr>
          <w:szCs w:val="24"/>
        </w:rPr>
        <w:t> 13-H, à l’exception de la marque du constructeur du véhicule ou du fabricant du frein et du code d’identification, qui sont absents.».</w:t>
      </w:r>
    </w:p>
    <w:p w:rsidR="00257167" w:rsidRPr="00257167" w:rsidRDefault="00257167" w:rsidP="00257167">
      <w:pPr>
        <w:pStyle w:val="SingleTxtG"/>
        <w:rPr>
          <w:lang w:eastAsia="en-GB"/>
        </w:rPr>
      </w:pPr>
      <w:r w:rsidRPr="00257167">
        <w:rPr>
          <w:i/>
          <w:iCs/>
          <w:lang w:eastAsia="en-GB"/>
        </w:rPr>
        <w:t>Ajouter un nouveau paragraphe</w:t>
      </w:r>
      <w:r w:rsidR="00CD1840">
        <w:rPr>
          <w:i/>
          <w:iCs/>
          <w:lang w:eastAsia="en-GB"/>
        </w:rPr>
        <w:t>,</w:t>
      </w:r>
      <w:r w:rsidRPr="00257167">
        <w:rPr>
          <w:i/>
          <w:iCs/>
          <w:lang w:eastAsia="en-GB"/>
        </w:rPr>
        <w:t xml:space="preserve"> 5.1.3</w:t>
      </w:r>
      <w:r w:rsidRPr="00257167">
        <w:rPr>
          <w:iCs/>
          <w:lang w:eastAsia="en-GB"/>
        </w:rPr>
        <w:t xml:space="preserve">, </w:t>
      </w:r>
      <w:r w:rsidRPr="00257167">
        <w:rPr>
          <w:lang w:eastAsia="en-GB"/>
        </w:rPr>
        <w:t>ainsi conçu (y compris un appel de note de bas de page et une nouvelle note de bas de page</w:t>
      </w:r>
      <w:r w:rsidR="00DC0BC3">
        <w:rPr>
          <w:lang w:eastAsia="en-GB"/>
        </w:rPr>
        <w:t xml:space="preserve"> </w:t>
      </w:r>
      <w:r w:rsidRPr="00257167">
        <w:rPr>
          <w:lang w:eastAsia="en-GB"/>
        </w:rPr>
        <w:sym w:font="Symbol" w:char="F02A"/>
      </w:r>
      <w:r w:rsidRPr="00257167">
        <w:rPr>
          <w:lang w:eastAsia="en-GB"/>
        </w:rPr>
        <w:t>):</w:t>
      </w:r>
    </w:p>
    <w:p w:rsidR="00257167" w:rsidRPr="00257167" w:rsidRDefault="00257167" w:rsidP="00257167">
      <w:pPr>
        <w:pStyle w:val="SingleTxtG"/>
        <w:ind w:left="2268" w:hanging="1134"/>
        <w:rPr>
          <w:bCs/>
        </w:rPr>
      </w:pPr>
      <w:r w:rsidRPr="00257167">
        <w:rPr>
          <w:bCs/>
        </w:rPr>
        <w:t>«5.1.3</w:t>
      </w:r>
      <w:r w:rsidRPr="00257167">
        <w:rPr>
          <w:bCs/>
        </w:rPr>
        <w:tab/>
      </w:r>
      <w:r w:rsidRPr="00257167">
        <w:rPr>
          <w:bCs/>
          <w:szCs w:val="24"/>
        </w:rPr>
        <w:t xml:space="preserve">Il n’est pas nécessaire de soumettre les garnitures de frein assemblées identiques et les </w:t>
      </w:r>
      <w:r w:rsidRPr="00257167">
        <w:rPr>
          <w:szCs w:val="24"/>
        </w:rPr>
        <w:t>garnitures</w:t>
      </w:r>
      <w:r w:rsidRPr="00257167">
        <w:rPr>
          <w:bCs/>
          <w:szCs w:val="24"/>
        </w:rPr>
        <w:t xml:space="preserve"> de frein à tambour identiques à des essais conformément aux prescriptions du paragraphe 5.2.1 ci-après si les conditions suivantes sont réunies:</w:t>
      </w:r>
    </w:p>
    <w:p w:rsidR="00257167" w:rsidRPr="00257167" w:rsidRDefault="00257167" w:rsidP="00257167">
      <w:pPr>
        <w:pStyle w:val="SingleTxtG"/>
        <w:ind w:left="2835" w:hanging="567"/>
        <w:rPr>
          <w:rFonts w:eastAsia="MS Mincho"/>
          <w:lang w:eastAsia="en-GB"/>
        </w:rPr>
      </w:pPr>
      <w:r w:rsidRPr="00257167">
        <w:rPr>
          <w:rFonts w:eastAsia="MS Mincho"/>
          <w:lang w:eastAsia="en-GB"/>
        </w:rPr>
        <w:t>a)</w:t>
      </w:r>
      <w:r w:rsidRPr="00257167">
        <w:rPr>
          <w:rFonts w:eastAsia="MS Mincho"/>
          <w:lang w:eastAsia="en-GB"/>
        </w:rPr>
        <w:tab/>
      </w:r>
      <w:r w:rsidRPr="00257167">
        <w:t>Le demandeur de l’homologation démontre qu’il produit et fournit les garnitures de frein assemblées ou les garnitures de frein à tambour en question au constructeur du véhicule ou au fabricant du frein comme équipement d’origine pour les modèles/essieux/freins mentionnés au point 6 de l’annexe 1A dont l’homologation est demandée;</w:t>
      </w:r>
    </w:p>
    <w:p w:rsidR="00257167" w:rsidRPr="00257167" w:rsidRDefault="00257167" w:rsidP="00257167">
      <w:pPr>
        <w:pStyle w:val="SingleTxtG"/>
        <w:ind w:left="2835" w:hanging="567"/>
        <w:rPr>
          <w:rFonts w:eastAsia="MS Mincho"/>
          <w:lang w:eastAsia="en-GB"/>
        </w:rPr>
      </w:pPr>
      <w:r w:rsidRPr="00257167">
        <w:rPr>
          <w:rFonts w:eastAsia="MS Mincho"/>
          <w:bCs/>
          <w:lang w:eastAsia="en-GB"/>
        </w:rPr>
        <w:t>b)</w:t>
      </w:r>
      <w:r w:rsidRPr="00257167">
        <w:rPr>
          <w:rFonts w:eastAsia="MS Mincho"/>
          <w:bCs/>
          <w:lang w:eastAsia="en-GB"/>
        </w:rPr>
        <w:tab/>
      </w:r>
      <w:r w:rsidRPr="00257167">
        <w:rPr>
          <w:bCs/>
          <w:szCs w:val="24"/>
        </w:rPr>
        <w:t xml:space="preserve">Le service technique ou l’autorité d’homologation de type vérifie que le demandeur produit et fournit la pièce mentionnée à l’appendice 1 de l’annexe 2 du Règlement </w:t>
      </w:r>
      <w:r w:rsidRPr="00257167">
        <w:rPr>
          <w:szCs w:val="24"/>
        </w:rPr>
        <w:t>n</w:t>
      </w:r>
      <w:r w:rsidRPr="00257167">
        <w:rPr>
          <w:szCs w:val="24"/>
          <w:vertAlign w:val="superscript"/>
        </w:rPr>
        <w:t>o</w:t>
      </w:r>
      <w:r w:rsidRPr="00257167">
        <w:rPr>
          <w:szCs w:val="24"/>
        </w:rPr>
        <w:t> </w:t>
      </w:r>
      <w:r w:rsidRPr="00257167">
        <w:rPr>
          <w:bCs/>
          <w:szCs w:val="24"/>
        </w:rPr>
        <w:t xml:space="preserve">13/à l’appendice de l’annexe 1 du </w:t>
      </w:r>
      <w:r w:rsidRPr="00257167">
        <w:rPr>
          <w:bCs/>
          <w:szCs w:val="24"/>
        </w:rPr>
        <w:lastRenderedPageBreak/>
        <w:t xml:space="preserve">Règlement </w:t>
      </w:r>
      <w:r w:rsidRPr="00257167">
        <w:rPr>
          <w:szCs w:val="24"/>
        </w:rPr>
        <w:t>n</w:t>
      </w:r>
      <w:r w:rsidRPr="00257167">
        <w:rPr>
          <w:szCs w:val="24"/>
          <w:vertAlign w:val="superscript"/>
        </w:rPr>
        <w:t>o</w:t>
      </w:r>
      <w:r w:rsidRPr="00257167">
        <w:rPr>
          <w:szCs w:val="24"/>
        </w:rPr>
        <w:t> </w:t>
      </w:r>
      <w:r w:rsidRPr="00257167">
        <w:rPr>
          <w:bCs/>
          <w:szCs w:val="24"/>
        </w:rPr>
        <w:t>13-H, au paragraphe intitulé “Marques et types des garnitures de frein”*;</w:t>
      </w:r>
    </w:p>
    <w:p w:rsidR="00257167" w:rsidRPr="00257167" w:rsidRDefault="00257167" w:rsidP="00257167">
      <w:pPr>
        <w:pStyle w:val="SingleTxtG"/>
        <w:ind w:left="2835" w:hanging="567"/>
        <w:rPr>
          <w:rFonts w:eastAsia="MS Mincho"/>
          <w:lang w:eastAsia="en-GB"/>
        </w:rPr>
      </w:pPr>
      <w:r w:rsidRPr="00257167">
        <w:rPr>
          <w:rFonts w:eastAsia="MS Mincho"/>
          <w:bCs/>
          <w:lang w:eastAsia="en-GB"/>
        </w:rPr>
        <w:t>c)</w:t>
      </w:r>
      <w:r w:rsidRPr="00257167">
        <w:rPr>
          <w:rFonts w:eastAsia="MS Mincho"/>
          <w:bCs/>
          <w:lang w:eastAsia="en-GB"/>
        </w:rPr>
        <w:tab/>
        <w:t>Le demandeur de l’homologation continue de produire les pièces d’origine et identiques:</w:t>
      </w:r>
    </w:p>
    <w:p w:rsidR="00257167" w:rsidRPr="00257167" w:rsidRDefault="00257167" w:rsidP="00257167">
      <w:pPr>
        <w:pStyle w:val="SingleTxtG"/>
        <w:ind w:left="3402" w:hanging="567"/>
        <w:rPr>
          <w:lang w:eastAsia="en-GB"/>
        </w:rPr>
      </w:pPr>
      <w:r w:rsidRPr="00257167">
        <w:rPr>
          <w:lang w:eastAsia="en-GB"/>
        </w:rPr>
        <w:t>i)</w:t>
      </w:r>
      <w:r w:rsidRPr="00257167">
        <w:rPr>
          <w:lang w:eastAsia="en-GB"/>
        </w:rPr>
        <w:tab/>
        <w:t xml:space="preserve">À partir du même matériau brut; </w:t>
      </w:r>
    </w:p>
    <w:p w:rsidR="00257167" w:rsidRPr="00257167" w:rsidRDefault="00257167" w:rsidP="00257167">
      <w:pPr>
        <w:pStyle w:val="SingleTxtG"/>
        <w:ind w:left="3402" w:hanging="567"/>
        <w:rPr>
          <w:lang w:eastAsia="en-GB"/>
        </w:rPr>
      </w:pPr>
      <w:r w:rsidRPr="00257167">
        <w:rPr>
          <w:lang w:eastAsia="en-GB"/>
        </w:rPr>
        <w:t>ii)</w:t>
      </w:r>
      <w:r w:rsidRPr="00257167">
        <w:rPr>
          <w:lang w:eastAsia="en-GB"/>
        </w:rPr>
        <w:tab/>
        <w:t>Selon le même processus de fabrication;</w:t>
      </w:r>
    </w:p>
    <w:p w:rsidR="00257167" w:rsidRPr="00257167" w:rsidRDefault="00257167" w:rsidP="00257167">
      <w:pPr>
        <w:pStyle w:val="SingleTxtG"/>
        <w:ind w:left="3402" w:hanging="567"/>
        <w:rPr>
          <w:lang w:eastAsia="en-GB"/>
        </w:rPr>
      </w:pPr>
      <w:r w:rsidRPr="00257167">
        <w:rPr>
          <w:lang w:eastAsia="en-GB"/>
        </w:rPr>
        <w:t>iii)</w:t>
      </w:r>
      <w:r w:rsidRPr="00257167">
        <w:rPr>
          <w:lang w:eastAsia="en-GB"/>
        </w:rPr>
        <w:tab/>
        <w:t>Sur la même chaîne de production;</w:t>
      </w:r>
    </w:p>
    <w:p w:rsidR="00257167" w:rsidRPr="00257167" w:rsidRDefault="00257167" w:rsidP="00257167">
      <w:pPr>
        <w:pStyle w:val="SingleTxtG"/>
        <w:ind w:left="3402" w:hanging="567"/>
        <w:rPr>
          <w:lang w:eastAsia="en-GB"/>
        </w:rPr>
      </w:pPr>
      <w:r w:rsidRPr="00257167">
        <w:rPr>
          <w:lang w:eastAsia="en-GB"/>
        </w:rPr>
        <w:t>iv)</w:t>
      </w:r>
      <w:r w:rsidRPr="00257167">
        <w:rPr>
          <w:lang w:eastAsia="en-GB"/>
        </w:rPr>
        <w:tab/>
        <w:t>Avec le même système d’assurance qualité;</w:t>
      </w:r>
    </w:p>
    <w:p w:rsidR="00257167" w:rsidRPr="00257167" w:rsidRDefault="00257167" w:rsidP="00257167">
      <w:pPr>
        <w:pStyle w:val="SingleTxtG"/>
        <w:ind w:left="3402" w:hanging="567"/>
        <w:rPr>
          <w:lang w:eastAsia="en-GB"/>
        </w:rPr>
      </w:pPr>
      <w:r w:rsidRPr="00257167">
        <w:rPr>
          <w:lang w:eastAsia="en-GB"/>
        </w:rPr>
        <w:t>v)</w:t>
      </w:r>
      <w:r w:rsidRPr="00257167">
        <w:rPr>
          <w:lang w:eastAsia="en-GB"/>
        </w:rPr>
        <w:tab/>
        <w:t>Avec les mêmes résultats pour les essais de conformité de la production visés au paragraphe 8.4.1 du présent Règlement que pour les pièces d’origine.</w:t>
      </w:r>
    </w:p>
    <w:p w:rsidR="00257167" w:rsidRDefault="00257167" w:rsidP="00935CB6">
      <w:pPr>
        <w:pStyle w:val="SingleTxtG"/>
        <w:ind w:left="2268"/>
        <w:rPr>
          <w:bCs/>
          <w:szCs w:val="24"/>
        </w:rPr>
      </w:pPr>
      <w:r w:rsidRPr="00257167">
        <w:rPr>
          <w:bCs/>
          <w:szCs w:val="24"/>
        </w:rPr>
        <w:t>La démonstration du respect des prescriptions du présent paragraphe doit être confirmée par un audit sur site, réalisé par le service technique responsable de l’homologation. Aux fins de l’audit, le fabricant doit mettre à disposition le schéma du processus de fabrication et le plan de contrôle de la production.</w:t>
      </w:r>
    </w:p>
    <w:p w:rsidR="00935CB6" w:rsidRPr="00D27D5E" w:rsidRDefault="00935CB6" w:rsidP="00935CB6">
      <w:pPr>
        <w:tabs>
          <w:tab w:val="right" w:pos="2155"/>
        </w:tabs>
        <w:spacing w:after="80"/>
        <w:ind w:left="680"/>
        <w:rPr>
          <w:u w:val="single"/>
        </w:rPr>
      </w:pPr>
      <w:r>
        <w:rPr>
          <w:u w:val="single"/>
        </w:rPr>
        <w:tab/>
      </w:r>
    </w:p>
    <w:p w:rsidR="00257167" w:rsidRPr="00257167" w:rsidRDefault="00935CB6" w:rsidP="00935CB6">
      <w:pPr>
        <w:pStyle w:val="FootnoteText"/>
        <w:spacing w:after="240"/>
      </w:pPr>
      <w:r>
        <w:tab/>
      </w:r>
      <w:r w:rsidR="00257167" w:rsidRPr="00257167">
        <w:t>*</w:t>
      </w:r>
      <w:r w:rsidR="00257167" w:rsidRPr="00257167">
        <w:tab/>
        <w:t>Les renseignements figurant dans l’appendice 1 de l’annexe 2 du Règlement n</w:t>
      </w:r>
      <w:r w:rsidR="00257167" w:rsidRPr="00257167">
        <w:rPr>
          <w:vertAlign w:val="superscript"/>
        </w:rPr>
        <w:t>o</w:t>
      </w:r>
      <w:r w:rsidR="00257167" w:rsidRPr="00257167">
        <w:t> 13 ou dans l’appendice de l’annexe 1 du Règlement n</w:t>
      </w:r>
      <w:r w:rsidR="00257167" w:rsidRPr="00257167">
        <w:rPr>
          <w:vertAlign w:val="superscript"/>
        </w:rPr>
        <w:t>o</w:t>
      </w:r>
      <w:r w:rsidR="00257167" w:rsidRPr="00257167">
        <w:t> 13-H doivent être communiqués par l’autorité qui délivre l’homologation de type aux demandeurs de l’homologation en vertu du Règlement n</w:t>
      </w:r>
      <w:r w:rsidR="00257167" w:rsidRPr="00257167">
        <w:rPr>
          <w:vertAlign w:val="superscript"/>
        </w:rPr>
        <w:t>o</w:t>
      </w:r>
      <w:r w:rsidR="00257167" w:rsidRPr="00257167">
        <w:t> 90 s’ils en font la demande. Ces renseignements ne doivent cependant pas être communiqués à d’autres fins que pour les homologations en vertu du Règlement n</w:t>
      </w:r>
      <w:r w:rsidR="00257167" w:rsidRPr="00257167">
        <w:rPr>
          <w:vertAlign w:val="superscript"/>
        </w:rPr>
        <w:t>o</w:t>
      </w:r>
      <w:r w:rsidR="00257167" w:rsidRPr="00257167">
        <w:t> 90.</w:t>
      </w:r>
      <w:r w:rsidR="00257167" w:rsidRPr="00935CB6">
        <w:rPr>
          <w:sz w:val="20"/>
        </w:rPr>
        <w:t>».</w:t>
      </w:r>
    </w:p>
    <w:p w:rsidR="00257167" w:rsidRPr="00257167" w:rsidRDefault="00257167" w:rsidP="00257167">
      <w:pPr>
        <w:pStyle w:val="SingleTxtG"/>
      </w:pPr>
      <w:r w:rsidRPr="00257167">
        <w:rPr>
          <w:i/>
        </w:rPr>
        <w:t>Paragraphe 5.3.2.1</w:t>
      </w:r>
      <w:r w:rsidRPr="00257167">
        <w:rPr>
          <w:iCs/>
        </w:rPr>
        <w:t xml:space="preserve">, </w:t>
      </w:r>
      <w:r w:rsidRPr="00257167">
        <w:t>modifier comme suit:</w:t>
      </w:r>
    </w:p>
    <w:p w:rsidR="00257167" w:rsidRPr="00257167" w:rsidRDefault="00257167" w:rsidP="00257167">
      <w:pPr>
        <w:pStyle w:val="SingleTxtG"/>
        <w:ind w:left="2268" w:hanging="1134"/>
      </w:pPr>
      <w:r w:rsidRPr="00257167">
        <w:t>«5.3.2.1</w:t>
      </w:r>
      <w:r w:rsidRPr="00257167">
        <w:tab/>
      </w:r>
      <w:r w:rsidRPr="00257167">
        <w:rPr>
          <w:szCs w:val="24"/>
        </w:rPr>
        <w:t>Le demandeur de l’homologation doit démontrer au service technique ou à l’autorité d’homologation qu’il produit et fournit les disques ou tambours de frein en question au constructeur du véhicule comme équipement d’origine pour les modèles/essieux mentionnés au point 4 de l’annexe 1B dont l’homologation est demandée. Cette démonstration doit inclure des éléments vérifiables attestant que les disques ou les tambours de frein sont produits selon le même système de production et d’assurance qualité que les pièces d’origine, comme indiqué au paragraphe 2.3.1 du présent Règlement. En particulier, le demandeur de l’homologation doit continuer de produire les pièces d’origine et identiques:</w:t>
      </w:r>
    </w:p>
    <w:p w:rsidR="00257167" w:rsidRPr="00257167" w:rsidRDefault="00257167" w:rsidP="00257167">
      <w:pPr>
        <w:pStyle w:val="SingleTxtG"/>
        <w:ind w:left="2835" w:hanging="567"/>
      </w:pPr>
      <w:r w:rsidRPr="00257167">
        <w:t>a)</w:t>
      </w:r>
      <w:r w:rsidRPr="00257167">
        <w:tab/>
        <w:t xml:space="preserve">À partir du même </w:t>
      </w:r>
      <w:r w:rsidRPr="001C703A">
        <w:rPr>
          <w:rFonts w:eastAsia="MS Mincho"/>
          <w:lang w:eastAsia="en-GB"/>
        </w:rPr>
        <w:t>matériau</w:t>
      </w:r>
      <w:r w:rsidRPr="00257167">
        <w:t xml:space="preserve"> brut (composition et microstructure);</w:t>
      </w:r>
    </w:p>
    <w:p w:rsidR="00257167" w:rsidRPr="00257167" w:rsidRDefault="00257167" w:rsidP="00257167">
      <w:pPr>
        <w:pStyle w:val="SingleTxtG"/>
        <w:ind w:left="2835" w:hanging="567"/>
      </w:pPr>
      <w:r w:rsidRPr="00257167">
        <w:t>b)</w:t>
      </w:r>
      <w:r w:rsidRPr="00257167">
        <w:tab/>
        <w:t xml:space="preserve">Selon le même </w:t>
      </w:r>
      <w:r w:rsidRPr="001C703A">
        <w:rPr>
          <w:rFonts w:eastAsia="MS Mincho"/>
          <w:lang w:eastAsia="en-GB"/>
        </w:rPr>
        <w:t>processus</w:t>
      </w:r>
      <w:r w:rsidRPr="00257167">
        <w:t xml:space="preserve"> de fabrication;</w:t>
      </w:r>
    </w:p>
    <w:p w:rsidR="00257167" w:rsidRPr="00257167" w:rsidRDefault="00257167" w:rsidP="00257167">
      <w:pPr>
        <w:pStyle w:val="SingleTxtG"/>
        <w:ind w:left="2835" w:hanging="567"/>
      </w:pPr>
      <w:r w:rsidRPr="00257167">
        <w:t>c)</w:t>
      </w:r>
      <w:r w:rsidRPr="00257167">
        <w:tab/>
        <w:t>Sur la même chaîne de production;</w:t>
      </w:r>
    </w:p>
    <w:p w:rsidR="00257167" w:rsidRPr="00257167" w:rsidRDefault="00257167" w:rsidP="00257167">
      <w:pPr>
        <w:pStyle w:val="SingleTxtG"/>
        <w:ind w:left="2835" w:hanging="567"/>
      </w:pPr>
      <w:r w:rsidRPr="00257167">
        <w:t>d)</w:t>
      </w:r>
      <w:r w:rsidRPr="00257167">
        <w:tab/>
        <w:t>Avec le même système d’assurance qualité;</w:t>
      </w:r>
    </w:p>
    <w:p w:rsidR="00257167" w:rsidRPr="00257167" w:rsidRDefault="00257167" w:rsidP="00257167">
      <w:pPr>
        <w:pStyle w:val="SingleTxtG"/>
        <w:ind w:left="2835" w:hanging="567"/>
      </w:pPr>
      <w:r w:rsidRPr="00257167">
        <w:t>e)</w:t>
      </w:r>
      <w:r w:rsidRPr="00257167">
        <w:tab/>
        <w:t xml:space="preserve">Avec les mêmes </w:t>
      </w:r>
      <w:r w:rsidRPr="001C703A">
        <w:rPr>
          <w:rFonts w:eastAsia="MS Mincho"/>
          <w:lang w:eastAsia="en-GB"/>
        </w:rPr>
        <w:t>résultats</w:t>
      </w:r>
      <w:r w:rsidRPr="00257167">
        <w:t xml:space="preserve"> pour les essais de conformité de la production visés au paragraphe 8.4.2 du présent Règlement que pour les pièces d’origine.</w:t>
      </w:r>
    </w:p>
    <w:p w:rsidR="00257167" w:rsidRPr="00257167" w:rsidRDefault="00257167" w:rsidP="00257167">
      <w:pPr>
        <w:pStyle w:val="SingleTxtG"/>
        <w:ind w:left="2268"/>
        <w:rPr>
          <w:szCs w:val="24"/>
        </w:rPr>
      </w:pPr>
      <w:r w:rsidRPr="00257167">
        <w:rPr>
          <w:bCs/>
          <w:szCs w:val="24"/>
        </w:rPr>
        <w:t>La démonstration du respect des prescriptions du présent paragraphe doit être confirmée par un audit sur site, réalisé par le service technique responsable de l’homologation. Aux fins de l’audit, le fabricant doit mettre à disposition le schéma du processus de fabrication et le plan de contrôle de la production</w:t>
      </w:r>
      <w:r w:rsidRPr="00257167">
        <w:rPr>
          <w:szCs w:val="24"/>
        </w:rPr>
        <w:t>.».</w:t>
      </w:r>
    </w:p>
    <w:p w:rsidR="00257167" w:rsidRPr="00257167" w:rsidRDefault="00257167" w:rsidP="001C703A">
      <w:pPr>
        <w:pStyle w:val="SingleTxtG"/>
        <w:keepNext/>
      </w:pPr>
      <w:r w:rsidRPr="001C703A">
        <w:rPr>
          <w:i/>
          <w:iCs/>
        </w:rPr>
        <w:t>Annexe 1B</w:t>
      </w:r>
      <w:r w:rsidRPr="001C703A">
        <w:rPr>
          <w:iCs/>
        </w:rPr>
        <w:t>,</w:t>
      </w:r>
    </w:p>
    <w:p w:rsidR="00257167" w:rsidRPr="00257167" w:rsidRDefault="00257167" w:rsidP="001C703A">
      <w:pPr>
        <w:pStyle w:val="SingleTxtG"/>
      </w:pPr>
      <w:r w:rsidRPr="00257167">
        <w:rPr>
          <w:i/>
        </w:rPr>
        <w:t>Point 4.</w:t>
      </w:r>
      <w:r w:rsidRPr="00257167">
        <w:t>, modifier comme suit:</w:t>
      </w:r>
    </w:p>
    <w:p w:rsidR="00257167" w:rsidRPr="00257167" w:rsidRDefault="00257167" w:rsidP="001C703A">
      <w:pPr>
        <w:pStyle w:val="SingleTxtG"/>
        <w:tabs>
          <w:tab w:val="right" w:leader="dot" w:pos="8505"/>
        </w:tabs>
        <w:ind w:left="2268" w:hanging="1134"/>
      </w:pPr>
      <w:r w:rsidRPr="00257167">
        <w:t>«4.</w:t>
      </w:r>
      <w:r w:rsidRPr="00257167">
        <w:tab/>
      </w:r>
      <w:r w:rsidRPr="00257167">
        <w:rPr>
          <w:szCs w:val="24"/>
        </w:rPr>
        <w:t>Véhicules/essieux pour lesquels le disque de frein de rechange ou tambour de frein de rechange est homologué</w:t>
      </w:r>
      <w:r w:rsidRPr="00257167">
        <w:tab/>
        <w:t>».</w:t>
      </w:r>
    </w:p>
    <w:p w:rsidR="00257167" w:rsidRPr="00257167" w:rsidRDefault="00257167" w:rsidP="001C703A">
      <w:pPr>
        <w:pStyle w:val="SingleTxtG"/>
      </w:pPr>
      <w:r w:rsidRPr="001C703A">
        <w:rPr>
          <w:i/>
          <w:iCs/>
        </w:rPr>
        <w:t>Annexe 11</w:t>
      </w:r>
      <w:r w:rsidRPr="00257167">
        <w:t xml:space="preserve">, </w:t>
      </w:r>
    </w:p>
    <w:p w:rsidR="00257167" w:rsidRPr="00257167" w:rsidRDefault="00257167" w:rsidP="001C703A">
      <w:pPr>
        <w:pStyle w:val="SingleTxtG"/>
      </w:pPr>
      <w:r w:rsidRPr="001C703A">
        <w:rPr>
          <w:i/>
          <w:iCs/>
        </w:rPr>
        <w:t>Paragraphe 3.2.1.2, alinéa c)</w:t>
      </w:r>
      <w:r w:rsidRPr="00257167">
        <w:t>, modifier comme suit:</w:t>
      </w:r>
    </w:p>
    <w:p w:rsidR="00257167" w:rsidRPr="00257167" w:rsidRDefault="00257167" w:rsidP="00257167">
      <w:pPr>
        <w:pStyle w:val="SingleTxtG"/>
        <w:ind w:left="2835" w:hanging="567"/>
      </w:pPr>
      <w:r w:rsidRPr="00257167">
        <w:t>«c)</w:t>
      </w:r>
      <w:r w:rsidRPr="00257167">
        <w:tab/>
        <w:t>Essai des disques et tambours de frein pour les véhicules comportant plus de deux essieux:</w:t>
      </w:r>
    </w:p>
    <w:tbl>
      <w:tblPr>
        <w:tblW w:w="6237" w:type="dxa"/>
        <w:tblInd w:w="2268" w:type="dxa"/>
        <w:tblLayout w:type="fixed"/>
        <w:tblCellMar>
          <w:left w:w="0" w:type="dxa"/>
          <w:right w:w="0" w:type="dxa"/>
        </w:tblCellMar>
        <w:tblLook w:val="0000" w:firstRow="0" w:lastRow="0" w:firstColumn="0" w:lastColumn="0" w:noHBand="0" w:noVBand="0"/>
      </w:tblPr>
      <w:tblGrid>
        <w:gridCol w:w="2268"/>
        <w:gridCol w:w="3969"/>
      </w:tblGrid>
      <w:tr w:rsidR="00257167" w:rsidRPr="00257167" w:rsidTr="001C703A">
        <w:tc>
          <w:tcPr>
            <w:tcW w:w="2268" w:type="dxa"/>
            <w:vAlign w:val="center"/>
          </w:tcPr>
          <w:p w:rsidR="00257167" w:rsidRPr="00257167" w:rsidRDefault="00257167" w:rsidP="001C703A">
            <w:pPr>
              <w:tabs>
                <w:tab w:val="left" w:pos="1134"/>
                <w:tab w:val="left" w:pos="1418"/>
                <w:tab w:val="left" w:pos="5174"/>
                <w:tab w:val="left" w:pos="9710"/>
              </w:tabs>
              <w:spacing w:before="120" w:after="120"/>
              <w:rPr>
                <w:rFonts w:cs="Courier New"/>
              </w:rPr>
            </w:pPr>
            <w:r w:rsidRPr="00257167">
              <w:rPr>
                <w:rFonts w:cs="Courier New"/>
              </w:rPr>
              <w:t>m = 0,55 m</w:t>
            </w:r>
            <w:r w:rsidRPr="00257167">
              <w:rPr>
                <w:rFonts w:cs="Courier New"/>
                <w:vertAlign w:val="subscript"/>
              </w:rPr>
              <w:t>axle</w:t>
            </w:r>
          </w:p>
        </w:tc>
        <w:tc>
          <w:tcPr>
            <w:tcW w:w="3969" w:type="dxa"/>
            <w:vAlign w:val="center"/>
          </w:tcPr>
          <w:p w:rsidR="00257167" w:rsidRPr="00257167" w:rsidRDefault="00257167" w:rsidP="00F87221">
            <w:pPr>
              <w:spacing w:after="120"/>
              <w:rPr>
                <w:rFonts w:cs="Courier New"/>
              </w:rPr>
            </w:pPr>
            <w:r w:rsidRPr="00257167">
              <w:rPr>
                <w:rFonts w:cs="Courier New"/>
                <w:spacing w:val="20"/>
              </w:rPr>
              <w:t>m</w:t>
            </w:r>
            <w:r w:rsidRPr="00257167">
              <w:rPr>
                <w:rFonts w:cs="Courier New"/>
                <w:vertAlign w:val="subscript"/>
              </w:rPr>
              <w:t>axle</w:t>
            </w:r>
            <w:r w:rsidRPr="00257167">
              <w:rPr>
                <w:rFonts w:cs="Courier New"/>
              </w:rPr>
              <w:t>:</w:t>
            </w:r>
            <w:r w:rsidRPr="00257167">
              <w:rPr>
                <w:rFonts w:cs="Courier New"/>
                <w:vertAlign w:val="subscript"/>
              </w:rPr>
              <w:tab/>
            </w:r>
            <w:r w:rsidRPr="00257167">
              <w:rPr>
                <w:rFonts w:cs="Courier New"/>
              </w:rPr>
              <w:t>masse maximale techniquement autorisée pour l’essieu.</w:t>
            </w:r>
            <w:r w:rsidRPr="00257167">
              <w:t>»</w:t>
            </w:r>
            <w:r w:rsidRPr="00257167">
              <w:rPr>
                <w:rFonts w:cs="Courier New"/>
              </w:rPr>
              <w:t>.</w:t>
            </w:r>
          </w:p>
        </w:tc>
      </w:tr>
    </w:tbl>
    <w:p w:rsidR="00257167" w:rsidRPr="00257167" w:rsidRDefault="00257167" w:rsidP="001C703A">
      <w:pPr>
        <w:pStyle w:val="SingleTxtG"/>
      </w:pPr>
      <w:r w:rsidRPr="001C703A">
        <w:rPr>
          <w:i/>
          <w:iCs/>
        </w:rPr>
        <w:t>Annexe 12</w:t>
      </w:r>
      <w:r w:rsidRPr="00257167">
        <w:t xml:space="preserve">, </w:t>
      </w:r>
    </w:p>
    <w:p w:rsidR="00257167" w:rsidRPr="001C703A" w:rsidRDefault="00257167" w:rsidP="001C703A">
      <w:pPr>
        <w:pStyle w:val="SingleTxtG"/>
      </w:pPr>
      <w:r w:rsidRPr="001C703A">
        <w:rPr>
          <w:i/>
        </w:rPr>
        <w:t>Paragraphe 3.2.1.2</w:t>
      </w:r>
      <w:r w:rsidRPr="001C703A">
        <w:rPr>
          <w:iCs/>
        </w:rPr>
        <w:t xml:space="preserve">, </w:t>
      </w:r>
      <w:r w:rsidRPr="001C703A">
        <w:t>modifier comme suit</w:t>
      </w:r>
      <w:r w:rsidRPr="001C703A">
        <w:rPr>
          <w:rFonts w:ascii="TimesNewRomanPSMT" w:hAnsi="TimesNewRomanPSMT" w:cs="TimesNewRomanPSMT"/>
        </w:rPr>
        <w:t>:</w:t>
      </w:r>
    </w:p>
    <w:p w:rsidR="00257167" w:rsidRPr="00257167" w:rsidRDefault="00257167" w:rsidP="00257167">
      <w:pPr>
        <w:pStyle w:val="SingleTxtG"/>
        <w:ind w:left="2268" w:hanging="1134"/>
      </w:pPr>
      <w:r w:rsidRPr="00257167">
        <w:t>«3.2.1.2</w:t>
      </w:r>
      <w:r w:rsidRPr="00257167">
        <w:tab/>
        <w:t>Masse d’essai</w:t>
      </w:r>
    </w:p>
    <w:p w:rsidR="00257167" w:rsidRPr="00257167" w:rsidRDefault="00257167" w:rsidP="001C703A">
      <w:pPr>
        <w:pStyle w:val="SingleTxtG"/>
        <w:ind w:left="2268"/>
      </w:pPr>
      <w:r w:rsidRPr="00257167">
        <w:t xml:space="preserve">La masse d’essai pour le calcul de la masse d’inertie doit être </w:t>
      </w:r>
      <w:r w:rsidRPr="00257167">
        <w:tab/>
        <w:t>déterminée comme suit:</w:t>
      </w:r>
    </w:p>
    <w:tbl>
      <w:tblPr>
        <w:tblW w:w="6237" w:type="dxa"/>
        <w:tblInd w:w="2268" w:type="dxa"/>
        <w:tblLayout w:type="fixed"/>
        <w:tblCellMar>
          <w:left w:w="0" w:type="dxa"/>
          <w:right w:w="0" w:type="dxa"/>
        </w:tblCellMar>
        <w:tblLook w:val="0000" w:firstRow="0" w:lastRow="0" w:firstColumn="0" w:lastColumn="0" w:noHBand="0" w:noVBand="0"/>
      </w:tblPr>
      <w:tblGrid>
        <w:gridCol w:w="2268"/>
        <w:gridCol w:w="3969"/>
      </w:tblGrid>
      <w:tr w:rsidR="00257167" w:rsidRPr="00257167" w:rsidTr="001C703A">
        <w:tc>
          <w:tcPr>
            <w:tcW w:w="2268" w:type="dxa"/>
            <w:vAlign w:val="center"/>
          </w:tcPr>
          <w:p w:rsidR="00257167" w:rsidRPr="00257167" w:rsidRDefault="00257167" w:rsidP="00F87221">
            <w:pPr>
              <w:tabs>
                <w:tab w:val="left" w:pos="1134"/>
                <w:tab w:val="left" w:pos="1418"/>
                <w:tab w:val="left" w:pos="5174"/>
                <w:tab w:val="left" w:pos="9710"/>
              </w:tabs>
              <w:spacing w:before="120" w:after="120"/>
              <w:rPr>
                <w:rFonts w:cs="Courier New"/>
              </w:rPr>
            </w:pPr>
            <w:r w:rsidRPr="00257167">
              <w:rPr>
                <w:rFonts w:cs="Courier New"/>
              </w:rPr>
              <w:t>m = 0,55 m</w:t>
            </w:r>
            <w:r w:rsidRPr="00257167">
              <w:rPr>
                <w:rFonts w:cs="Courier New"/>
                <w:vertAlign w:val="subscript"/>
              </w:rPr>
              <w:t>axle</w:t>
            </w:r>
          </w:p>
        </w:tc>
        <w:tc>
          <w:tcPr>
            <w:tcW w:w="3969" w:type="dxa"/>
            <w:vAlign w:val="center"/>
          </w:tcPr>
          <w:p w:rsidR="00257167" w:rsidRPr="00257167" w:rsidRDefault="00257167" w:rsidP="00F87221">
            <w:pPr>
              <w:spacing w:before="120" w:after="120"/>
              <w:rPr>
                <w:rFonts w:cs="Courier New"/>
              </w:rPr>
            </w:pPr>
            <w:r w:rsidRPr="00257167">
              <w:rPr>
                <w:rFonts w:cs="Courier New"/>
                <w:spacing w:val="20"/>
              </w:rPr>
              <w:t>m</w:t>
            </w:r>
            <w:r w:rsidRPr="00257167">
              <w:rPr>
                <w:rFonts w:cs="Courier New"/>
                <w:vertAlign w:val="subscript"/>
              </w:rPr>
              <w:t>axle</w:t>
            </w:r>
            <w:r w:rsidRPr="00257167">
              <w:rPr>
                <w:rFonts w:cs="Courier New"/>
              </w:rPr>
              <w:t>:</w:t>
            </w:r>
            <w:r w:rsidRPr="00257167">
              <w:rPr>
                <w:rFonts w:cs="Courier New"/>
                <w:vertAlign w:val="subscript"/>
              </w:rPr>
              <w:tab/>
            </w:r>
            <w:r w:rsidRPr="00257167">
              <w:rPr>
                <w:rFonts w:cs="Courier New"/>
              </w:rPr>
              <w:t>masse maximale techniquement autorisée pour l’essieu.</w:t>
            </w:r>
            <w:r w:rsidRPr="00257167">
              <w:t>»</w:t>
            </w:r>
            <w:r w:rsidRPr="00257167">
              <w:rPr>
                <w:rFonts w:cs="Courier New"/>
              </w:rPr>
              <w:t>.</w:t>
            </w:r>
          </w:p>
        </w:tc>
      </w:tr>
    </w:tbl>
    <w:p w:rsidR="005F0207" w:rsidRPr="00257167" w:rsidRDefault="00257167" w:rsidP="00257167">
      <w:pPr>
        <w:pStyle w:val="SingleTxtG"/>
        <w:spacing w:before="240" w:after="0"/>
        <w:jc w:val="center"/>
        <w:rPr>
          <w:u w:val="single"/>
        </w:rPr>
      </w:pPr>
      <w:r w:rsidRPr="00257167">
        <w:rPr>
          <w:u w:val="single"/>
        </w:rPr>
        <w:tab/>
      </w:r>
      <w:r w:rsidRPr="00257167">
        <w:rPr>
          <w:u w:val="single"/>
        </w:rPr>
        <w:tab/>
      </w:r>
      <w:r w:rsidRPr="00257167">
        <w:rPr>
          <w:u w:val="single"/>
        </w:rPr>
        <w:tab/>
      </w:r>
    </w:p>
    <w:sectPr w:rsidR="005F0207" w:rsidRPr="00257167" w:rsidSect="0025716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61" w:rsidRDefault="00417561"/>
  </w:endnote>
  <w:endnote w:type="continuationSeparator" w:id="0">
    <w:p w:rsidR="00417561" w:rsidRDefault="00417561">
      <w:pPr>
        <w:pStyle w:val="Footer"/>
      </w:pPr>
    </w:p>
  </w:endnote>
  <w:endnote w:type="continuationNotice" w:id="1">
    <w:p w:rsidR="00417561" w:rsidRPr="00C451B9" w:rsidRDefault="00417561"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swiss"/>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67" w:rsidRPr="00257167" w:rsidRDefault="00257167" w:rsidP="00257167">
    <w:pPr>
      <w:pStyle w:val="Footer"/>
      <w:tabs>
        <w:tab w:val="right" w:pos="9638"/>
      </w:tabs>
    </w:pPr>
    <w:r w:rsidRPr="00257167">
      <w:rPr>
        <w:b/>
        <w:sz w:val="18"/>
      </w:rPr>
      <w:fldChar w:fldCharType="begin"/>
    </w:r>
    <w:r w:rsidRPr="00257167">
      <w:rPr>
        <w:b/>
        <w:sz w:val="18"/>
      </w:rPr>
      <w:instrText xml:space="preserve"> PAGE  \* MERGEFORMAT </w:instrText>
    </w:r>
    <w:r w:rsidRPr="00257167">
      <w:rPr>
        <w:b/>
        <w:sz w:val="18"/>
      </w:rPr>
      <w:fldChar w:fldCharType="separate"/>
    </w:r>
    <w:r w:rsidR="007B7DB9">
      <w:rPr>
        <w:b/>
        <w:noProof/>
        <w:sz w:val="18"/>
      </w:rPr>
      <w:t>4</w:t>
    </w:r>
    <w:r w:rsidRPr="00257167">
      <w:rPr>
        <w:b/>
        <w:sz w:val="18"/>
      </w:rPr>
      <w:fldChar w:fldCharType="end"/>
    </w:r>
    <w:r>
      <w:rPr>
        <w:b/>
        <w:sz w:val="18"/>
      </w:rPr>
      <w:tab/>
    </w:r>
    <w:r>
      <w:t>GE.15-01670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67" w:rsidRPr="00257167" w:rsidRDefault="00257167" w:rsidP="00257167">
    <w:pPr>
      <w:pStyle w:val="Footer"/>
      <w:tabs>
        <w:tab w:val="right" w:pos="9638"/>
      </w:tabs>
      <w:rPr>
        <w:b/>
        <w:sz w:val="18"/>
      </w:rPr>
    </w:pPr>
    <w:r>
      <w:t>GE.15-01670</w:t>
    </w:r>
    <w:r>
      <w:tab/>
    </w:r>
    <w:r w:rsidRPr="00257167">
      <w:rPr>
        <w:b/>
        <w:sz w:val="18"/>
      </w:rPr>
      <w:fldChar w:fldCharType="begin"/>
    </w:r>
    <w:r w:rsidRPr="00257167">
      <w:rPr>
        <w:b/>
        <w:sz w:val="18"/>
      </w:rPr>
      <w:instrText xml:space="preserve"> PAGE  \* MERGEFORMAT </w:instrText>
    </w:r>
    <w:r w:rsidRPr="00257167">
      <w:rPr>
        <w:b/>
        <w:sz w:val="18"/>
      </w:rPr>
      <w:fldChar w:fldCharType="separate"/>
    </w:r>
    <w:r w:rsidR="007B7DB9">
      <w:rPr>
        <w:b/>
        <w:noProof/>
        <w:sz w:val="18"/>
      </w:rPr>
      <w:t>3</w:t>
    </w:r>
    <w:r w:rsidRPr="0025716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56" w:rsidRPr="0029791D" w:rsidRDefault="000279F4" w:rsidP="00E97E2C">
    <w:pPr>
      <w:ind w:left="1134" w:right="1134"/>
      <w:jc w:val="center"/>
    </w:pPr>
    <w:r>
      <w:rPr>
        <w:noProof/>
        <w:lang w:val="en-GB" w:eastAsia="en-GB"/>
      </w:rPr>
      <w:drawing>
        <wp:anchor distT="0" distB="0" distL="114300" distR="114300" simplePos="0" relativeHeight="251657728"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sidR="00CA0756">
      <w:t>_______________</w:t>
    </w:r>
  </w:p>
  <w:p w:rsidR="00CA0756" w:rsidRDefault="000279F4" w:rsidP="00E97E2C">
    <w:pPr>
      <w:jc w:val="center"/>
      <w:rPr>
        <w:b/>
        <w:bCs/>
        <w:sz w:val="22"/>
      </w:rPr>
    </w:pPr>
    <w:r>
      <w:rPr>
        <w:noProof/>
        <w:lang w:val="en-GB" w:eastAsia="en-GB"/>
      </w:rPr>
      <w:drawing>
        <wp:inline distT="0" distB="0" distL="0" distR="0">
          <wp:extent cx="914400" cy="7708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608" r="-7608"/>
                  <a:stretch>
                    <a:fillRect/>
                  </a:stretch>
                </pic:blipFill>
                <pic:spPr bwMode="auto">
                  <a:xfrm>
                    <a:off x="0" y="0"/>
                    <a:ext cx="914400" cy="770890"/>
                  </a:xfrm>
                  <a:prstGeom prst="rect">
                    <a:avLst/>
                  </a:prstGeom>
                  <a:noFill/>
                  <a:ln>
                    <a:noFill/>
                  </a:ln>
                </pic:spPr>
              </pic:pic>
            </a:graphicData>
          </a:graphic>
        </wp:inline>
      </w:drawing>
    </w:r>
  </w:p>
  <w:p w:rsidR="00CA0756" w:rsidRPr="0029791D" w:rsidRDefault="00CA0756" w:rsidP="00E97E2C">
    <w:pPr>
      <w:jc w:val="center"/>
      <w:rPr>
        <w:sz w:val="24"/>
        <w:szCs w:val="24"/>
      </w:rPr>
    </w:pPr>
    <w:r w:rsidRPr="0029791D">
      <w:rPr>
        <w:b/>
        <w:bCs/>
        <w:sz w:val="24"/>
        <w:szCs w:val="24"/>
      </w:rPr>
      <w:t>Nations Unies</w:t>
    </w:r>
  </w:p>
  <w:p w:rsidR="00CA0756" w:rsidRPr="0029791D" w:rsidRDefault="00CA0756" w:rsidP="00E97E2C">
    <w:pPr>
      <w:pStyle w:val="FootnoteText"/>
      <w:tabs>
        <w:tab w:val="clear" w:pos="1021"/>
        <w:tab w:val="right" w:pos="2155"/>
      </w:tabs>
      <w:spacing w:after="80" w:line="240" w:lineRule="atLeast"/>
      <w:ind w:left="680" w:right="0" w:firstLine="0"/>
      <w:rPr>
        <w:u w:val="single"/>
      </w:rPr>
    </w:pPr>
    <w:r>
      <w:rPr>
        <w:u w:val="single"/>
      </w:rPr>
      <w:tab/>
    </w:r>
  </w:p>
  <w:p w:rsidR="00CA0756" w:rsidRDefault="00CA0756" w:rsidP="00E97E2C">
    <w:pPr>
      <w:pStyle w:val="FootnoteText"/>
      <w:spacing w:after="240"/>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CA0756" w:rsidRPr="00257167" w:rsidRDefault="00257167" w:rsidP="00257167">
    <w:pPr>
      <w:pStyle w:val="Footer"/>
      <w:spacing w:before="120"/>
      <w:rPr>
        <w:sz w:val="20"/>
      </w:rPr>
    </w:pPr>
    <w:r>
      <w:rPr>
        <w:sz w:val="20"/>
      </w:rPr>
      <w:t>GE.15-01670  (F)</w:t>
    </w:r>
    <w:r w:rsidR="00DC0BC3">
      <w:rPr>
        <w:sz w:val="20"/>
      </w:rPr>
      <w:t xml:space="preserve">    100415    100415</w:t>
    </w:r>
    <w:r>
      <w:rPr>
        <w:sz w:val="20"/>
      </w:rPr>
      <w:br/>
    </w:r>
    <w:r w:rsidRPr="00257167">
      <w:rPr>
        <w:rFonts w:ascii="C39T30Lfz" w:hAnsi="C39T30Lfz"/>
        <w:sz w:val="56"/>
      </w:rPr>
      <w:t></w:t>
    </w:r>
    <w:r w:rsidRPr="00257167">
      <w:rPr>
        <w:rFonts w:ascii="C39T30Lfz" w:hAnsi="C39T30Lfz"/>
        <w:sz w:val="56"/>
      </w:rPr>
      <w:t></w:t>
    </w:r>
    <w:r w:rsidRPr="00257167">
      <w:rPr>
        <w:rFonts w:ascii="C39T30Lfz" w:hAnsi="C39T30Lfz"/>
        <w:sz w:val="56"/>
      </w:rPr>
      <w:t></w:t>
    </w:r>
    <w:r w:rsidRPr="00257167">
      <w:rPr>
        <w:rFonts w:ascii="C39T30Lfz" w:hAnsi="C39T30Lfz"/>
        <w:sz w:val="56"/>
      </w:rPr>
      <w:t></w:t>
    </w:r>
    <w:r w:rsidRPr="00257167">
      <w:rPr>
        <w:rFonts w:ascii="C39T30Lfz" w:hAnsi="C39T30Lfz"/>
        <w:sz w:val="56"/>
      </w:rPr>
      <w:t></w:t>
    </w:r>
    <w:r w:rsidRPr="00257167">
      <w:rPr>
        <w:rFonts w:ascii="C39T30Lfz" w:hAnsi="C39T30Lfz"/>
        <w:sz w:val="56"/>
      </w:rPr>
      <w:t></w:t>
    </w:r>
    <w:r w:rsidRPr="00257167">
      <w:rPr>
        <w:rFonts w:ascii="C39T30Lfz" w:hAnsi="C39T30Lfz"/>
        <w:sz w:val="56"/>
      </w:rPr>
      <w:t></w:t>
    </w:r>
    <w:r w:rsidRPr="00257167">
      <w:rPr>
        <w:rFonts w:ascii="C39T30Lfz" w:hAnsi="C39T30Lfz"/>
        <w:sz w:val="56"/>
      </w:rPr>
      <w:t></w:t>
    </w:r>
    <w:r w:rsidRPr="00257167">
      <w:rPr>
        <w:rFonts w:ascii="C39T30Lfz" w:hAnsi="C39T30Lfz"/>
        <w:sz w:val="56"/>
      </w:rPr>
      <w:t></w:t>
    </w:r>
    <w:r w:rsidR="000279F4">
      <w:rPr>
        <w:noProof/>
        <w:sz w:val="20"/>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07060" cy="607060"/>
          <wp:effectExtent l="0" t="0" r="2540" b="2540"/>
          <wp:wrapNone/>
          <wp:docPr id="4" name="Image 4" descr="http://undocs.org/m2/QRCode2.ashx?DS=E/ECE/324/Rev.1/Add.89/Rev.3/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ndocs.org/m2/QRCode2.ashx?DS=E/ECE/324/Rev.1/Add.89/Rev.3/Amend.2&amp;Size=2&amp;Lang=F"/>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61" w:rsidRPr="00D27D5E" w:rsidRDefault="00417561" w:rsidP="00D27D5E">
      <w:pPr>
        <w:tabs>
          <w:tab w:val="right" w:pos="2155"/>
        </w:tabs>
        <w:spacing w:after="80"/>
        <w:ind w:left="680"/>
        <w:rPr>
          <w:u w:val="single"/>
        </w:rPr>
      </w:pPr>
      <w:r>
        <w:rPr>
          <w:u w:val="single"/>
        </w:rPr>
        <w:tab/>
      </w:r>
    </w:p>
  </w:footnote>
  <w:footnote w:type="continuationSeparator" w:id="0">
    <w:p w:rsidR="00417561" w:rsidRPr="00D171D4" w:rsidRDefault="00417561" w:rsidP="00D171D4">
      <w:pPr>
        <w:tabs>
          <w:tab w:val="right" w:pos="2155"/>
        </w:tabs>
        <w:spacing w:after="80"/>
        <w:ind w:left="680"/>
        <w:rPr>
          <w:u w:val="single"/>
        </w:rPr>
      </w:pPr>
      <w:r w:rsidRPr="00D171D4">
        <w:rPr>
          <w:u w:val="single"/>
        </w:rPr>
        <w:tab/>
      </w:r>
    </w:p>
  </w:footnote>
  <w:footnote w:type="continuationNotice" w:id="1">
    <w:p w:rsidR="00417561" w:rsidRPr="00C451B9" w:rsidRDefault="00417561"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67" w:rsidRPr="00257167" w:rsidRDefault="00257167">
    <w:pPr>
      <w:pStyle w:val="Header"/>
    </w:pPr>
    <w:r>
      <w:t>E/ECE/324/Rev.1/Add.89/Rev.3/Amend.2</w:t>
    </w:r>
    <w:r>
      <w:br/>
      <w:t>E/ECE/TRANS/505/Rev.1/Add.89/Rev.3/Amend.2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67" w:rsidRPr="00257167" w:rsidRDefault="00257167" w:rsidP="00257167">
    <w:pPr>
      <w:pStyle w:val="Header"/>
      <w:jc w:val="right"/>
    </w:pPr>
    <w:r>
      <w:t>E/ECE/324/Rev.1/Add.89/Rev.3/Amend.2</w:t>
    </w:r>
    <w:r>
      <w:br/>
      <w:t>E/ECE/TRANS/505/Rev.1/Add.89/Rev.3/Amend.2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61"/>
    <w:rsid w:val="0001470D"/>
    <w:rsid w:val="00016165"/>
    <w:rsid w:val="00016AC5"/>
    <w:rsid w:val="00021126"/>
    <w:rsid w:val="00021907"/>
    <w:rsid w:val="000233A5"/>
    <w:rsid w:val="0002445D"/>
    <w:rsid w:val="00024C50"/>
    <w:rsid w:val="00025E92"/>
    <w:rsid w:val="000276A3"/>
    <w:rsid w:val="000279F4"/>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C703A"/>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5716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17561"/>
    <w:rsid w:val="00421A10"/>
    <w:rsid w:val="00422499"/>
    <w:rsid w:val="00430EFC"/>
    <w:rsid w:val="004342E2"/>
    <w:rsid w:val="00434354"/>
    <w:rsid w:val="00440BC8"/>
    <w:rsid w:val="00454F8D"/>
    <w:rsid w:val="004567EB"/>
    <w:rsid w:val="00457676"/>
    <w:rsid w:val="00460E72"/>
    <w:rsid w:val="00464191"/>
    <w:rsid w:val="00467412"/>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4F0C"/>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607B1"/>
    <w:rsid w:val="00765296"/>
    <w:rsid w:val="00766D28"/>
    <w:rsid w:val="007723C2"/>
    <w:rsid w:val="007815B9"/>
    <w:rsid w:val="00783E82"/>
    <w:rsid w:val="00785F1F"/>
    <w:rsid w:val="007869B6"/>
    <w:rsid w:val="00790B9D"/>
    <w:rsid w:val="00796316"/>
    <w:rsid w:val="007A1C58"/>
    <w:rsid w:val="007A20D2"/>
    <w:rsid w:val="007A79CD"/>
    <w:rsid w:val="007B7DB9"/>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35CB6"/>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7D23"/>
    <w:rsid w:val="00C71827"/>
    <w:rsid w:val="00C75D25"/>
    <w:rsid w:val="00C825E5"/>
    <w:rsid w:val="00C95EB8"/>
    <w:rsid w:val="00CA0756"/>
    <w:rsid w:val="00CB02C5"/>
    <w:rsid w:val="00CB0D41"/>
    <w:rsid w:val="00CB39CD"/>
    <w:rsid w:val="00CC2A62"/>
    <w:rsid w:val="00CC7CE6"/>
    <w:rsid w:val="00CD044C"/>
    <w:rsid w:val="00CD1840"/>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0BC3"/>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40FA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7B7DB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B7DB9"/>
    <w:rPr>
      <w:rFonts w:ascii="Tahoma" w:eastAsiaTheme="minorHAnsi" w:hAnsi="Tahoma" w:cs="Tahoma"/>
      <w:sz w:val="16"/>
      <w:szCs w:val="16"/>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7B7DB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B7DB9"/>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E9B7-558D-423F-900F-5EDE4B54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6158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E/ECE/324/Rev.1/Add.89/Rev.3/Amend.2-E/ECE/TRANS/505/Rev.1/Add.89/Rev.3/Amend.2</vt:lpstr>
    </vt:vector>
  </TitlesOfParts>
  <Company>CSD</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E/ECE/324/Rev.1/Add.89/Rev.3/Amend.2-E/ECE/TRANS/505/Rev.1/Add.89/Rev.3/Amend.2</dc:title>
  <dc:subject>final</dc:subject>
  <dc:creator>MORIN</dc:creator>
  <cp:lastModifiedBy>04</cp:lastModifiedBy>
  <cp:revision>2</cp:revision>
  <cp:lastPrinted>2015-04-10T06:35:00Z</cp:lastPrinted>
  <dcterms:created xsi:type="dcterms:W3CDTF">2015-06-04T06:07:00Z</dcterms:created>
  <dcterms:modified xsi:type="dcterms:W3CDTF">2015-06-04T06:07:00Z</dcterms:modified>
</cp:coreProperties>
</file>