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3E0843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3EC" w:rsidRPr="003E0843" w:rsidRDefault="00ED33EC" w:rsidP="00ED33EC">
            <w:pPr>
              <w:jc w:val="right"/>
            </w:pPr>
            <w:bookmarkStart w:id="0" w:name="_GoBack"/>
            <w:bookmarkEnd w:id="0"/>
            <w:r w:rsidRPr="003E0843">
              <w:rPr>
                <w:sz w:val="40"/>
              </w:rPr>
              <w:t>E</w:t>
            </w:r>
            <w:r w:rsidRPr="003E0843">
              <w:t>/ECE/324/Rev.1/Add.82/Rev.4/Amend.4−</w:t>
            </w:r>
            <w:r w:rsidRPr="003E0843">
              <w:rPr>
                <w:sz w:val="40"/>
              </w:rPr>
              <w:t>E</w:t>
            </w:r>
            <w:r w:rsidRPr="003E0843">
              <w:t>/ECE/TRANS/505/Rev.1/Add.82/Rev.4/Amend.4</w:t>
            </w:r>
          </w:p>
        </w:tc>
      </w:tr>
      <w:tr w:rsidR="00421A10" w:rsidRPr="003E0843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3E0843" w:rsidRDefault="00421A10" w:rsidP="00457676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3E0843" w:rsidRDefault="00ED33EC" w:rsidP="00457676">
            <w:pPr>
              <w:spacing w:before="480" w:line="240" w:lineRule="exact"/>
            </w:pPr>
            <w:r w:rsidRPr="003E0843">
              <w:t>3 février 2015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1E7338">
        <w:t>’</w:t>
      </w:r>
      <w:r w:rsidR="00421A10" w:rsidRPr="00583D68">
        <w:t>adoption de prescriptions techniques uniformes applicables aux véhicules à roues, aux équipements et aux pièces susceptibles d</w:t>
      </w:r>
      <w:r w:rsidR="001E7338">
        <w:t>’</w:t>
      </w:r>
      <w:r w:rsidR="00421A10" w:rsidRPr="00583D68">
        <w:t>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ED33EC">
        <w:t>2</w:t>
      </w:r>
      <w:r w:rsidRPr="006549FF">
        <w:t>, comprenant les amen</w:t>
      </w:r>
      <w:r>
        <w:t>dements entrés en vigueur le 16</w:t>
      </w:r>
      <w:r w:rsidR="00ED33EC">
        <w:t> 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ED33EC">
        <w:t xml:space="preserve">82 − </w:t>
      </w:r>
      <w:r w:rsidR="00421A10" w:rsidRPr="006549FF">
        <w:t>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ED33EC">
        <w:t>83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>Rév</w:t>
      </w:r>
      <w:r w:rsidR="00ED33EC">
        <w:t>ision 4 − Amendement 4</w:t>
      </w:r>
    </w:p>
    <w:p w:rsidR="00421A10" w:rsidRPr="004A7E44" w:rsidRDefault="00ED33EC" w:rsidP="0029791D">
      <w:pPr>
        <w:pStyle w:val="SingleTxtG"/>
        <w:spacing w:after="0"/>
      </w:pPr>
      <w:r>
        <w:rPr>
          <w:spacing w:val="-2"/>
        </w:rPr>
        <w:t>Complément 4 à la série 06 d</w:t>
      </w:r>
      <w:r w:rsidR="001E7338">
        <w:rPr>
          <w:spacing w:val="-2"/>
        </w:rPr>
        <w:t>’</w:t>
      </w:r>
      <w:r>
        <w:rPr>
          <w:spacing w:val="-2"/>
        </w:rPr>
        <w:t>amendements</w:t>
      </w:r>
      <w:r w:rsidRPr="00272880">
        <w:rPr>
          <w:spacing w:val="-2"/>
        </w:rPr>
        <w:t xml:space="preserve"> – </w:t>
      </w:r>
      <w:r>
        <w:rPr>
          <w:spacing w:val="-2"/>
        </w:rPr>
        <w:t>Date d</w:t>
      </w:r>
      <w:r w:rsidR="001E7338">
        <w:rPr>
          <w:spacing w:val="-2"/>
        </w:rPr>
        <w:t>’</w:t>
      </w:r>
      <w:r>
        <w:rPr>
          <w:spacing w:val="-2"/>
        </w:rPr>
        <w:t>entrée en vigueur</w:t>
      </w:r>
      <w:r w:rsidRPr="00272880">
        <w:rPr>
          <w:spacing w:val="-2"/>
        </w:rPr>
        <w:t>:</w:t>
      </w:r>
      <w:r w:rsidRPr="00C256FB">
        <w:rPr>
          <w:lang w:eastAsia="en-GB"/>
        </w:rPr>
        <w:t xml:space="preserve"> </w:t>
      </w:r>
      <w:r>
        <w:rPr>
          <w:lang w:eastAsia="en-GB"/>
        </w:rPr>
        <w:t>22 janvier 2015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ED33EC" w:rsidRPr="00E20C6A">
        <w:rPr>
          <w:lang w:val="fr-FR"/>
        </w:rPr>
        <w:t>à l</w:t>
      </w:r>
      <w:r w:rsidR="001E7338">
        <w:rPr>
          <w:lang w:val="fr-FR"/>
        </w:rPr>
        <w:t>’</w:t>
      </w:r>
      <w:r w:rsidR="00ED33EC" w:rsidRPr="00E20C6A">
        <w:rPr>
          <w:lang w:val="fr-FR"/>
        </w:rPr>
        <w:t>homologation des véhicules</w:t>
      </w:r>
      <w:r w:rsidR="00CB738E">
        <w:rPr>
          <w:lang w:val="fr-FR"/>
        </w:rPr>
        <w:br/>
      </w:r>
      <w:r w:rsidR="00ED33EC" w:rsidRPr="00E20C6A">
        <w:rPr>
          <w:lang w:val="fr-FR"/>
        </w:rPr>
        <w:t>en ce qui concerne les émissions de polluants selon les exigences</w:t>
      </w:r>
      <w:r w:rsidR="00CB738E">
        <w:rPr>
          <w:lang w:val="fr-FR"/>
        </w:rPr>
        <w:br/>
      </w:r>
      <w:r w:rsidR="00ED33EC" w:rsidRPr="00E20C6A">
        <w:rPr>
          <w:lang w:val="fr-FR"/>
        </w:rPr>
        <w:t>du moteur en matière de carburant</w:t>
      </w:r>
    </w:p>
    <w:p w:rsidR="00ED33EC" w:rsidRPr="00412257" w:rsidRDefault="007B590F" w:rsidP="00ED33EC">
      <w:pPr>
        <w:spacing w:after="120"/>
        <w:ind w:left="1134" w:right="1134"/>
        <w:jc w:val="both"/>
        <w:rPr>
          <w:i/>
        </w:rPr>
      </w:pPr>
      <w:r>
        <w:rPr>
          <w:i/>
        </w:rPr>
        <w:br w:type="page"/>
      </w:r>
      <w:r w:rsidR="00ED33EC">
        <w:rPr>
          <w:i/>
        </w:rPr>
        <w:lastRenderedPageBreak/>
        <w:t>Ajouter un nouveau paragraphe</w:t>
      </w:r>
      <w:r w:rsidR="00546EC9">
        <w:rPr>
          <w:i/>
        </w:rPr>
        <w:t> </w:t>
      </w:r>
      <w:r w:rsidR="00ED33EC">
        <w:rPr>
          <w:i/>
        </w:rPr>
        <w:t>1.2</w:t>
      </w:r>
      <w:r w:rsidR="00ED33EC" w:rsidRPr="00F30CC1">
        <w:t>,</w:t>
      </w:r>
      <w:r w:rsidR="00ED33EC">
        <w:rPr>
          <w:i/>
        </w:rPr>
        <w:t xml:space="preserve"> </w:t>
      </w:r>
      <w:r w:rsidR="00ED33EC">
        <w:t>ainsi conçu:</w:t>
      </w:r>
    </w:p>
    <w:p w:rsidR="00ED33EC" w:rsidRPr="00412257" w:rsidRDefault="00ED33EC" w:rsidP="00ED33EC">
      <w:pPr>
        <w:spacing w:before="240" w:after="120"/>
        <w:ind w:left="2259" w:right="1134" w:hanging="1125"/>
        <w:jc w:val="both"/>
      </w:pPr>
      <w:r>
        <w:t>«1.2</w:t>
      </w:r>
      <w:r w:rsidRPr="00412257">
        <w:tab/>
      </w:r>
      <w:r>
        <w:t>Les véhicules ci-après n</w:t>
      </w:r>
      <w:r w:rsidR="001E7338">
        <w:t>’</w:t>
      </w:r>
      <w:r>
        <w:t>ont pas à être homologués conformément au présent Règlement: véhicules dont la masse de référence est supérieure à 2</w:t>
      </w:r>
      <w:r w:rsidR="00546EC9">
        <w:t> </w:t>
      </w:r>
      <w:r>
        <w:t>380</w:t>
      </w:r>
      <w:r w:rsidR="00546EC9">
        <w:t> </w:t>
      </w:r>
      <w:r>
        <w:t>kg et ne dépasse pas 2 610 kg, et équipés de moteurs qui ont été homologués par</w:t>
      </w:r>
      <w:r w:rsidR="00546EC9">
        <w:t> </w:t>
      </w:r>
      <w:r>
        <w:t>extension conformément au Règlement n</w:t>
      </w:r>
      <w:r w:rsidR="00CB738E" w:rsidRPr="00CB738E">
        <w:rPr>
          <w:vertAlign w:val="superscript"/>
        </w:rPr>
        <w:t>o</w:t>
      </w:r>
      <w:r w:rsidR="00CB738E">
        <w:t> </w:t>
      </w:r>
      <w:r>
        <w:t>49.».</w:t>
      </w:r>
    </w:p>
    <w:p w:rsidR="00ED33EC" w:rsidRPr="00412257" w:rsidRDefault="00ED33EC" w:rsidP="00ED33EC">
      <w:pPr>
        <w:spacing w:after="120"/>
        <w:ind w:left="1134" w:right="1134"/>
        <w:jc w:val="both"/>
        <w:rPr>
          <w:i/>
        </w:rPr>
      </w:pPr>
      <w:r>
        <w:rPr>
          <w:i/>
        </w:rPr>
        <w:t>Paragraphe</w:t>
      </w:r>
      <w:r w:rsidR="00546EC9">
        <w:rPr>
          <w:i/>
        </w:rPr>
        <w:t> </w:t>
      </w:r>
      <w:r>
        <w:rPr>
          <w:i/>
        </w:rPr>
        <w:t>5.3.1.4</w:t>
      </w:r>
      <w:r w:rsidRPr="00412257">
        <w:rPr>
          <w:i/>
        </w:rPr>
        <w:t xml:space="preserve">, </w:t>
      </w:r>
      <w:r>
        <w:rPr>
          <w:i/>
        </w:rPr>
        <w:t>tableau</w:t>
      </w:r>
      <w:r w:rsidRPr="00412257">
        <w:rPr>
          <w:i/>
        </w:rPr>
        <w:t xml:space="preserve"> 1</w:t>
      </w:r>
      <w:r w:rsidRPr="00412257">
        <w:t xml:space="preserve">, </w:t>
      </w:r>
      <w:r>
        <w:t>ajouter la note</w:t>
      </w:r>
      <w:r w:rsidR="00546EC9">
        <w:t> </w:t>
      </w:r>
      <w:r>
        <w:t>2 comme suit</w:t>
      </w:r>
      <w:r w:rsidRPr="00412257">
        <w:rPr>
          <w:i/>
        </w:rPr>
        <w:t>:</w:t>
      </w:r>
    </w:p>
    <w:p w:rsidR="00ED33EC" w:rsidRDefault="00ED33EC" w:rsidP="001E7338">
      <w:pPr>
        <w:pStyle w:val="SingleTxtG"/>
        <w:ind w:left="2268" w:hanging="1134"/>
      </w:pPr>
      <w:r>
        <w:t>«5.3.1.4</w:t>
      </w:r>
      <w:r w:rsidRPr="00412257">
        <w:tab/>
      </w:r>
      <w:r>
        <w:t>Sous réserve des dispositions du paragraphe</w:t>
      </w:r>
      <w:r w:rsidR="00546EC9">
        <w:t> </w:t>
      </w:r>
      <w:r>
        <w:t>5.3.1.5, l</w:t>
      </w:r>
      <w:r w:rsidR="001E7338">
        <w:t>’</w:t>
      </w:r>
      <w:r>
        <w:t>essai doit être exécuté trois fois. Pour chaque essai, les résultats doivent être multipliés par les facteurs de détérioration appropriés déterminés d</w:t>
      </w:r>
      <w:r w:rsidR="001E7338">
        <w:t>’</w:t>
      </w:r>
      <w:r>
        <w:t>après le paragraphe</w:t>
      </w:r>
      <w:r w:rsidR="00546EC9">
        <w:t> </w:t>
      </w:r>
      <w:r w:rsidRPr="00F860F4">
        <w:t>5.3.6 et, dans le cas des dispositifs à régénération discontinue tels qu</w:t>
      </w:r>
      <w:r w:rsidR="001E7338">
        <w:t>’</w:t>
      </w:r>
      <w:r>
        <w:t>ils sont définis au paragraphe </w:t>
      </w:r>
      <w:r w:rsidRPr="00F860F4">
        <w:t>2.20, par les coefficients K</w:t>
      </w:r>
      <w:r w:rsidRPr="00F860F4">
        <w:rPr>
          <w:vertAlign w:val="subscript"/>
        </w:rPr>
        <w:t>i</w:t>
      </w:r>
      <w:r w:rsidRPr="00F860F4">
        <w:t xml:space="preserve"> déterminés selon l</w:t>
      </w:r>
      <w:r w:rsidR="001E7338">
        <w:t>’</w:t>
      </w:r>
      <w:r w:rsidRPr="00F860F4">
        <w:t xml:space="preserve">annexe 13. </w:t>
      </w:r>
      <w:r>
        <w:t>Les </w:t>
      </w:r>
      <w:r w:rsidRPr="00F860F4">
        <w:t>masses résultantes d</w:t>
      </w:r>
      <w:r w:rsidR="001E7338">
        <w:t>’</w:t>
      </w:r>
      <w:r w:rsidRPr="00F860F4">
        <w:t>émissions gazeuses et, dans le cas des véhicules à moteur à allumage par compression, la masse des particules obtenue à chaque essai devraient être inférieures aux valeurs limites indiq</w:t>
      </w:r>
      <w:r w:rsidR="007B590F">
        <w:t>uées dans le tableau 1 suivant:</w:t>
      </w:r>
    </w:p>
    <w:p w:rsidR="00ED33EC" w:rsidRPr="007B590F" w:rsidRDefault="00ED33EC" w:rsidP="00A86DB7">
      <w:pPr>
        <w:pStyle w:val="Heading1"/>
        <w:spacing w:after="120"/>
        <w:ind w:left="0"/>
        <w:rPr>
          <w:b/>
        </w:rPr>
      </w:pPr>
      <w:r w:rsidRPr="007B590F">
        <w:t>Tableau 1</w:t>
      </w:r>
      <w:r w:rsidR="00A86DB7">
        <w:br/>
      </w:r>
      <w:r w:rsidRPr="007B590F">
        <w:rPr>
          <w:b/>
        </w:rPr>
        <w:t>Limites d</w:t>
      </w:r>
      <w:r w:rsidR="001E7338">
        <w:rPr>
          <w:b/>
        </w:rPr>
        <w:t>’</w:t>
      </w:r>
      <w:r w:rsidRPr="007B590F">
        <w:rPr>
          <w:b/>
        </w:rPr>
        <w:t>émission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532"/>
        <w:gridCol w:w="882"/>
        <w:gridCol w:w="588"/>
        <w:gridCol w:w="447"/>
        <w:gridCol w:w="574"/>
        <w:gridCol w:w="523"/>
        <w:gridCol w:w="604"/>
        <w:gridCol w:w="570"/>
        <w:gridCol w:w="431"/>
        <w:gridCol w:w="395"/>
        <w:gridCol w:w="641"/>
        <w:gridCol w:w="533"/>
        <w:gridCol w:w="362"/>
        <w:gridCol w:w="407"/>
        <w:gridCol w:w="464"/>
        <w:gridCol w:w="871"/>
      </w:tblGrid>
      <w:tr w:rsidR="00ED33EC" w:rsidRPr="003E0843" w:rsidTr="001E7338">
        <w:trPr>
          <w:tblHeader/>
        </w:trPr>
        <w:tc>
          <w:tcPr>
            <w:tcW w:w="9641" w:type="dxa"/>
            <w:gridSpan w:val="17"/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6F22A6">
            <w:pPr>
              <w:suppressAutoHyphens w:val="0"/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3E0843">
              <w:rPr>
                <w:i/>
                <w:sz w:val="16"/>
                <w:szCs w:val="16"/>
              </w:rPr>
              <w:t>Valeurs limites</w:t>
            </w:r>
          </w:p>
        </w:tc>
      </w:tr>
      <w:tr w:rsidR="001E7338" w:rsidRPr="003E0843" w:rsidTr="003E0843">
        <w:trPr>
          <w:tblHeader/>
        </w:trPr>
        <w:tc>
          <w:tcPr>
            <w:tcW w:w="1349" w:type="dxa"/>
            <w:gridSpan w:val="2"/>
            <w:vMerge w:val="restart"/>
            <w:shd w:val="clear" w:color="auto" w:fill="auto"/>
            <w:tcMar>
              <w:left w:w="0" w:type="dxa"/>
            </w:tcMar>
            <w:vAlign w:val="bottom"/>
          </w:tcPr>
          <w:p w:rsidR="001E7338" w:rsidRPr="003E0843" w:rsidRDefault="001E7338" w:rsidP="00CB738E">
            <w:pPr>
              <w:suppressAutoHyphens w:val="0"/>
              <w:spacing w:before="80" w:after="80" w:line="180" w:lineRule="exact"/>
              <w:ind w:right="113"/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882" w:type="dxa"/>
            <w:vMerge w:val="restart"/>
            <w:shd w:val="clear" w:color="auto" w:fill="auto"/>
            <w:tcMar>
              <w:left w:w="0" w:type="dxa"/>
            </w:tcMar>
            <w:vAlign w:val="bottom"/>
          </w:tcPr>
          <w:p w:rsidR="001E7338" w:rsidRPr="003E0843" w:rsidRDefault="001E7338" w:rsidP="00CB738E">
            <w:pPr>
              <w:suppressAutoHyphens w:val="0"/>
              <w:spacing w:before="80" w:after="80" w:line="180" w:lineRule="exact"/>
              <w:ind w:right="113"/>
              <w:jc w:val="right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 xml:space="preserve">Masse </w:t>
            </w:r>
            <w:r w:rsidRPr="003E0843">
              <w:rPr>
                <w:i/>
                <w:sz w:val="14"/>
                <w:szCs w:val="14"/>
              </w:rPr>
              <w:br/>
              <w:t>de référence (RM) (kg)</w:t>
            </w:r>
          </w:p>
        </w:tc>
        <w:tc>
          <w:tcPr>
            <w:tcW w:w="1035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1E7338" w:rsidRPr="003E0843" w:rsidRDefault="001E7338" w:rsidP="00546EC9">
            <w:pPr>
              <w:suppressAutoHyphens w:val="0"/>
              <w:spacing w:before="80" w:after="80" w:line="180" w:lineRule="exact"/>
              <w:ind w:right="113"/>
              <w:jc w:val="center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 xml:space="preserve">Masse </w:t>
            </w:r>
            <w:r w:rsidRPr="003E0843">
              <w:rPr>
                <w:i/>
                <w:sz w:val="14"/>
                <w:szCs w:val="14"/>
              </w:rPr>
              <w:br/>
              <w:t>de monoxyde de carbone (CO)</w:t>
            </w:r>
          </w:p>
        </w:tc>
        <w:tc>
          <w:tcPr>
            <w:tcW w:w="109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1E7338" w:rsidRPr="003E0843" w:rsidRDefault="001E7338" w:rsidP="00546EC9">
            <w:pPr>
              <w:suppressAutoHyphens w:val="0"/>
              <w:spacing w:before="80" w:after="80" w:line="180" w:lineRule="exact"/>
              <w:ind w:right="113"/>
              <w:jc w:val="center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 xml:space="preserve">Masse </w:t>
            </w:r>
            <w:r w:rsidRPr="003E0843">
              <w:rPr>
                <w:i/>
                <w:sz w:val="14"/>
                <w:szCs w:val="14"/>
              </w:rPr>
              <w:br/>
              <w:t xml:space="preserve">d’hydrocarbures totaux </w:t>
            </w:r>
            <w:r w:rsidRPr="003E0843">
              <w:rPr>
                <w:i/>
                <w:sz w:val="14"/>
                <w:szCs w:val="14"/>
              </w:rPr>
              <w:br/>
              <w:t>(HCT)</w:t>
            </w:r>
          </w:p>
        </w:tc>
        <w:tc>
          <w:tcPr>
            <w:tcW w:w="117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1E7338" w:rsidRPr="003E0843" w:rsidRDefault="001E7338" w:rsidP="00546EC9">
            <w:pPr>
              <w:suppressAutoHyphens w:val="0"/>
              <w:spacing w:before="80" w:after="80" w:line="180" w:lineRule="exact"/>
              <w:ind w:right="113"/>
              <w:jc w:val="center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>Masse</w:t>
            </w:r>
            <w:r w:rsidRPr="003E0843">
              <w:rPr>
                <w:i/>
                <w:sz w:val="14"/>
                <w:szCs w:val="14"/>
              </w:rPr>
              <w:br/>
              <w:t xml:space="preserve">d’hydrocarbures </w:t>
            </w:r>
            <w:r w:rsidRPr="003E0843">
              <w:rPr>
                <w:i/>
                <w:sz w:val="14"/>
                <w:szCs w:val="14"/>
              </w:rPr>
              <w:br/>
              <w:t>non méthaniques (NMHC)</w:t>
            </w:r>
          </w:p>
        </w:tc>
        <w:tc>
          <w:tcPr>
            <w:tcW w:w="826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1E7338" w:rsidRPr="003E0843" w:rsidRDefault="001E7338" w:rsidP="00546EC9">
            <w:pPr>
              <w:suppressAutoHyphens w:val="0"/>
              <w:spacing w:before="80" w:after="80" w:line="180" w:lineRule="exact"/>
              <w:ind w:right="113"/>
              <w:jc w:val="center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 xml:space="preserve">Masse d’oxydes d’azote </w:t>
            </w:r>
            <w:r w:rsidRPr="003E0843">
              <w:rPr>
                <w:i/>
                <w:sz w:val="14"/>
                <w:szCs w:val="14"/>
              </w:rPr>
              <w:br/>
              <w:t>(NOX)</w:t>
            </w:r>
          </w:p>
        </w:tc>
        <w:tc>
          <w:tcPr>
            <w:tcW w:w="1174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1E7338" w:rsidRPr="003E0843" w:rsidRDefault="001E7338" w:rsidP="00546EC9">
            <w:pPr>
              <w:suppressAutoHyphens w:val="0"/>
              <w:spacing w:before="80" w:after="80" w:line="180" w:lineRule="exact"/>
              <w:ind w:right="113"/>
              <w:jc w:val="center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 xml:space="preserve">Masse combinée d’hydrocarbures et d’oxydes d’azote </w:t>
            </w:r>
            <w:r w:rsidRPr="003E0843">
              <w:rPr>
                <w:i/>
                <w:sz w:val="14"/>
                <w:szCs w:val="14"/>
              </w:rPr>
              <w:br/>
              <w:t>(HCT + NOX)</w:t>
            </w:r>
          </w:p>
        </w:tc>
        <w:tc>
          <w:tcPr>
            <w:tcW w:w="769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1E7338" w:rsidRPr="003E0843" w:rsidRDefault="001E7338" w:rsidP="00546EC9">
            <w:pPr>
              <w:suppressAutoHyphens w:val="0"/>
              <w:spacing w:before="80" w:after="80" w:line="180" w:lineRule="exact"/>
              <w:ind w:right="113"/>
              <w:jc w:val="center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>Masse de particules (PM)</w:t>
            </w:r>
          </w:p>
        </w:tc>
        <w:tc>
          <w:tcPr>
            <w:tcW w:w="1335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1E7338" w:rsidRPr="003E0843" w:rsidRDefault="001E7338" w:rsidP="00546EC9">
            <w:pPr>
              <w:suppressAutoHyphens w:val="0"/>
              <w:spacing w:before="80" w:after="80" w:line="180" w:lineRule="exact"/>
              <w:ind w:right="113"/>
              <w:jc w:val="center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>Nombre de particules (P)</w:t>
            </w:r>
          </w:p>
        </w:tc>
      </w:tr>
      <w:tr w:rsidR="001E7338" w:rsidRPr="003E0843" w:rsidTr="002E03B6">
        <w:trPr>
          <w:tblHeader/>
        </w:trPr>
        <w:tc>
          <w:tcPr>
            <w:tcW w:w="1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E7338" w:rsidRPr="003E0843" w:rsidRDefault="001E7338" w:rsidP="00CB738E">
            <w:pPr>
              <w:suppressAutoHyphens w:val="0"/>
              <w:spacing w:before="80" w:after="80" w:line="180" w:lineRule="exact"/>
              <w:ind w:left="57" w:right="57"/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E7338" w:rsidRPr="003E0843" w:rsidRDefault="001E7338" w:rsidP="00CB738E">
            <w:pPr>
              <w:suppressAutoHyphens w:val="0"/>
              <w:spacing w:before="80" w:after="80" w:line="180" w:lineRule="exact"/>
              <w:ind w:left="57" w:right="57"/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E7338" w:rsidRPr="003E0843" w:rsidRDefault="001E7338" w:rsidP="00546EC9">
            <w:pPr>
              <w:suppressAutoHyphens w:val="0"/>
              <w:spacing w:before="80" w:after="80" w:line="180" w:lineRule="exact"/>
              <w:ind w:left="57" w:right="57"/>
              <w:jc w:val="center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>L</w:t>
            </w:r>
            <w:r w:rsidRPr="003E0843">
              <w:rPr>
                <w:i/>
                <w:sz w:val="14"/>
                <w:szCs w:val="14"/>
                <w:vertAlign w:val="subscript"/>
              </w:rPr>
              <w:t>1</w:t>
            </w:r>
            <w:r w:rsidRPr="003E0843">
              <w:rPr>
                <w:i/>
                <w:sz w:val="14"/>
                <w:szCs w:val="14"/>
              </w:rPr>
              <w:t xml:space="preserve"> </w:t>
            </w:r>
            <w:r w:rsidRPr="003E0843">
              <w:rPr>
                <w:i/>
                <w:sz w:val="14"/>
                <w:szCs w:val="14"/>
              </w:rPr>
              <w:br/>
              <w:t>(mg/km)</w:t>
            </w: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E7338" w:rsidRPr="003E0843" w:rsidRDefault="001E7338" w:rsidP="00546EC9">
            <w:pPr>
              <w:suppressAutoHyphens w:val="0"/>
              <w:spacing w:before="80" w:after="80" w:line="180" w:lineRule="exact"/>
              <w:ind w:left="57" w:right="57"/>
              <w:jc w:val="center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>L</w:t>
            </w:r>
            <w:r w:rsidRPr="003E0843">
              <w:rPr>
                <w:i/>
                <w:sz w:val="14"/>
                <w:szCs w:val="14"/>
                <w:vertAlign w:val="subscript"/>
              </w:rPr>
              <w:t>2</w:t>
            </w:r>
            <w:r w:rsidRPr="003E0843">
              <w:rPr>
                <w:i/>
                <w:sz w:val="14"/>
                <w:szCs w:val="14"/>
              </w:rPr>
              <w:t xml:space="preserve"> </w:t>
            </w:r>
            <w:r w:rsidRPr="003E0843">
              <w:rPr>
                <w:i/>
                <w:sz w:val="14"/>
                <w:szCs w:val="14"/>
              </w:rPr>
              <w:br/>
              <w:t>(mg/km)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E7338" w:rsidRPr="003E0843" w:rsidRDefault="001E7338" w:rsidP="00546EC9">
            <w:pPr>
              <w:suppressAutoHyphens w:val="0"/>
              <w:spacing w:before="80" w:after="80" w:line="180" w:lineRule="exact"/>
              <w:ind w:left="57" w:right="57"/>
              <w:jc w:val="center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>L</w:t>
            </w:r>
            <w:r w:rsidRPr="003E0843">
              <w:rPr>
                <w:i/>
                <w:sz w:val="14"/>
                <w:szCs w:val="14"/>
                <w:vertAlign w:val="subscript"/>
              </w:rPr>
              <w:t>3</w:t>
            </w:r>
            <w:r w:rsidRPr="003E0843">
              <w:rPr>
                <w:i/>
                <w:sz w:val="14"/>
                <w:szCs w:val="14"/>
              </w:rPr>
              <w:t xml:space="preserve"> </w:t>
            </w:r>
            <w:r w:rsidRPr="003E0843">
              <w:rPr>
                <w:i/>
                <w:sz w:val="14"/>
                <w:szCs w:val="14"/>
              </w:rPr>
              <w:br/>
              <w:t>(mg/km)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E7338" w:rsidRPr="003E0843" w:rsidRDefault="001E7338" w:rsidP="00546EC9">
            <w:pPr>
              <w:suppressAutoHyphens w:val="0"/>
              <w:spacing w:before="80" w:after="80" w:line="180" w:lineRule="exact"/>
              <w:ind w:left="57" w:right="57"/>
              <w:jc w:val="center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>L</w:t>
            </w:r>
            <w:r w:rsidRPr="003E0843">
              <w:rPr>
                <w:i/>
                <w:sz w:val="14"/>
                <w:szCs w:val="14"/>
                <w:vertAlign w:val="subscript"/>
              </w:rPr>
              <w:t>4</w:t>
            </w:r>
            <w:r w:rsidRPr="003E0843">
              <w:rPr>
                <w:i/>
                <w:sz w:val="14"/>
                <w:szCs w:val="14"/>
              </w:rPr>
              <w:t xml:space="preserve"> </w:t>
            </w:r>
            <w:r w:rsidRPr="003E0843">
              <w:rPr>
                <w:i/>
                <w:sz w:val="14"/>
                <w:szCs w:val="14"/>
              </w:rPr>
              <w:br/>
              <w:t>(mg/km)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E7338" w:rsidRPr="003E0843" w:rsidRDefault="001E7338" w:rsidP="00546EC9">
            <w:pPr>
              <w:suppressAutoHyphens w:val="0"/>
              <w:spacing w:before="80" w:after="80" w:line="180" w:lineRule="exact"/>
              <w:ind w:left="57" w:right="57"/>
              <w:jc w:val="center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>L</w:t>
            </w:r>
            <w:r w:rsidRPr="003E0843">
              <w:rPr>
                <w:i/>
                <w:sz w:val="14"/>
                <w:szCs w:val="14"/>
                <w:vertAlign w:val="subscript"/>
              </w:rPr>
              <w:t>2</w:t>
            </w:r>
            <w:r w:rsidRPr="003E0843">
              <w:rPr>
                <w:i/>
                <w:sz w:val="14"/>
                <w:szCs w:val="14"/>
              </w:rPr>
              <w:t xml:space="preserve"> + L</w:t>
            </w:r>
            <w:r w:rsidRPr="003E0843">
              <w:rPr>
                <w:i/>
                <w:sz w:val="14"/>
                <w:szCs w:val="14"/>
                <w:vertAlign w:val="subscript"/>
              </w:rPr>
              <w:t>3</w:t>
            </w:r>
            <w:r w:rsidRPr="003E0843">
              <w:rPr>
                <w:i/>
                <w:sz w:val="14"/>
                <w:szCs w:val="14"/>
              </w:rPr>
              <w:t xml:space="preserve"> </w:t>
            </w:r>
            <w:r w:rsidRPr="003E0843">
              <w:rPr>
                <w:i/>
                <w:sz w:val="14"/>
                <w:szCs w:val="14"/>
              </w:rPr>
              <w:br/>
              <w:t>(mg/km)</w:t>
            </w: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E7338" w:rsidRPr="003E0843" w:rsidRDefault="001E7338" w:rsidP="00546EC9">
            <w:pPr>
              <w:suppressAutoHyphens w:val="0"/>
              <w:spacing w:before="80" w:after="80" w:line="180" w:lineRule="exact"/>
              <w:ind w:left="57" w:right="57"/>
              <w:jc w:val="center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>L</w:t>
            </w:r>
            <w:r w:rsidRPr="003E0843">
              <w:rPr>
                <w:i/>
                <w:sz w:val="14"/>
                <w:szCs w:val="14"/>
                <w:vertAlign w:val="subscript"/>
              </w:rPr>
              <w:t xml:space="preserve">5 </w:t>
            </w:r>
            <w:r w:rsidRPr="003E0843">
              <w:rPr>
                <w:i/>
                <w:sz w:val="14"/>
                <w:szCs w:val="14"/>
              </w:rPr>
              <w:br/>
              <w:t>(mg/km)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E7338" w:rsidRPr="003E0843" w:rsidRDefault="001E7338" w:rsidP="00546EC9">
            <w:pPr>
              <w:suppressAutoHyphens w:val="0"/>
              <w:spacing w:before="80" w:after="80" w:line="180" w:lineRule="exact"/>
              <w:ind w:left="57" w:right="57"/>
              <w:jc w:val="center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>L</w:t>
            </w:r>
            <w:r w:rsidRPr="003E0843">
              <w:rPr>
                <w:i/>
                <w:sz w:val="14"/>
                <w:szCs w:val="14"/>
                <w:vertAlign w:val="subscript"/>
              </w:rPr>
              <w:t xml:space="preserve">6 </w:t>
            </w:r>
            <w:r w:rsidRPr="003E0843">
              <w:rPr>
                <w:i/>
                <w:sz w:val="14"/>
                <w:szCs w:val="14"/>
              </w:rPr>
              <w:br/>
              <w:t>(nombre/km)</w:t>
            </w:r>
          </w:p>
        </w:tc>
      </w:tr>
      <w:tr w:rsidR="006F22A6" w:rsidRPr="003E0843" w:rsidTr="002E03B6">
        <w:tc>
          <w:tcPr>
            <w:tcW w:w="8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CB738E">
            <w:pPr>
              <w:suppressAutoHyphens w:val="0"/>
              <w:spacing w:before="80" w:after="80" w:line="180" w:lineRule="exact"/>
              <w:ind w:left="57" w:right="57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>Catégorie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CB738E">
            <w:pPr>
              <w:suppressAutoHyphens w:val="0"/>
              <w:spacing w:before="80" w:after="80" w:line="180" w:lineRule="exact"/>
              <w:ind w:left="57" w:right="57"/>
              <w:jc w:val="right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>Classe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CB738E">
            <w:pPr>
              <w:suppressAutoHyphens w:val="0"/>
              <w:spacing w:before="80" w:after="80" w:line="180" w:lineRule="exact"/>
              <w:ind w:left="57" w:right="57"/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CB738E">
            <w:pPr>
              <w:suppressAutoHyphens w:val="0"/>
              <w:spacing w:before="80" w:after="80" w:line="180" w:lineRule="exact"/>
              <w:ind w:left="57" w:right="57"/>
              <w:jc w:val="right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>PI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CB738E">
            <w:pPr>
              <w:suppressAutoHyphens w:val="0"/>
              <w:spacing w:before="80" w:after="80" w:line="180" w:lineRule="exact"/>
              <w:ind w:left="57" w:right="57"/>
              <w:jc w:val="right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>CI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CB738E">
            <w:pPr>
              <w:suppressAutoHyphens w:val="0"/>
              <w:spacing w:before="80" w:after="80" w:line="180" w:lineRule="exact"/>
              <w:ind w:left="57" w:right="57"/>
              <w:jc w:val="right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>PI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CB738E">
            <w:pPr>
              <w:suppressAutoHyphens w:val="0"/>
              <w:spacing w:before="80" w:after="80" w:line="180" w:lineRule="exact"/>
              <w:ind w:left="57" w:right="57"/>
              <w:jc w:val="right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>CI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CB738E">
            <w:pPr>
              <w:suppressAutoHyphens w:val="0"/>
              <w:spacing w:before="80" w:after="80" w:line="180" w:lineRule="exact"/>
              <w:ind w:left="57" w:right="57"/>
              <w:jc w:val="right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>PI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CB738E">
            <w:pPr>
              <w:suppressAutoHyphens w:val="0"/>
              <w:spacing w:before="80" w:after="80" w:line="180" w:lineRule="exact"/>
              <w:ind w:left="57" w:right="57"/>
              <w:jc w:val="right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>CI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CB738E">
            <w:pPr>
              <w:suppressAutoHyphens w:val="0"/>
              <w:spacing w:before="80" w:after="80" w:line="180" w:lineRule="exact"/>
              <w:ind w:left="57" w:right="57"/>
              <w:jc w:val="right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>PI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CB738E">
            <w:pPr>
              <w:suppressAutoHyphens w:val="0"/>
              <w:spacing w:before="80" w:after="80" w:line="180" w:lineRule="exact"/>
              <w:ind w:left="57" w:right="57"/>
              <w:jc w:val="right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>CI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CB738E">
            <w:pPr>
              <w:suppressAutoHyphens w:val="0"/>
              <w:spacing w:before="80" w:after="80" w:line="180" w:lineRule="exact"/>
              <w:ind w:left="57" w:right="57"/>
              <w:jc w:val="right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>PI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CB738E">
            <w:pPr>
              <w:suppressAutoHyphens w:val="0"/>
              <w:spacing w:before="80" w:after="80" w:line="180" w:lineRule="exact"/>
              <w:ind w:left="57" w:right="57"/>
              <w:jc w:val="right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>CI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CB738E">
            <w:pPr>
              <w:suppressAutoHyphens w:val="0"/>
              <w:spacing w:before="80" w:after="80" w:line="180" w:lineRule="exact"/>
              <w:ind w:left="57" w:right="57"/>
              <w:jc w:val="right"/>
              <w:rPr>
                <w:i/>
                <w:sz w:val="14"/>
                <w:szCs w:val="14"/>
                <w:vertAlign w:val="superscript"/>
              </w:rPr>
            </w:pPr>
            <w:r w:rsidRPr="003E0843">
              <w:rPr>
                <w:i/>
                <w:sz w:val="14"/>
                <w:szCs w:val="14"/>
              </w:rPr>
              <w:t>PI</w:t>
            </w:r>
            <w:r w:rsidRPr="003E0843">
              <w:rPr>
                <w:i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CB738E">
            <w:pPr>
              <w:suppressAutoHyphens w:val="0"/>
              <w:spacing w:before="80" w:after="80" w:line="180" w:lineRule="exact"/>
              <w:ind w:left="57" w:right="57"/>
              <w:jc w:val="right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>CI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CB738E">
            <w:pPr>
              <w:suppressAutoHyphens w:val="0"/>
              <w:spacing w:before="80" w:after="80" w:line="180" w:lineRule="exact"/>
              <w:ind w:left="57" w:right="57"/>
              <w:jc w:val="right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>PI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CB738E">
            <w:pPr>
              <w:suppressAutoHyphens w:val="0"/>
              <w:spacing w:before="80" w:after="80" w:line="180" w:lineRule="exact"/>
              <w:ind w:left="57" w:right="57"/>
              <w:jc w:val="right"/>
              <w:rPr>
                <w:i/>
                <w:sz w:val="14"/>
                <w:szCs w:val="14"/>
              </w:rPr>
            </w:pPr>
            <w:r w:rsidRPr="003E0843">
              <w:rPr>
                <w:i/>
                <w:sz w:val="14"/>
                <w:szCs w:val="14"/>
              </w:rPr>
              <w:t>CI</w:t>
            </w:r>
          </w:p>
        </w:tc>
      </w:tr>
      <w:tr w:rsidR="006F22A6" w:rsidRPr="003E0843" w:rsidTr="002E03B6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M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Toutes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1 000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500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100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-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68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60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180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230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4,5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4,5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-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6,0 × 10</w:t>
            </w:r>
            <w:r w:rsidRPr="003E0843">
              <w:rPr>
                <w:sz w:val="18"/>
                <w:szCs w:val="18"/>
                <w:vertAlign w:val="superscript"/>
              </w:rPr>
              <w:t>11</w:t>
            </w:r>
          </w:p>
        </w:tc>
      </w:tr>
      <w:tr w:rsidR="006F22A6" w:rsidRPr="003E0843" w:rsidTr="002E03B6"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  <w:vertAlign w:val="subscript"/>
              </w:rPr>
            </w:pPr>
            <w:r w:rsidRPr="003E0843">
              <w:rPr>
                <w:sz w:val="18"/>
                <w:szCs w:val="18"/>
              </w:rPr>
              <w:t>N</w:t>
            </w:r>
            <w:r w:rsidRPr="003E0843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I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 xml:space="preserve">RM </w:t>
            </w:r>
            <w:r w:rsidRPr="003E0843">
              <w:rPr>
                <w:sz w:val="18"/>
                <w:szCs w:val="18"/>
              </w:rPr>
              <w:sym w:font="Symbol" w:char="F0A3"/>
            </w:r>
            <w:r w:rsidRPr="003E0843">
              <w:rPr>
                <w:sz w:val="18"/>
                <w:szCs w:val="18"/>
              </w:rPr>
              <w:t xml:space="preserve"> 1 305</w:t>
            </w: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1 000</w:t>
            </w:r>
          </w:p>
        </w:tc>
        <w:tc>
          <w:tcPr>
            <w:tcW w:w="44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500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100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68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60</w:t>
            </w: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180</w:t>
            </w: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230</w:t>
            </w:r>
          </w:p>
        </w:tc>
        <w:tc>
          <w:tcPr>
            <w:tcW w:w="36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4,5</w:t>
            </w: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4,5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6,0 × 10</w:t>
            </w:r>
            <w:r w:rsidRPr="003E0843">
              <w:rPr>
                <w:sz w:val="18"/>
                <w:szCs w:val="18"/>
                <w:vertAlign w:val="superscript"/>
              </w:rPr>
              <w:t>11</w:t>
            </w:r>
          </w:p>
        </w:tc>
      </w:tr>
      <w:tr w:rsidR="006F22A6" w:rsidRPr="003E0843" w:rsidTr="002E03B6">
        <w:tc>
          <w:tcPr>
            <w:tcW w:w="817" w:type="dxa"/>
            <w:vMerge/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II</w:t>
            </w:r>
          </w:p>
        </w:tc>
        <w:tc>
          <w:tcPr>
            <w:tcW w:w="882" w:type="dxa"/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 xml:space="preserve">1 305 </w:t>
            </w:r>
            <w:r w:rsidRPr="003E0843">
              <w:rPr>
                <w:sz w:val="18"/>
                <w:szCs w:val="18"/>
              </w:rPr>
              <w:sym w:font="Symbol" w:char="F03C"/>
            </w:r>
            <w:r w:rsidRPr="003E0843">
              <w:rPr>
                <w:sz w:val="18"/>
                <w:szCs w:val="18"/>
              </w:rPr>
              <w:t xml:space="preserve"> RM </w:t>
            </w:r>
            <w:r w:rsidRPr="003E0843">
              <w:rPr>
                <w:sz w:val="18"/>
                <w:szCs w:val="18"/>
              </w:rPr>
              <w:sym w:font="Symbol" w:char="F0A3"/>
            </w:r>
            <w:r w:rsidRPr="003E0843">
              <w:rPr>
                <w:sz w:val="18"/>
                <w:szCs w:val="18"/>
              </w:rPr>
              <w:t xml:space="preserve"> 1 760</w:t>
            </w:r>
          </w:p>
        </w:tc>
        <w:tc>
          <w:tcPr>
            <w:tcW w:w="588" w:type="dxa"/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1 810</w:t>
            </w:r>
          </w:p>
        </w:tc>
        <w:tc>
          <w:tcPr>
            <w:tcW w:w="447" w:type="dxa"/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630</w:t>
            </w:r>
          </w:p>
        </w:tc>
        <w:tc>
          <w:tcPr>
            <w:tcW w:w="574" w:type="dxa"/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130</w:t>
            </w:r>
          </w:p>
        </w:tc>
        <w:tc>
          <w:tcPr>
            <w:tcW w:w="523" w:type="dxa"/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-</w:t>
            </w:r>
          </w:p>
        </w:tc>
        <w:tc>
          <w:tcPr>
            <w:tcW w:w="604" w:type="dxa"/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90</w:t>
            </w:r>
          </w:p>
        </w:tc>
        <w:tc>
          <w:tcPr>
            <w:tcW w:w="570" w:type="dxa"/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75</w:t>
            </w:r>
          </w:p>
        </w:tc>
        <w:tc>
          <w:tcPr>
            <w:tcW w:w="395" w:type="dxa"/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235</w:t>
            </w:r>
          </w:p>
        </w:tc>
        <w:tc>
          <w:tcPr>
            <w:tcW w:w="641" w:type="dxa"/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295</w:t>
            </w:r>
          </w:p>
        </w:tc>
        <w:tc>
          <w:tcPr>
            <w:tcW w:w="362" w:type="dxa"/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4,5</w:t>
            </w:r>
          </w:p>
        </w:tc>
        <w:tc>
          <w:tcPr>
            <w:tcW w:w="407" w:type="dxa"/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4,5</w:t>
            </w:r>
          </w:p>
        </w:tc>
        <w:tc>
          <w:tcPr>
            <w:tcW w:w="464" w:type="dxa"/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-</w:t>
            </w:r>
          </w:p>
        </w:tc>
        <w:tc>
          <w:tcPr>
            <w:tcW w:w="871" w:type="dxa"/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6,0 × 10</w:t>
            </w:r>
            <w:r w:rsidRPr="003E0843">
              <w:rPr>
                <w:sz w:val="18"/>
                <w:szCs w:val="18"/>
                <w:vertAlign w:val="superscript"/>
              </w:rPr>
              <w:t>11</w:t>
            </w:r>
          </w:p>
        </w:tc>
      </w:tr>
      <w:tr w:rsidR="006F22A6" w:rsidRPr="003E0843" w:rsidTr="002E03B6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III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 xml:space="preserve">1 760 </w:t>
            </w:r>
            <w:r w:rsidRPr="003E0843">
              <w:rPr>
                <w:sz w:val="18"/>
                <w:szCs w:val="18"/>
              </w:rPr>
              <w:sym w:font="Symbol" w:char="F03C"/>
            </w:r>
            <w:r w:rsidRPr="003E0843">
              <w:rPr>
                <w:sz w:val="18"/>
                <w:szCs w:val="18"/>
              </w:rPr>
              <w:t xml:space="preserve"> RM</w:t>
            </w:r>
            <w:r w:rsidRPr="003E0843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2 270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740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160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-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108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82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280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350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4,5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4,5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-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6,0 × 10</w:t>
            </w:r>
            <w:r w:rsidRPr="003E0843">
              <w:rPr>
                <w:sz w:val="18"/>
                <w:szCs w:val="18"/>
                <w:vertAlign w:val="superscript"/>
              </w:rPr>
              <w:t>11</w:t>
            </w:r>
          </w:p>
        </w:tc>
      </w:tr>
      <w:tr w:rsidR="006F22A6" w:rsidRPr="003E0843" w:rsidTr="002E03B6">
        <w:tc>
          <w:tcPr>
            <w:tcW w:w="817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rPr>
                <w:sz w:val="18"/>
                <w:szCs w:val="18"/>
                <w:vertAlign w:val="subscript"/>
              </w:rPr>
            </w:pPr>
            <w:r w:rsidRPr="003E0843">
              <w:rPr>
                <w:sz w:val="18"/>
                <w:szCs w:val="18"/>
              </w:rPr>
              <w:t>N</w:t>
            </w:r>
            <w:r w:rsidRPr="003E0843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Toutes</w:t>
            </w:r>
          </w:p>
        </w:tc>
        <w:tc>
          <w:tcPr>
            <w:tcW w:w="58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2 270</w:t>
            </w:r>
          </w:p>
        </w:tc>
        <w:tc>
          <w:tcPr>
            <w:tcW w:w="447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740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160</w:t>
            </w:r>
          </w:p>
        </w:tc>
        <w:tc>
          <w:tcPr>
            <w:tcW w:w="523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-</w:t>
            </w:r>
          </w:p>
        </w:tc>
        <w:tc>
          <w:tcPr>
            <w:tcW w:w="60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108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82</w:t>
            </w:r>
          </w:p>
        </w:tc>
        <w:tc>
          <w:tcPr>
            <w:tcW w:w="395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280</w:t>
            </w:r>
          </w:p>
        </w:tc>
        <w:tc>
          <w:tcPr>
            <w:tcW w:w="64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350</w:t>
            </w: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4,5</w:t>
            </w:r>
          </w:p>
        </w:tc>
        <w:tc>
          <w:tcPr>
            <w:tcW w:w="407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4,5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-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D33EC" w:rsidRPr="003E0843" w:rsidRDefault="00ED33EC" w:rsidP="00546EC9">
            <w:pPr>
              <w:suppressAutoHyphens w:val="0"/>
              <w:spacing w:before="60" w:after="60"/>
              <w:ind w:left="57" w:right="57"/>
              <w:jc w:val="right"/>
              <w:rPr>
                <w:sz w:val="18"/>
                <w:szCs w:val="18"/>
              </w:rPr>
            </w:pPr>
            <w:r w:rsidRPr="003E0843">
              <w:rPr>
                <w:sz w:val="18"/>
                <w:szCs w:val="18"/>
              </w:rPr>
              <w:t>6,0 × 10</w:t>
            </w:r>
            <w:r w:rsidRPr="003E0843">
              <w:rPr>
                <w:sz w:val="18"/>
                <w:szCs w:val="18"/>
                <w:vertAlign w:val="superscript"/>
              </w:rPr>
              <w:t>11</w:t>
            </w:r>
          </w:p>
        </w:tc>
      </w:tr>
    </w:tbl>
    <w:p w:rsidR="00546EC9" w:rsidRDefault="00546EC9" w:rsidP="002E03B6">
      <w:pPr>
        <w:spacing w:before="120"/>
        <w:ind w:firstLine="170"/>
        <w:rPr>
          <w:sz w:val="18"/>
          <w:szCs w:val="18"/>
          <w:lang w:val="fr-FR"/>
        </w:rPr>
      </w:pPr>
      <w:r w:rsidRPr="001E7338">
        <w:rPr>
          <w:i/>
          <w:sz w:val="18"/>
          <w:szCs w:val="18"/>
        </w:rPr>
        <w:t>Légende</w:t>
      </w:r>
      <w:r w:rsidRPr="001E7338">
        <w:rPr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 w:rsidRPr="00A272CE">
        <w:rPr>
          <w:sz w:val="18"/>
          <w:szCs w:val="18"/>
        </w:rPr>
        <w:t>PI = allumage commandé;</w:t>
      </w:r>
      <w:r>
        <w:rPr>
          <w:sz w:val="18"/>
          <w:szCs w:val="18"/>
        </w:rPr>
        <w:t xml:space="preserve"> CI = allumage par compression.</w:t>
      </w:r>
    </w:p>
    <w:p w:rsidR="00ED33EC" w:rsidRPr="00A272CE" w:rsidRDefault="00ED33EC" w:rsidP="00546EC9">
      <w:pPr>
        <w:ind w:firstLine="170"/>
        <w:rPr>
          <w:sz w:val="18"/>
          <w:szCs w:val="18"/>
        </w:rPr>
      </w:pPr>
      <w:r w:rsidRPr="00A272CE">
        <w:rPr>
          <w:i/>
          <w:sz w:val="18"/>
          <w:szCs w:val="18"/>
        </w:rPr>
        <w:t>Notes</w:t>
      </w:r>
      <w:r w:rsidRPr="00A272CE">
        <w:rPr>
          <w:sz w:val="18"/>
          <w:szCs w:val="18"/>
        </w:rPr>
        <w:t>:</w:t>
      </w:r>
    </w:p>
    <w:p w:rsidR="00ED33EC" w:rsidRPr="00A272CE" w:rsidRDefault="00ED33EC" w:rsidP="00A86DB7">
      <w:pPr>
        <w:ind w:firstLine="170"/>
        <w:rPr>
          <w:sz w:val="18"/>
          <w:szCs w:val="18"/>
          <w:lang w:val="fr-FR"/>
        </w:rPr>
      </w:pPr>
      <w:r w:rsidRPr="00A272CE">
        <w:rPr>
          <w:i/>
          <w:sz w:val="18"/>
          <w:szCs w:val="18"/>
          <w:vertAlign w:val="superscript"/>
        </w:rPr>
        <w:t>1</w:t>
      </w:r>
      <w:r w:rsidRPr="00A272CE">
        <w:rPr>
          <w:sz w:val="18"/>
          <w:szCs w:val="18"/>
        </w:rPr>
        <w:t xml:space="preserve">  </w:t>
      </w:r>
      <w:r w:rsidRPr="00A272CE">
        <w:rPr>
          <w:sz w:val="18"/>
          <w:szCs w:val="18"/>
          <w:lang w:val="fr-FR"/>
        </w:rPr>
        <w:t>Les normes concernant la masse de particules pour l</w:t>
      </w:r>
      <w:r w:rsidR="001E7338">
        <w:rPr>
          <w:sz w:val="18"/>
          <w:szCs w:val="18"/>
          <w:lang w:val="fr-FR"/>
        </w:rPr>
        <w:t>’</w:t>
      </w:r>
      <w:r w:rsidRPr="00A272CE">
        <w:rPr>
          <w:sz w:val="18"/>
          <w:szCs w:val="18"/>
          <w:lang w:val="fr-FR"/>
        </w:rPr>
        <w:t>allumage commandé s</w:t>
      </w:r>
      <w:r w:rsidR="001E7338">
        <w:rPr>
          <w:sz w:val="18"/>
          <w:szCs w:val="18"/>
          <w:lang w:val="fr-FR"/>
        </w:rPr>
        <w:t>’</w:t>
      </w:r>
      <w:r w:rsidRPr="00A272CE">
        <w:rPr>
          <w:sz w:val="18"/>
          <w:szCs w:val="18"/>
          <w:lang w:val="fr-FR"/>
        </w:rPr>
        <w:t>appliquent uniquement aux véhicules équipés d</w:t>
      </w:r>
      <w:r w:rsidR="001E7338">
        <w:rPr>
          <w:sz w:val="18"/>
          <w:szCs w:val="18"/>
          <w:lang w:val="fr-FR"/>
        </w:rPr>
        <w:t>’</w:t>
      </w:r>
      <w:r w:rsidR="007B590F">
        <w:rPr>
          <w:sz w:val="18"/>
          <w:szCs w:val="18"/>
          <w:lang w:val="fr-FR"/>
        </w:rPr>
        <w:t>un moteur à injection directe.</w:t>
      </w:r>
    </w:p>
    <w:p w:rsidR="00ED33EC" w:rsidRDefault="00ED33EC" w:rsidP="001E7338">
      <w:pPr>
        <w:ind w:firstLine="170"/>
        <w:rPr>
          <w:sz w:val="18"/>
          <w:szCs w:val="18"/>
          <w:lang w:val="fr-FR"/>
        </w:rPr>
      </w:pPr>
      <w:r w:rsidRPr="00A272CE">
        <w:rPr>
          <w:i/>
          <w:sz w:val="18"/>
          <w:szCs w:val="18"/>
          <w:vertAlign w:val="superscript"/>
          <w:lang w:val="fr-FR"/>
        </w:rPr>
        <w:t>2</w:t>
      </w:r>
      <w:r w:rsidRPr="00A272CE">
        <w:rPr>
          <w:sz w:val="18"/>
          <w:szCs w:val="18"/>
          <w:lang w:val="fr-FR"/>
        </w:rPr>
        <w:t xml:space="preserve">  Y compris les véhicules de la catégorie M</w:t>
      </w:r>
      <w:r w:rsidRPr="00A272CE">
        <w:rPr>
          <w:sz w:val="18"/>
          <w:szCs w:val="18"/>
          <w:vertAlign w:val="subscript"/>
          <w:lang w:val="fr-FR"/>
        </w:rPr>
        <w:t>1</w:t>
      </w:r>
      <w:r w:rsidRPr="00A272CE">
        <w:rPr>
          <w:sz w:val="18"/>
          <w:szCs w:val="18"/>
          <w:lang w:val="fr-FR"/>
        </w:rPr>
        <w:t xml:space="preserve"> qui satisfont </w:t>
      </w:r>
      <w:r w:rsidR="007B590F">
        <w:rPr>
          <w:sz w:val="18"/>
          <w:szCs w:val="18"/>
          <w:lang w:val="fr-FR"/>
        </w:rPr>
        <w:t>“</w:t>
      </w:r>
      <w:r w:rsidRPr="00A272CE">
        <w:rPr>
          <w:sz w:val="18"/>
          <w:szCs w:val="18"/>
          <w:lang w:val="fr-FR"/>
        </w:rPr>
        <w:t>des besoins sociospécifiques</w:t>
      </w:r>
      <w:r w:rsidR="007B590F">
        <w:rPr>
          <w:sz w:val="18"/>
          <w:szCs w:val="18"/>
          <w:lang w:val="fr-FR"/>
        </w:rPr>
        <w:t>”</w:t>
      </w:r>
      <w:r w:rsidRPr="00A272CE">
        <w:rPr>
          <w:sz w:val="18"/>
          <w:szCs w:val="18"/>
          <w:lang w:val="fr-FR"/>
        </w:rPr>
        <w:t>, selon la définition.</w:t>
      </w:r>
      <w:r>
        <w:rPr>
          <w:sz w:val="18"/>
          <w:szCs w:val="18"/>
          <w:lang w:val="fr-FR"/>
        </w:rPr>
        <w:t>».</w:t>
      </w:r>
    </w:p>
    <w:p w:rsidR="005F0207" w:rsidRPr="007B590F" w:rsidRDefault="007B590F" w:rsidP="007B590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7B590F" w:rsidSect="00607A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oddPage"/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BE" w:rsidRDefault="003403BE"/>
  </w:endnote>
  <w:endnote w:type="continuationSeparator" w:id="0">
    <w:p w:rsidR="003403BE" w:rsidRDefault="003403BE">
      <w:pPr>
        <w:pStyle w:val="Footer"/>
      </w:pPr>
    </w:p>
  </w:endnote>
  <w:endnote w:type="continuationNotice" w:id="1">
    <w:p w:rsidR="003403BE" w:rsidRPr="00C451B9" w:rsidRDefault="003403BE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EC" w:rsidRPr="00ED33EC" w:rsidRDefault="00ED33EC" w:rsidP="00ED33EC">
    <w:pPr>
      <w:pStyle w:val="Footer"/>
      <w:tabs>
        <w:tab w:val="right" w:pos="9638"/>
      </w:tabs>
    </w:pPr>
    <w:r w:rsidRPr="00ED33EC">
      <w:rPr>
        <w:b/>
        <w:sz w:val="18"/>
      </w:rPr>
      <w:fldChar w:fldCharType="begin"/>
    </w:r>
    <w:r w:rsidRPr="00ED33EC">
      <w:rPr>
        <w:b/>
        <w:sz w:val="18"/>
      </w:rPr>
      <w:instrText xml:space="preserve"> PAGE  \* MERGEFORMAT </w:instrText>
    </w:r>
    <w:r w:rsidRPr="00ED33EC">
      <w:rPr>
        <w:b/>
        <w:sz w:val="18"/>
      </w:rPr>
      <w:fldChar w:fldCharType="separate"/>
    </w:r>
    <w:r w:rsidR="00B935C1">
      <w:rPr>
        <w:b/>
        <w:noProof/>
        <w:sz w:val="18"/>
      </w:rPr>
      <w:t>2</w:t>
    </w:r>
    <w:r w:rsidRPr="00ED33EC">
      <w:rPr>
        <w:b/>
        <w:sz w:val="18"/>
      </w:rPr>
      <w:fldChar w:fldCharType="end"/>
    </w:r>
    <w:r>
      <w:rPr>
        <w:b/>
        <w:sz w:val="18"/>
      </w:rPr>
      <w:tab/>
    </w:r>
    <w:r>
      <w:t>GE.15-01688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EC" w:rsidRPr="00ED33EC" w:rsidRDefault="00ED33EC" w:rsidP="00ED33EC">
    <w:pPr>
      <w:pStyle w:val="Footer"/>
      <w:tabs>
        <w:tab w:val="right" w:pos="9638"/>
      </w:tabs>
      <w:rPr>
        <w:b/>
        <w:sz w:val="18"/>
      </w:rPr>
    </w:pPr>
    <w:r>
      <w:t>GE.15-01688</w:t>
    </w:r>
    <w:r>
      <w:tab/>
    </w:r>
    <w:r w:rsidRPr="00ED33EC">
      <w:rPr>
        <w:b/>
        <w:sz w:val="18"/>
      </w:rPr>
      <w:fldChar w:fldCharType="begin"/>
    </w:r>
    <w:r w:rsidRPr="00ED33EC">
      <w:rPr>
        <w:b/>
        <w:sz w:val="18"/>
      </w:rPr>
      <w:instrText xml:space="preserve"> PAGE  \* MERGEFORMAT </w:instrText>
    </w:r>
    <w:r w:rsidRPr="00ED33EC">
      <w:rPr>
        <w:b/>
        <w:sz w:val="18"/>
      </w:rPr>
      <w:fldChar w:fldCharType="separate"/>
    </w:r>
    <w:r w:rsidR="00607A42">
      <w:rPr>
        <w:b/>
        <w:noProof/>
        <w:sz w:val="18"/>
      </w:rPr>
      <w:t>1</w:t>
    </w:r>
    <w:r w:rsidRPr="00ED33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56" w:rsidRPr="0029791D" w:rsidRDefault="00A37494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5039995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A37494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15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ED33EC" w:rsidRDefault="00ED33EC" w:rsidP="00ED33EC">
    <w:pPr>
      <w:pStyle w:val="Footer"/>
      <w:spacing w:before="120"/>
      <w:rPr>
        <w:sz w:val="20"/>
      </w:rPr>
    </w:pPr>
    <w:r>
      <w:rPr>
        <w:sz w:val="20"/>
      </w:rPr>
      <w:t>GE.15-01688  (F)</w:t>
    </w:r>
    <w:r w:rsidR="00502D1B">
      <w:rPr>
        <w:sz w:val="20"/>
      </w:rPr>
      <w:t xml:space="preserve">    070415    0</w:t>
    </w:r>
    <w:r w:rsidR="00546EC9">
      <w:rPr>
        <w:sz w:val="20"/>
      </w:rPr>
      <w:t>9</w:t>
    </w:r>
    <w:r w:rsidR="00502D1B">
      <w:rPr>
        <w:sz w:val="20"/>
      </w:rPr>
      <w:t>0415</w:t>
    </w:r>
    <w:r>
      <w:rPr>
        <w:sz w:val="20"/>
      </w:rPr>
      <w:br/>
    </w:r>
    <w:r w:rsidRPr="00ED33EC">
      <w:rPr>
        <w:rFonts w:ascii="C39T30Lfz" w:hAnsi="C39T30Lfz"/>
        <w:sz w:val="56"/>
      </w:rPr>
      <w:t></w:t>
    </w:r>
    <w:r w:rsidRPr="00ED33EC">
      <w:rPr>
        <w:rFonts w:ascii="C39T30Lfz" w:hAnsi="C39T30Lfz"/>
        <w:sz w:val="56"/>
      </w:rPr>
      <w:t></w:t>
    </w:r>
    <w:r w:rsidRPr="00ED33EC">
      <w:rPr>
        <w:rFonts w:ascii="C39T30Lfz" w:hAnsi="C39T30Lfz"/>
        <w:sz w:val="56"/>
      </w:rPr>
      <w:t></w:t>
    </w:r>
    <w:r w:rsidRPr="00ED33EC">
      <w:rPr>
        <w:rFonts w:ascii="C39T30Lfz" w:hAnsi="C39T30Lfz"/>
        <w:sz w:val="56"/>
      </w:rPr>
      <w:t></w:t>
    </w:r>
    <w:r w:rsidRPr="00ED33EC">
      <w:rPr>
        <w:rFonts w:ascii="C39T30Lfz" w:hAnsi="C39T30Lfz"/>
        <w:sz w:val="56"/>
      </w:rPr>
      <w:t></w:t>
    </w:r>
    <w:r w:rsidRPr="00ED33EC">
      <w:rPr>
        <w:rFonts w:ascii="C39T30Lfz" w:hAnsi="C39T30Lfz"/>
        <w:sz w:val="56"/>
      </w:rPr>
      <w:t></w:t>
    </w:r>
    <w:r w:rsidRPr="00ED33EC">
      <w:rPr>
        <w:rFonts w:ascii="C39T30Lfz" w:hAnsi="C39T30Lfz"/>
        <w:sz w:val="56"/>
      </w:rPr>
      <w:t></w:t>
    </w:r>
    <w:r w:rsidRPr="00ED33EC">
      <w:rPr>
        <w:rFonts w:ascii="C39T30Lfz" w:hAnsi="C39T30Lfz"/>
        <w:sz w:val="56"/>
      </w:rPr>
      <w:t></w:t>
    </w:r>
    <w:r w:rsidRPr="00ED33EC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BE" w:rsidRPr="00D27D5E" w:rsidRDefault="003403B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403BE" w:rsidRPr="00D171D4" w:rsidRDefault="003403BE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3403BE" w:rsidRPr="00C451B9" w:rsidRDefault="003403BE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EC" w:rsidRPr="00ED33EC" w:rsidRDefault="00ED33EC">
    <w:pPr>
      <w:pStyle w:val="Header"/>
    </w:pPr>
    <w:r>
      <w:t>E/ECE/324/Rev.1/Add.82/Rev.4/Amend.4</w:t>
    </w:r>
    <w:r>
      <w:br/>
      <w:t>E/ECE/TRANS/505/Rev.1/Add.82/Rev.4/Amend.4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EC" w:rsidRPr="00ED33EC" w:rsidRDefault="00ED33EC" w:rsidP="00ED33EC">
    <w:pPr>
      <w:pStyle w:val="Header"/>
      <w:jc w:val="right"/>
    </w:pPr>
    <w:r>
      <w:t>E/ECE/324/Rev.1/Add.82/Rev.4/Amend.4</w:t>
    </w:r>
    <w:r>
      <w:br/>
      <w:t>E/ECE/TRANS/505/Rev.1/Add.82/Rev.4/Amend.4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42" w:rsidRDefault="00607A42" w:rsidP="00607A4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72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B33DE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338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75BF4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03B6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03BE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86ECD"/>
    <w:rsid w:val="00390EEF"/>
    <w:rsid w:val="00394410"/>
    <w:rsid w:val="003976D5"/>
    <w:rsid w:val="003B53B6"/>
    <w:rsid w:val="003D6C68"/>
    <w:rsid w:val="003E01D0"/>
    <w:rsid w:val="003E0843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4963"/>
    <w:rsid w:val="004E6809"/>
    <w:rsid w:val="004E7F24"/>
    <w:rsid w:val="00502D1B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46EC9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07A42"/>
    <w:rsid w:val="0061113B"/>
    <w:rsid w:val="00611D43"/>
    <w:rsid w:val="00612D48"/>
    <w:rsid w:val="00613A5E"/>
    <w:rsid w:val="00616B45"/>
    <w:rsid w:val="006241C6"/>
    <w:rsid w:val="0062619E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90D68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2A6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B590F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37494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6DB7"/>
    <w:rsid w:val="00A9247E"/>
    <w:rsid w:val="00AA0DCA"/>
    <w:rsid w:val="00AA7796"/>
    <w:rsid w:val="00AC67A1"/>
    <w:rsid w:val="00AC7977"/>
    <w:rsid w:val="00AC7E56"/>
    <w:rsid w:val="00AD4572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46052"/>
    <w:rsid w:val="00B52F29"/>
    <w:rsid w:val="00B5388D"/>
    <w:rsid w:val="00B61990"/>
    <w:rsid w:val="00B6249B"/>
    <w:rsid w:val="00B70CCD"/>
    <w:rsid w:val="00B75E66"/>
    <w:rsid w:val="00B773BF"/>
    <w:rsid w:val="00B935C1"/>
    <w:rsid w:val="00BA0CD1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6540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B738E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B55C4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3EC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="Calibr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="Calibr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="Calibr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="Calibr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="Calibr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="Calibr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="Calibri"/>
      <w:lang w:val="fr-CH"/>
    </w:rPr>
  </w:style>
  <w:style w:type="character" w:customStyle="1" w:styleId="Heading2Char">
    <w:name w:val="Heading 2 Char"/>
    <w:link w:val="Heading2"/>
    <w:rsid w:val="0048687D"/>
    <w:rPr>
      <w:rFonts w:eastAsia="Calibri"/>
      <w:lang w:val="fr-CH"/>
    </w:rPr>
  </w:style>
  <w:style w:type="character" w:customStyle="1" w:styleId="Heading3Char">
    <w:name w:val="Heading 3 Char"/>
    <w:link w:val="Heading3"/>
    <w:rsid w:val="0048687D"/>
    <w:rPr>
      <w:rFonts w:eastAsia="Calibri"/>
      <w:lang w:val="fr-CH"/>
    </w:rPr>
  </w:style>
  <w:style w:type="character" w:customStyle="1" w:styleId="Heading4Char">
    <w:name w:val="Heading 4 Char"/>
    <w:link w:val="Heading4"/>
    <w:rsid w:val="0048687D"/>
    <w:rPr>
      <w:rFonts w:eastAsia="Calibri"/>
      <w:lang w:val="fr-CH"/>
    </w:rPr>
  </w:style>
  <w:style w:type="character" w:customStyle="1" w:styleId="Heading5Char">
    <w:name w:val="Heading 5 Char"/>
    <w:link w:val="Heading5"/>
    <w:rsid w:val="0048687D"/>
    <w:rPr>
      <w:rFonts w:eastAsia="Calibri"/>
      <w:lang w:val="fr-CH"/>
    </w:rPr>
  </w:style>
  <w:style w:type="character" w:customStyle="1" w:styleId="Heading6Char">
    <w:name w:val="Heading 6 Char"/>
    <w:link w:val="Heading6"/>
    <w:rsid w:val="0048687D"/>
    <w:rPr>
      <w:rFonts w:eastAsia="Calibri"/>
      <w:lang w:val="fr-CH"/>
    </w:rPr>
  </w:style>
  <w:style w:type="character" w:customStyle="1" w:styleId="Heading7Char">
    <w:name w:val="Heading 7 Char"/>
    <w:link w:val="Heading7"/>
    <w:rsid w:val="0048687D"/>
    <w:rPr>
      <w:rFonts w:eastAsia="Calibri"/>
      <w:lang w:val="fr-CH"/>
    </w:rPr>
  </w:style>
  <w:style w:type="character" w:customStyle="1" w:styleId="Heading8Char">
    <w:name w:val="Heading 8 Char"/>
    <w:link w:val="Heading8"/>
    <w:rsid w:val="0048687D"/>
    <w:rPr>
      <w:rFonts w:eastAsia="Calibri"/>
      <w:lang w:val="fr-CH"/>
    </w:rPr>
  </w:style>
  <w:style w:type="character" w:customStyle="1" w:styleId="Heading9Char">
    <w:name w:val="Heading 9 Char"/>
    <w:link w:val="Heading9"/>
    <w:rsid w:val="0048687D"/>
    <w:rPr>
      <w:rFonts w:eastAsia="Calibri"/>
      <w:lang w:val="fr-CH"/>
    </w:rPr>
  </w:style>
  <w:style w:type="paragraph" w:styleId="BalloonText">
    <w:name w:val="Balloon Text"/>
    <w:basedOn w:val="Normal"/>
    <w:link w:val="BalloonTextChar"/>
    <w:rsid w:val="00B935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5C1"/>
    <w:rPr>
      <w:rFonts w:ascii="Tahoma" w:eastAsia="Calibri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="Calibr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="Calibr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="Calibr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="Calibr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="Calibr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="Calibr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="Calibri"/>
      <w:lang w:val="fr-CH"/>
    </w:rPr>
  </w:style>
  <w:style w:type="character" w:customStyle="1" w:styleId="Heading2Char">
    <w:name w:val="Heading 2 Char"/>
    <w:link w:val="Heading2"/>
    <w:rsid w:val="0048687D"/>
    <w:rPr>
      <w:rFonts w:eastAsia="Calibri"/>
      <w:lang w:val="fr-CH"/>
    </w:rPr>
  </w:style>
  <w:style w:type="character" w:customStyle="1" w:styleId="Heading3Char">
    <w:name w:val="Heading 3 Char"/>
    <w:link w:val="Heading3"/>
    <w:rsid w:val="0048687D"/>
    <w:rPr>
      <w:rFonts w:eastAsia="Calibri"/>
      <w:lang w:val="fr-CH"/>
    </w:rPr>
  </w:style>
  <w:style w:type="character" w:customStyle="1" w:styleId="Heading4Char">
    <w:name w:val="Heading 4 Char"/>
    <w:link w:val="Heading4"/>
    <w:rsid w:val="0048687D"/>
    <w:rPr>
      <w:rFonts w:eastAsia="Calibri"/>
      <w:lang w:val="fr-CH"/>
    </w:rPr>
  </w:style>
  <w:style w:type="character" w:customStyle="1" w:styleId="Heading5Char">
    <w:name w:val="Heading 5 Char"/>
    <w:link w:val="Heading5"/>
    <w:rsid w:val="0048687D"/>
    <w:rPr>
      <w:rFonts w:eastAsia="Calibri"/>
      <w:lang w:val="fr-CH"/>
    </w:rPr>
  </w:style>
  <w:style w:type="character" w:customStyle="1" w:styleId="Heading6Char">
    <w:name w:val="Heading 6 Char"/>
    <w:link w:val="Heading6"/>
    <w:rsid w:val="0048687D"/>
    <w:rPr>
      <w:rFonts w:eastAsia="Calibri"/>
      <w:lang w:val="fr-CH"/>
    </w:rPr>
  </w:style>
  <w:style w:type="character" w:customStyle="1" w:styleId="Heading7Char">
    <w:name w:val="Heading 7 Char"/>
    <w:link w:val="Heading7"/>
    <w:rsid w:val="0048687D"/>
    <w:rPr>
      <w:rFonts w:eastAsia="Calibri"/>
      <w:lang w:val="fr-CH"/>
    </w:rPr>
  </w:style>
  <w:style w:type="character" w:customStyle="1" w:styleId="Heading8Char">
    <w:name w:val="Heading 8 Char"/>
    <w:link w:val="Heading8"/>
    <w:rsid w:val="0048687D"/>
    <w:rPr>
      <w:rFonts w:eastAsia="Calibri"/>
      <w:lang w:val="fr-CH"/>
    </w:rPr>
  </w:style>
  <w:style w:type="character" w:customStyle="1" w:styleId="Heading9Char">
    <w:name w:val="Heading 9 Char"/>
    <w:link w:val="Heading9"/>
    <w:rsid w:val="0048687D"/>
    <w:rPr>
      <w:rFonts w:eastAsia="Calibri"/>
      <w:lang w:val="fr-CH"/>
    </w:rPr>
  </w:style>
  <w:style w:type="paragraph" w:styleId="BalloonText">
    <w:name w:val="Balloon Text"/>
    <w:basedOn w:val="Normal"/>
    <w:link w:val="BalloonTextChar"/>
    <w:rsid w:val="00B935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5C1"/>
    <w:rPr>
      <w:rFonts w:ascii="Tahoma" w:eastAsia="Calibr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4F9F4-73BE-4E49-8423-7313FAF6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E/ECE/324/Rev.1/Add.82/Rev.4/Amend.4</vt:lpstr>
    </vt:vector>
  </TitlesOfParts>
  <Company>CSD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E/ECE/324/Rev.1/Add.82/Rev.4/Amend.4</dc:title>
  <dc:subject>Final</dc:subject>
  <dc:creator>Crelier</dc:creator>
  <cp:lastModifiedBy>04</cp:lastModifiedBy>
  <cp:revision>2</cp:revision>
  <cp:lastPrinted>2015-04-08T15:41:00Z</cp:lastPrinted>
  <dcterms:created xsi:type="dcterms:W3CDTF">2015-06-04T06:09:00Z</dcterms:created>
  <dcterms:modified xsi:type="dcterms:W3CDTF">2015-06-04T06:09:00Z</dcterms:modified>
</cp:coreProperties>
</file>