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7B391E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Rev.1/</w:t>
            </w:r>
            <w:r>
              <w:t>Add.</w:t>
            </w:r>
            <w:r w:rsidR="007B391E">
              <w:t>69</w:t>
            </w:r>
            <w:r>
              <w:t>/Rev.</w:t>
            </w:r>
            <w:r w:rsidR="007B391E">
              <w:t>1</w:t>
            </w:r>
            <w:r>
              <w:t>/Amend.</w:t>
            </w:r>
            <w:r w:rsidR="007B391E">
              <w:t>3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7B391E">
              <w:t>/Rev.1/Add.69/Rev.1/Amend.3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084BA4" w:rsidRPr="00DB58B5" w:rsidRDefault="00F60F39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084BA4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1F1B44">
        <w:t>69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F1B44">
        <w:t>70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1F1B44">
        <w:t>1</w:t>
      </w:r>
      <w:r w:rsidR="000314C7">
        <w:t xml:space="preserve"> − Amendement </w:t>
      </w:r>
      <w:r w:rsidR="001F1B44">
        <w:t>3</w:t>
      </w:r>
    </w:p>
    <w:p w:rsidR="00015650" w:rsidRPr="00631BAB" w:rsidRDefault="003A58D8" w:rsidP="00242268">
      <w:pPr>
        <w:pStyle w:val="SingleTxtG"/>
        <w:spacing w:after="100" w:line="200" w:lineRule="atLeast"/>
        <w:jc w:val="left"/>
      </w:pPr>
      <w:r>
        <w:t xml:space="preserve">Complément </w:t>
      </w:r>
      <w:r w:rsidR="001F1B44">
        <w:t xml:space="preserve">9 </w:t>
      </w:r>
      <w:r>
        <w:t>à la s</w:t>
      </w:r>
      <w:r w:rsidR="00015650" w:rsidRPr="00631BAB">
        <w:t xml:space="preserve">érie </w:t>
      </w:r>
      <w:r w:rsidR="00A92017">
        <w:t>0</w:t>
      </w:r>
      <w:r w:rsidR="001F1B44">
        <w:t>1</w:t>
      </w:r>
      <w:r w:rsidR="00015650" w:rsidRPr="00631BAB">
        <w:t xml:space="preserve"> d</w:t>
      </w:r>
      <w:r w:rsidR="00015650">
        <w:t>’</w:t>
      </w:r>
      <w:r w:rsidR="00015650" w:rsidRPr="00631BAB">
        <w:t>amendements au Règlement − Date d</w:t>
      </w:r>
      <w:r w:rsidR="00015650">
        <w:t>’entrée en vigueur: 15 </w:t>
      </w:r>
      <w:r w:rsidR="00015650" w:rsidRPr="00631BAB">
        <w:t>jui</w:t>
      </w:r>
      <w:r w:rsidR="00A92017">
        <w:t>n 2015</w:t>
      </w:r>
      <w:r w:rsidR="00015650" w:rsidRPr="00631BAB"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1F1B44" w:rsidRPr="001F1B44">
        <w:rPr>
          <w:spacing w:val="-2"/>
        </w:rPr>
        <w:t>Prescriptions uniformes relatives à l'homologation des plaques d'identification arrière pour véhicules lourds et longs</w:t>
      </w:r>
    </w:p>
    <w:p w:rsidR="001F1B44" w:rsidRDefault="001D3393" w:rsidP="001F1B44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constitue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outil de documentation. Le texte authentique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contraignant juridique est ECE/TRANS/WP.29/201</w:t>
      </w:r>
      <w:r w:rsidR="001F1B44">
        <w:rPr>
          <w:lang w:val="en-GB" w:eastAsia="en-GB"/>
        </w:rPr>
        <w:t>4</w:t>
      </w:r>
      <w:r w:rsidRPr="001D3393">
        <w:rPr>
          <w:lang w:val="en-GB" w:eastAsia="en-GB"/>
        </w:rPr>
        <w:t>/</w:t>
      </w:r>
      <w:r w:rsidR="001F1B44">
        <w:rPr>
          <w:lang w:val="en-GB" w:eastAsia="en-GB"/>
        </w:rPr>
        <w:t>61</w:t>
      </w:r>
      <w:r w:rsidR="006C40AA">
        <w:rPr>
          <w:lang w:val="en-GB" w:eastAsia="en-GB"/>
        </w:rPr>
        <w:t>.</w:t>
      </w:r>
    </w:p>
    <w:p w:rsidR="007E7259" w:rsidRPr="007B5E5C" w:rsidRDefault="001F1B44" w:rsidP="007E7259">
      <w:pPr>
        <w:pStyle w:val="SingleTxtG"/>
        <w:rPr>
          <w:lang w:val="fr-FR"/>
        </w:rPr>
      </w:pPr>
      <w:r>
        <w:rPr>
          <w:lang w:val="en-GB" w:eastAsia="en-GB"/>
        </w:rPr>
        <w:br w:type="page"/>
      </w:r>
      <w:r w:rsidR="007E7259" w:rsidRPr="007B5E5C">
        <w:rPr>
          <w:i/>
          <w:iCs/>
          <w:lang w:val="fr-FR"/>
        </w:rPr>
        <w:lastRenderedPageBreak/>
        <w:t>Paragraphe 2.1.3</w:t>
      </w:r>
      <w:r w:rsidR="007E7259" w:rsidRPr="007B5E5C">
        <w:rPr>
          <w:lang w:val="fr-FR"/>
        </w:rPr>
        <w:t xml:space="preserve">, </w:t>
      </w:r>
      <w:proofErr w:type="gramStart"/>
      <w:r w:rsidR="007E7259" w:rsidRPr="00F40DDA">
        <w:rPr>
          <w:lang w:val="fr-FR"/>
        </w:rPr>
        <w:t>ajouter</w:t>
      </w:r>
      <w:proofErr w:type="gramEnd"/>
      <w:r w:rsidR="007E7259" w:rsidRPr="00F40DDA">
        <w:rPr>
          <w:lang w:val="fr-FR"/>
        </w:rPr>
        <w:t xml:space="preserve"> à la fin</w:t>
      </w:r>
      <w:r w:rsidR="007E7259" w:rsidRPr="00F16C59">
        <w:rPr>
          <w:lang w:val="fr-FR"/>
        </w:rPr>
        <w:t>:</w:t>
      </w:r>
    </w:p>
    <w:p w:rsidR="007E7259" w:rsidRPr="007B5E5C" w:rsidRDefault="007E7259" w:rsidP="007E7259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2</w:t>
      </w:r>
      <w:r w:rsidRPr="007B5E5C">
        <w:rPr>
          <w:spacing w:val="4"/>
          <w:lang w:val="fr-FR"/>
        </w:rPr>
        <w:t>.</w:t>
      </w:r>
      <w:r w:rsidRPr="007B5E5C">
        <w:rPr>
          <w:spacing w:val="-2"/>
          <w:lang w:val="fr-FR"/>
        </w:rPr>
        <w:t>1</w:t>
      </w:r>
      <w:r w:rsidRPr="007B5E5C">
        <w:rPr>
          <w:spacing w:val="1"/>
          <w:lang w:val="fr-FR"/>
        </w:rPr>
        <w:t>.</w:t>
      </w:r>
      <w:r w:rsidRPr="007B5E5C">
        <w:rPr>
          <w:spacing w:val="-2"/>
          <w:lang w:val="fr-FR"/>
        </w:rPr>
        <w:t>3</w:t>
      </w:r>
      <w:r w:rsidRPr="007B5E5C">
        <w:rPr>
          <w:lang w:val="fr-FR"/>
        </w:rPr>
        <w:tab/>
      </w:r>
      <w:r>
        <w:rPr>
          <w:lang w:val="fr-FR"/>
        </w:rPr>
        <w:tab/>
      </w:r>
      <w:r w:rsidRPr="007B5E5C">
        <w:rPr>
          <w:lang w:val="fr-FR"/>
        </w:rPr>
        <w:t>…</w:t>
      </w:r>
    </w:p>
    <w:p w:rsidR="007E7259" w:rsidRPr="007B5E5C" w:rsidRDefault="007E7259" w:rsidP="007E7259">
      <w:pPr>
        <w:spacing w:after="120"/>
        <w:ind w:left="3402" w:right="1134" w:hanging="1134"/>
        <w:jc w:val="both"/>
        <w:rPr>
          <w:spacing w:val="1"/>
          <w:lang w:val="fr-FR"/>
        </w:rPr>
      </w:pPr>
      <w:r w:rsidRPr="0032403A">
        <w:rPr>
          <w:rStyle w:val="SingleTxtGCar"/>
        </w:rPr>
        <w:t>Classe 5:</w:t>
      </w:r>
      <w:r w:rsidRPr="0032403A">
        <w:rPr>
          <w:rStyle w:val="SingleTxtGCar"/>
        </w:rPr>
        <w:tab/>
        <w:t>Plaque d</w:t>
      </w:r>
      <w:r>
        <w:rPr>
          <w:rStyle w:val="SingleTxtGCar"/>
        </w:rPr>
        <w:t>’</w:t>
      </w:r>
      <w:r w:rsidRPr="0032403A">
        <w:rPr>
          <w:rStyle w:val="SingleTxtGCar"/>
        </w:rPr>
        <w:t>identification arrière pour véhicules automobiles ou remorques avec bandes alternées rouges et blanches rétroréfléchissantes.»</w:t>
      </w:r>
      <w:r w:rsidRPr="007B5E5C">
        <w:rPr>
          <w:spacing w:val="1"/>
          <w:lang w:val="fr-FR"/>
        </w:rPr>
        <w:t>.</w:t>
      </w:r>
    </w:p>
    <w:p w:rsidR="007E7259" w:rsidRPr="007B5E5C" w:rsidRDefault="007E7259" w:rsidP="007E7259">
      <w:pPr>
        <w:pStyle w:val="SingleTxtG"/>
        <w:keepNext/>
        <w:rPr>
          <w:bCs/>
          <w:i/>
          <w:lang w:val="fr-FR"/>
        </w:rPr>
      </w:pPr>
      <w:r w:rsidRPr="007B5E5C">
        <w:rPr>
          <w:bCs/>
          <w:i/>
          <w:lang w:val="fr-FR"/>
        </w:rPr>
        <w:t xml:space="preserve">Annexe 5, 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>Paragraphe 2,</w:t>
      </w:r>
      <w:r w:rsidRPr="007B5E5C">
        <w:rPr>
          <w:bCs/>
          <w:lang w:val="fr-FR"/>
        </w:rPr>
        <w:t xml:space="preserve"> </w:t>
      </w:r>
      <w:proofErr w:type="gramStart"/>
      <w:r w:rsidRPr="00F40DDA">
        <w:rPr>
          <w:bCs/>
          <w:lang w:val="fr-FR"/>
        </w:rPr>
        <w:t>ajouter</w:t>
      </w:r>
      <w:proofErr w:type="gramEnd"/>
      <w:r w:rsidRPr="00F40DDA">
        <w:rPr>
          <w:bCs/>
          <w:lang w:val="fr-FR"/>
        </w:rPr>
        <w:t xml:space="preserve"> à la fin</w:t>
      </w:r>
      <w:r w:rsidRPr="00F16C59">
        <w:rPr>
          <w:bCs/>
          <w:lang w:val="fr-FR"/>
        </w:rPr>
        <w:t>:</w:t>
      </w:r>
    </w:p>
    <w:p w:rsidR="007E7259" w:rsidRPr="007B5E5C" w:rsidRDefault="007E7259" w:rsidP="007E7259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2</w:t>
      </w:r>
      <w:r w:rsidRPr="007B5E5C">
        <w:rPr>
          <w:lang w:val="fr-FR"/>
        </w:rPr>
        <w:tab/>
        <w:t>…</w:t>
      </w:r>
    </w:p>
    <w:p w:rsidR="007E7259" w:rsidRPr="007B5E5C" w:rsidRDefault="007E7259" w:rsidP="007E7259">
      <w:pPr>
        <w:pStyle w:val="SingleTxtG"/>
        <w:ind w:left="2268"/>
        <w:rPr>
          <w:lang w:val="fr-FR"/>
        </w:rPr>
      </w:pPr>
      <w:r w:rsidRPr="007B5E5C">
        <w:rPr>
          <w:lang w:val="fr-FR"/>
        </w:rPr>
        <w:t xml:space="preserve">Le matériau rétroréfléchissant des </w:t>
      </w:r>
      <w:r w:rsidRPr="007B5E5C">
        <w:t>dispositifs</w:t>
      </w:r>
      <w:r w:rsidRPr="007B5E5C">
        <w:rPr>
          <w:lang w:val="fr-FR"/>
        </w:rPr>
        <w:t xml:space="preserve"> de la classe 5 destinés à être montés sur des véhicules non articulés doit être constitué de bandes obliques alternées de couleurs blanche et rouge.</w:t>
      </w:r>
      <w:r>
        <w:rPr>
          <w:lang w:val="fr-FR"/>
        </w:rPr>
        <w:t>».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>Paragraphe 3.2</w:t>
      </w:r>
      <w:r w:rsidRPr="00F16C59">
        <w:rPr>
          <w:bCs/>
          <w:i/>
          <w:lang w:val="fr-FR"/>
        </w:rPr>
        <w:t>,</w:t>
      </w:r>
      <w:r w:rsidRPr="00F16C59">
        <w:rPr>
          <w:bCs/>
          <w:lang w:val="fr-FR"/>
        </w:rPr>
        <w:t xml:space="preserve"> </w:t>
      </w:r>
      <w:proofErr w:type="gramStart"/>
      <w:r w:rsidRPr="00F40DDA">
        <w:rPr>
          <w:bCs/>
          <w:lang w:val="fr-FR"/>
        </w:rPr>
        <w:t>ajouter</w:t>
      </w:r>
      <w:proofErr w:type="gramEnd"/>
      <w:r w:rsidRPr="00F40DDA">
        <w:rPr>
          <w:bCs/>
          <w:lang w:val="fr-FR"/>
        </w:rPr>
        <w:t xml:space="preserve"> à la fin</w:t>
      </w:r>
      <w:r w:rsidRPr="00F16C59">
        <w:rPr>
          <w:bCs/>
          <w:lang w:val="fr-FR"/>
        </w:rPr>
        <w:t>:</w:t>
      </w:r>
    </w:p>
    <w:p w:rsidR="007E7259" w:rsidRPr="007B5E5C" w:rsidRDefault="007E7259" w:rsidP="007E7259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3.2</w:t>
      </w:r>
      <w:r w:rsidRPr="007B5E5C">
        <w:rPr>
          <w:lang w:val="fr-FR"/>
        </w:rPr>
        <w:tab/>
      </w:r>
      <w:r>
        <w:rPr>
          <w:lang w:val="fr-FR"/>
        </w:rPr>
        <w:tab/>
      </w:r>
      <w:r w:rsidRPr="007B5E5C">
        <w:rPr>
          <w:lang w:val="fr-FR"/>
        </w:rPr>
        <w:t>…</w:t>
      </w:r>
    </w:p>
    <w:p w:rsidR="007E7259" w:rsidRPr="007B5E5C" w:rsidRDefault="007E7259" w:rsidP="007E7259">
      <w:pPr>
        <w:pStyle w:val="SingleTxtG"/>
        <w:ind w:left="2268"/>
        <w:rPr>
          <w:bCs/>
          <w:lang w:val="fr-FR"/>
        </w:rPr>
      </w:pPr>
      <w:r w:rsidRPr="007B5E5C">
        <w:rPr>
          <w:bCs/>
          <w:lang w:val="fr-FR"/>
        </w:rPr>
        <w:t>Les dispositifs de la classe 5 doivent comporter un minimum de neuf surfaces normalisées telles que décrites au paragraphe 3.4 ci-dessous sur les gros véhicules disposant d</w:t>
      </w:r>
      <w:r>
        <w:rPr>
          <w:bCs/>
          <w:lang w:val="fr-FR"/>
        </w:rPr>
        <w:t>’</w:t>
      </w:r>
      <w:r w:rsidRPr="007B5E5C">
        <w:rPr>
          <w:bCs/>
          <w:lang w:val="fr-FR"/>
        </w:rPr>
        <w:t>un espace de montage suffisant; ce chiffre peut toutefois être ramené à un minimum de quatre surfaces normalisées sur les véhicules ne disposant que d</w:t>
      </w:r>
      <w:r>
        <w:rPr>
          <w:bCs/>
          <w:lang w:val="fr-FR"/>
        </w:rPr>
        <w:t>’</w:t>
      </w:r>
      <w:r w:rsidRPr="007B5E5C">
        <w:rPr>
          <w:bCs/>
          <w:lang w:val="fr-FR"/>
        </w:rPr>
        <w:t>un espace de montage limité.</w:t>
      </w:r>
      <w:r>
        <w:rPr>
          <w:bCs/>
          <w:lang w:val="fr-FR"/>
        </w:rPr>
        <w:t>».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>Paragraphe 3.4,</w:t>
      </w:r>
      <w:r w:rsidRPr="007B5E5C">
        <w:rPr>
          <w:bCs/>
          <w:lang w:val="fr-FR"/>
        </w:rPr>
        <w:t xml:space="preserve"> </w:t>
      </w:r>
      <w:proofErr w:type="gramStart"/>
      <w:r w:rsidRPr="00F40DDA">
        <w:rPr>
          <w:bCs/>
          <w:lang w:val="fr-FR"/>
        </w:rPr>
        <w:t>ajouter</w:t>
      </w:r>
      <w:proofErr w:type="gramEnd"/>
      <w:r w:rsidRPr="00F40DDA">
        <w:rPr>
          <w:bCs/>
          <w:lang w:val="fr-FR"/>
        </w:rPr>
        <w:t xml:space="preserve"> à la fin</w:t>
      </w:r>
      <w:r w:rsidRPr="00F16C59">
        <w:rPr>
          <w:bCs/>
          <w:lang w:val="fr-FR"/>
        </w:rPr>
        <w:t>:</w:t>
      </w:r>
    </w:p>
    <w:p w:rsidR="007E7259" w:rsidRPr="007B5E5C" w:rsidRDefault="007E7259" w:rsidP="007E7259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3.4</w:t>
      </w:r>
      <w:r w:rsidRPr="007B5E5C">
        <w:rPr>
          <w:lang w:val="fr-FR"/>
        </w:rPr>
        <w:tab/>
        <w:t>…</w:t>
      </w:r>
    </w:p>
    <w:p w:rsidR="007E7259" w:rsidRPr="007B5E5C" w:rsidRDefault="007E7259" w:rsidP="007E7259">
      <w:pPr>
        <w:pStyle w:val="SingleTxtG"/>
        <w:ind w:left="2268"/>
        <w:rPr>
          <w:bCs/>
          <w:lang w:val="fr-FR"/>
        </w:rPr>
      </w:pPr>
      <w:r w:rsidRPr="007B5E5C">
        <w:rPr>
          <w:bCs/>
          <w:lang w:val="fr-FR"/>
        </w:rPr>
        <w:t>Les matériaux rétrofléchissants des dispositifs de la classe 5 sont constitués de bandes diagonales rouges et blanches de 100 mm de large, inclinées vers l</w:t>
      </w:r>
      <w:r>
        <w:rPr>
          <w:bCs/>
          <w:lang w:val="fr-FR"/>
        </w:rPr>
        <w:t>’</w:t>
      </w:r>
      <w:r w:rsidRPr="007B5E5C">
        <w:rPr>
          <w:bCs/>
          <w:lang w:val="fr-FR"/>
        </w:rPr>
        <w:t>extérieur et vers le bas selon un angle de 45°. La surface normalisée de base est un carré de 141 mm de côté divisé en diagonale en une moitié blanche et en une moitié rouge.</w:t>
      </w:r>
    </w:p>
    <w:p w:rsidR="007E7259" w:rsidRPr="007B5E5C" w:rsidRDefault="007E7259" w:rsidP="007E7259">
      <w:pPr>
        <w:pStyle w:val="SingleTxtG"/>
        <w:ind w:left="2268"/>
        <w:rPr>
          <w:bCs/>
          <w:lang w:val="fr-FR"/>
        </w:rPr>
      </w:pPr>
      <w:r w:rsidRPr="007B5E5C">
        <w:rPr>
          <w:bCs/>
          <w:lang w:val="fr-FR"/>
        </w:rPr>
        <w:t>Les formes, dessins et caractéristiques dimensionnelles prescrits des dispositifs de la classe 5 sont illustrés à la figure 3 de l</w:t>
      </w:r>
      <w:r>
        <w:rPr>
          <w:bCs/>
          <w:lang w:val="fr-FR"/>
        </w:rPr>
        <w:t>’</w:t>
      </w:r>
      <w:r w:rsidRPr="007B5E5C">
        <w:rPr>
          <w:bCs/>
          <w:lang w:val="fr-FR"/>
        </w:rPr>
        <w:t>annexe 12 ci</w:t>
      </w:r>
      <w:r w:rsidRPr="007B5E5C">
        <w:rPr>
          <w:bCs/>
          <w:lang w:val="fr-FR"/>
        </w:rPr>
        <w:noBreakHyphen/>
        <w:t>après.</w:t>
      </w:r>
      <w:r>
        <w:rPr>
          <w:bCs/>
          <w:lang w:val="fr-FR"/>
        </w:rPr>
        <w:t>».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 xml:space="preserve">Paragraphe 3.5, </w:t>
      </w:r>
      <w:r w:rsidRPr="007B5E5C">
        <w:rPr>
          <w:bCs/>
          <w:lang w:val="fr-FR"/>
        </w:rPr>
        <w:t>lire:</w:t>
      </w:r>
    </w:p>
    <w:p w:rsidR="007E7259" w:rsidRPr="000D013C" w:rsidRDefault="007E7259" w:rsidP="007E7259">
      <w:pPr>
        <w:pStyle w:val="SingleTxtGR"/>
        <w:keepNext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  <w:rPr>
          <w:lang w:val="fr-CH"/>
        </w:rPr>
      </w:pPr>
      <w:r>
        <w:rPr>
          <w:lang w:val="fr-FR"/>
        </w:rPr>
        <w:t>«</w:t>
      </w:r>
      <w:r w:rsidRPr="007B5E5C">
        <w:rPr>
          <w:lang w:val="fr-FR"/>
        </w:rPr>
        <w:t>3.5</w:t>
      </w:r>
      <w:r w:rsidRPr="007B5E5C">
        <w:rPr>
          <w:lang w:val="fr-FR"/>
        </w:rPr>
        <w:tab/>
      </w:r>
      <w:r>
        <w:rPr>
          <w:lang w:val="fr-FR"/>
        </w:rPr>
        <w:tab/>
      </w:r>
      <w:r w:rsidRPr="007B5E5C">
        <w:rPr>
          <w:lang w:val="fr-FR"/>
        </w:rPr>
        <w:t xml:space="preserve">Les plaques </w:t>
      </w:r>
      <w:r w:rsidRPr="007B5E5C">
        <w:rPr>
          <w:bCs/>
          <w:lang w:val="fr-FR"/>
        </w:rPr>
        <w:t>d</w:t>
      </w:r>
      <w:r>
        <w:rPr>
          <w:bCs/>
          <w:lang w:val="fr-FR"/>
        </w:rPr>
        <w:t>’</w:t>
      </w:r>
      <w:r w:rsidRPr="007B5E5C">
        <w:rPr>
          <w:bCs/>
          <w:lang w:val="fr-FR"/>
        </w:rPr>
        <w:t>identification</w:t>
      </w:r>
      <w:r w:rsidRPr="007B5E5C">
        <w:rPr>
          <w:lang w:val="fr-FR"/>
        </w:rPr>
        <w:t xml:space="preserve"> arrière ou les dispositifs de la classe 5 fournis en jeux doivent être appairés</w:t>
      </w:r>
      <w:r w:rsidRPr="007B5E5C">
        <w:rPr>
          <w:bCs/>
          <w:lang w:val="fr-FR"/>
        </w:rPr>
        <w:t>.</w:t>
      </w:r>
      <w:r>
        <w:rPr>
          <w:bCs/>
          <w:lang w:val="fr-FR"/>
        </w:rPr>
        <w:t>».</w:t>
      </w:r>
    </w:p>
    <w:p w:rsidR="007E7259" w:rsidRPr="007B5E5C" w:rsidRDefault="007E7259" w:rsidP="007E7259">
      <w:pPr>
        <w:pStyle w:val="SingleTxtG"/>
        <w:rPr>
          <w:bCs/>
          <w:i/>
          <w:lang w:val="fr-FR"/>
        </w:rPr>
      </w:pPr>
      <w:r w:rsidRPr="007B5E5C">
        <w:rPr>
          <w:bCs/>
          <w:i/>
          <w:lang w:val="fr-FR"/>
        </w:rPr>
        <w:t>Annexe 6,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 xml:space="preserve">Paragraphe 2, </w:t>
      </w:r>
      <w:r w:rsidRPr="007B5E5C">
        <w:rPr>
          <w:bCs/>
          <w:lang w:val="fr-FR"/>
        </w:rPr>
        <w:t>titre, lire:</w:t>
      </w:r>
    </w:p>
    <w:p w:rsidR="007E7259" w:rsidRPr="007B5E5C" w:rsidRDefault="007E7259" w:rsidP="007E7259">
      <w:pPr>
        <w:pStyle w:val="SingleTxtGR"/>
        <w:keepNext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  <w:rPr>
          <w:bCs/>
          <w:lang w:val="fr-FR"/>
        </w:rPr>
      </w:pPr>
      <w:r>
        <w:rPr>
          <w:bCs/>
          <w:lang w:val="fr-FR"/>
        </w:rPr>
        <w:t>«</w:t>
      </w:r>
      <w:r w:rsidRPr="007B5E5C">
        <w:rPr>
          <w:bCs/>
          <w:lang w:val="fr-FR"/>
        </w:rPr>
        <w:t>2.</w:t>
      </w:r>
      <w:r w:rsidRPr="007B5E5C">
        <w:rPr>
          <w:bCs/>
          <w:lang w:val="fr-FR"/>
        </w:rPr>
        <w:tab/>
      </w:r>
      <w:r>
        <w:rPr>
          <w:bCs/>
          <w:lang w:val="fr-FR"/>
        </w:rPr>
        <w:t xml:space="preserve">Matériau réfléchissant jaune, </w:t>
      </w:r>
      <w:r w:rsidRPr="007B5E5C">
        <w:rPr>
          <w:bCs/>
          <w:lang w:val="fr-FR"/>
        </w:rPr>
        <w:t>rouge ou blanc</w:t>
      </w:r>
      <w:r>
        <w:rPr>
          <w:bCs/>
          <w:lang w:val="fr-FR"/>
        </w:rPr>
        <w:t>»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 xml:space="preserve">Paragraphe 2.1.1, </w:t>
      </w:r>
      <w:r w:rsidRPr="007B5E5C">
        <w:rPr>
          <w:bCs/>
          <w:lang w:val="fr-FR"/>
        </w:rPr>
        <w:t>lire:</w:t>
      </w:r>
    </w:p>
    <w:p w:rsidR="007E7259" w:rsidRPr="007B5E5C" w:rsidRDefault="007E7259" w:rsidP="007E7259">
      <w:pPr>
        <w:pStyle w:val="SingleTxtGR"/>
        <w:keepNext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2.1.1.</w:t>
      </w:r>
      <w:r w:rsidRPr="007B5E5C">
        <w:rPr>
          <w:lang w:val="fr-FR"/>
        </w:rPr>
        <w:tab/>
        <w:t>Le facteur de luminance pour:</w:t>
      </w:r>
    </w:p>
    <w:p w:rsidR="007E7259" w:rsidRPr="007B5E5C" w:rsidRDefault="007E7259" w:rsidP="007E7259">
      <w:pPr>
        <w:keepNext/>
        <w:spacing w:after="120"/>
        <w:ind w:left="2268" w:right="1134"/>
        <w:rPr>
          <w:lang w:val="fr-FR"/>
        </w:rPr>
      </w:pPr>
      <w:r w:rsidRPr="007B5E5C">
        <w:rPr>
          <w:lang w:val="fr-FR"/>
        </w:rPr>
        <w:t>a)</w:t>
      </w:r>
      <w:r w:rsidRPr="007B5E5C">
        <w:rPr>
          <w:lang w:val="fr-FR"/>
        </w:rPr>
        <w:tab/>
      </w:r>
      <w:r w:rsidRPr="007B5E5C">
        <w:rPr>
          <w:bCs/>
          <w:lang w:val="fr-FR"/>
        </w:rPr>
        <w:t xml:space="preserve">La couleur jaune doit être </w:t>
      </w:r>
      <w:r w:rsidRPr="007B5E5C">
        <w:rPr>
          <w:lang w:val="fr-FR"/>
        </w:rPr>
        <w:sym w:font="Symbol" w:char="F0B3"/>
      </w:r>
      <w:r w:rsidRPr="007B5E5C">
        <w:rPr>
          <w:lang w:val="fr-FR"/>
        </w:rPr>
        <w:t> 0,16.</w:t>
      </w:r>
    </w:p>
    <w:p w:rsidR="007E7259" w:rsidRPr="007B5E5C" w:rsidRDefault="007E7259" w:rsidP="007E7259">
      <w:pPr>
        <w:spacing w:after="120"/>
        <w:ind w:left="2268" w:right="1134"/>
        <w:rPr>
          <w:lang w:val="fr-FR"/>
        </w:rPr>
      </w:pPr>
      <w:r w:rsidRPr="007B5E5C">
        <w:rPr>
          <w:lang w:val="fr-FR"/>
        </w:rPr>
        <w:t>b)</w:t>
      </w:r>
      <w:r w:rsidRPr="007B5E5C">
        <w:rPr>
          <w:lang w:val="fr-FR"/>
        </w:rPr>
        <w:tab/>
        <w:t xml:space="preserve">La couleur rouge doit être </w:t>
      </w:r>
      <w:r w:rsidRPr="007B5E5C">
        <w:rPr>
          <w:lang w:val="fr-FR"/>
        </w:rPr>
        <w:sym w:font="Symbol" w:char="F0B3"/>
      </w:r>
      <w:r w:rsidRPr="007B5E5C">
        <w:rPr>
          <w:lang w:val="fr-FR"/>
        </w:rPr>
        <w:t xml:space="preserve"> 0,03. </w:t>
      </w:r>
    </w:p>
    <w:p w:rsidR="007E7259" w:rsidRPr="007B5E5C" w:rsidRDefault="007E7259" w:rsidP="007E7259">
      <w:pPr>
        <w:spacing w:after="120"/>
        <w:ind w:left="2268" w:right="1134"/>
        <w:rPr>
          <w:bCs/>
          <w:lang w:val="fr-FR"/>
        </w:rPr>
      </w:pPr>
      <w:r w:rsidRPr="007B5E5C">
        <w:rPr>
          <w:lang w:val="fr-FR"/>
        </w:rPr>
        <w:t>c)</w:t>
      </w:r>
      <w:r w:rsidRPr="007B5E5C">
        <w:rPr>
          <w:lang w:val="fr-FR"/>
        </w:rPr>
        <w:tab/>
        <w:t xml:space="preserve">La couleur blanche doit être </w:t>
      </w:r>
      <w:r w:rsidRPr="007B5E5C">
        <w:rPr>
          <w:lang w:val="fr-FR"/>
        </w:rPr>
        <w:sym w:font="Symbol" w:char="F0B3"/>
      </w:r>
      <w:r w:rsidRPr="007B5E5C">
        <w:rPr>
          <w:lang w:val="fr-FR"/>
        </w:rPr>
        <w:t> 0,25.</w:t>
      </w:r>
      <w:r>
        <w:rPr>
          <w:lang w:val="fr-FR"/>
        </w:rPr>
        <w:t>».</w:t>
      </w:r>
    </w:p>
    <w:p w:rsidR="007E7259" w:rsidRPr="007B5E5C" w:rsidRDefault="007E7259" w:rsidP="007E7259">
      <w:pPr>
        <w:pStyle w:val="SingleTxtG"/>
        <w:keepNext/>
        <w:rPr>
          <w:bCs/>
          <w:i/>
          <w:lang w:val="fr-FR"/>
        </w:rPr>
      </w:pPr>
      <w:r w:rsidRPr="007B5E5C">
        <w:rPr>
          <w:bCs/>
          <w:i/>
          <w:lang w:val="fr-FR"/>
        </w:rPr>
        <w:lastRenderedPageBreak/>
        <w:t>Annexe 7,</w:t>
      </w:r>
    </w:p>
    <w:p w:rsidR="007E7259" w:rsidRPr="007B5E5C" w:rsidRDefault="007E7259" w:rsidP="007E7259">
      <w:pPr>
        <w:pStyle w:val="SingleTxtG"/>
        <w:keepNext/>
        <w:rPr>
          <w:b/>
          <w:bCs/>
          <w:lang w:val="fr-FR"/>
        </w:rPr>
      </w:pPr>
      <w:r w:rsidRPr="007B5E5C">
        <w:rPr>
          <w:bCs/>
          <w:i/>
          <w:lang w:val="fr-FR"/>
        </w:rPr>
        <w:t xml:space="preserve">Paragraphe 1.1, </w:t>
      </w:r>
      <w:r w:rsidRPr="007B5E5C">
        <w:rPr>
          <w:bCs/>
          <w:lang w:val="fr-FR"/>
        </w:rPr>
        <w:t>ajouter à la suite du tableau 2 un nouveau tableau 3 se présentant comme suit:</w:t>
      </w:r>
    </w:p>
    <w:p w:rsidR="007E7259" w:rsidRPr="007B5E5C" w:rsidRDefault="007E7259" w:rsidP="007E7259">
      <w:pPr>
        <w:pStyle w:val="SingleTxtG"/>
        <w:ind w:left="2268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Lorsque l</w:t>
      </w:r>
      <w:r>
        <w:rPr>
          <w:lang w:val="fr-FR"/>
        </w:rPr>
        <w:t>’</w:t>
      </w:r>
      <w:r w:rsidRPr="007B5E5C">
        <w:rPr>
          <w:lang w:val="fr-FR"/>
        </w:rPr>
        <w:t>échantillon est éclairé au moyen d</w:t>
      </w:r>
      <w:r>
        <w:rPr>
          <w:lang w:val="fr-FR"/>
        </w:rPr>
        <w:t>’</w:t>
      </w:r>
      <w:r w:rsidRPr="007B5E5C">
        <w:rPr>
          <w:lang w:val="fr-FR"/>
        </w:rPr>
        <w:t>une source standard A de la CIE et mesuré comme recommandé par le Comité technique 2.3 de la CIE (Publication CIE n</w:t>
      </w:r>
      <w:r w:rsidRPr="007B5E5C">
        <w:rPr>
          <w:vertAlign w:val="superscript"/>
          <w:lang w:val="fr-FR"/>
        </w:rPr>
        <w:t>o</w:t>
      </w:r>
      <w:r w:rsidRPr="007B5E5C">
        <w:rPr>
          <w:lang w:val="fr-FR"/>
        </w:rPr>
        <w:t> 54, 1982), le coefficient de réflexion R</w:t>
      </w:r>
      <w:r>
        <w:rPr>
          <w:lang w:val="fr-FR"/>
        </w:rPr>
        <w:t>’</w:t>
      </w:r>
      <w:r w:rsidRPr="007B5E5C">
        <w:rPr>
          <w:lang w:val="fr-FR"/>
        </w:rPr>
        <w:t xml:space="preserve"> en candelas par m</w:t>
      </w:r>
      <w:r w:rsidRPr="007B5E5C">
        <w:rPr>
          <w:vertAlign w:val="superscript"/>
          <w:lang w:val="fr-FR"/>
        </w:rPr>
        <w:t xml:space="preserve">2 </w:t>
      </w:r>
      <w:r w:rsidRPr="007B5E5C">
        <w:rPr>
          <w:lang w:val="fr-FR"/>
        </w:rPr>
        <w:t>par lux de la surface rétroréfléchissante jaune, blanche ou rouge, à l</w:t>
      </w:r>
      <w:r>
        <w:rPr>
          <w:lang w:val="fr-FR"/>
        </w:rPr>
        <w:t>’</w:t>
      </w:r>
      <w:r w:rsidRPr="007B5E5C">
        <w:rPr>
          <w:lang w:val="fr-FR"/>
        </w:rPr>
        <w:t>état neuf, doit être au moins égal à celui indiqué dans les tableaux 1, ou 2 ou 3 selon la classe. Les dispositifs des classes 1 et 2 doivent respecter les valeurs du tableau 1, les dispositifs des classes 3 et 4 celles du tableau </w:t>
      </w:r>
      <w:proofErr w:type="gramStart"/>
      <w:r w:rsidRPr="007B5E5C">
        <w:rPr>
          <w:lang w:val="fr-FR"/>
        </w:rPr>
        <w:t>2.,</w:t>
      </w:r>
      <w:proofErr w:type="gramEnd"/>
      <w:r w:rsidRPr="007B5E5C">
        <w:rPr>
          <w:lang w:val="fr-FR"/>
        </w:rPr>
        <w:t xml:space="preserve"> les dispositifs de la classe 5 celles du tableau 3.</w:t>
      </w:r>
    </w:p>
    <w:p w:rsidR="007E7259" w:rsidRPr="007B5E5C" w:rsidRDefault="007E7259" w:rsidP="007E7259">
      <w:pPr>
        <w:pStyle w:val="SingleTxtG"/>
        <w:ind w:left="2268"/>
        <w:rPr>
          <w:lang w:val="fr-FR"/>
        </w:rPr>
      </w:pPr>
      <w:r w:rsidRPr="007B5E5C">
        <w:rPr>
          <w:lang w:val="fr-FR"/>
        </w:rPr>
        <w:t>…</w:t>
      </w:r>
    </w:p>
    <w:p w:rsidR="007E7259" w:rsidRPr="007B5E5C" w:rsidRDefault="007E7259" w:rsidP="007E7259">
      <w:pPr>
        <w:pStyle w:val="Heading1"/>
        <w:rPr>
          <w:lang w:val="fr-FR"/>
        </w:rPr>
      </w:pPr>
      <w:r w:rsidRPr="007B5E5C">
        <w:rPr>
          <w:lang w:val="fr-FR"/>
        </w:rPr>
        <w:t>Tableau 3</w:t>
      </w:r>
    </w:p>
    <w:p w:rsidR="007E7259" w:rsidRPr="0032403A" w:rsidRDefault="007E7259" w:rsidP="007E7259">
      <w:pPr>
        <w:pStyle w:val="Heading1"/>
        <w:spacing w:after="120" w:line="240" w:lineRule="atLeast"/>
        <w:rPr>
          <w:b/>
          <w:lang w:val="fr-FR"/>
        </w:rPr>
      </w:pPr>
      <w:r w:rsidRPr="0032403A">
        <w:rPr>
          <w:b/>
          <w:lang w:val="fr-FR"/>
        </w:rPr>
        <w:t>Coefficient de réflexion R</w:t>
      </w:r>
      <w:r>
        <w:rPr>
          <w:b/>
          <w:lang w:val="fr-FR"/>
        </w:rPr>
        <w:t>’</w:t>
      </w:r>
      <w:r w:rsidRPr="0032403A">
        <w:rPr>
          <w:b/>
          <w:lang w:val="fr-FR"/>
        </w:rPr>
        <w:t xml:space="preserve"> [cd.m</w:t>
      </w:r>
      <w:r w:rsidRPr="0032403A">
        <w:rPr>
          <w:b/>
          <w:vertAlign w:val="superscript"/>
          <w:lang w:val="fr-FR"/>
        </w:rPr>
        <w:t>-2</w:t>
      </w:r>
      <w:r w:rsidRPr="0032403A">
        <w:rPr>
          <w:b/>
          <w:lang w:val="fr-FR"/>
        </w:rPr>
        <w:t>.lx</w:t>
      </w:r>
      <w:r w:rsidRPr="0032403A">
        <w:rPr>
          <w:b/>
          <w:vertAlign w:val="superscript"/>
          <w:lang w:val="fr-FR"/>
        </w:rPr>
        <w:t>-1</w:t>
      </w:r>
      <w:r w:rsidRPr="0032403A">
        <w:rPr>
          <w:b/>
          <w:lang w:val="fr-FR"/>
        </w:rPr>
        <w:t>]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897"/>
        <w:gridCol w:w="756"/>
        <w:gridCol w:w="889"/>
        <w:gridCol w:w="944"/>
        <w:gridCol w:w="811"/>
      </w:tblGrid>
      <w:tr w:rsidR="007E7259" w:rsidRPr="00F16C59" w:rsidTr="007170B0"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u w:val="dashLong"/>
                <w:lang w:val="fr-FR"/>
              </w:rPr>
            </w:pPr>
            <w:r w:rsidRPr="007B5E5C">
              <w:rPr>
                <w:b/>
                <w:bCs/>
                <w:i/>
                <w:sz w:val="16"/>
                <w:szCs w:val="16"/>
                <w:lang w:val="fr-FR"/>
              </w:rPr>
              <w:t>Angle d</w:t>
            </w:r>
            <w:r>
              <w:rPr>
                <w:b/>
                <w:bCs/>
                <w:i/>
                <w:sz w:val="16"/>
                <w:szCs w:val="16"/>
                <w:lang w:val="fr-FR"/>
              </w:rPr>
              <w:t>’</w:t>
            </w:r>
            <w:r w:rsidRPr="007B5E5C">
              <w:rPr>
                <w:b/>
                <w:bCs/>
                <w:i/>
                <w:sz w:val="16"/>
                <w:szCs w:val="16"/>
                <w:lang w:val="fr-FR"/>
              </w:rPr>
              <w:t>observation α [</w:t>
            </w:r>
            <w:r>
              <w:rPr>
                <w:b/>
                <w:bCs/>
                <w:i/>
                <w:sz w:val="16"/>
                <w:szCs w:val="16"/>
                <w:lang w:val="fr-FR"/>
              </w:rPr>
              <w:t>’</w:t>
            </w:r>
            <w:r w:rsidRPr="007B5E5C">
              <w:rPr>
                <w:b/>
                <w:bCs/>
                <w:i/>
                <w:sz w:val="16"/>
                <w:szCs w:val="16"/>
                <w:lang w:val="fr-FR"/>
              </w:rPr>
              <w:t>]</w:t>
            </w:r>
          </w:p>
        </w:tc>
        <w:tc>
          <w:tcPr>
            <w:tcW w:w="5297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80" w:after="80" w:line="200" w:lineRule="exact"/>
              <w:ind w:left="720" w:hanging="720"/>
              <w:jc w:val="center"/>
              <w:rPr>
                <w:bCs/>
                <w:i/>
                <w:sz w:val="16"/>
                <w:szCs w:val="16"/>
                <w:u w:val="dashLong"/>
                <w:lang w:val="fr-FR"/>
              </w:rPr>
            </w:pPr>
            <w:r w:rsidRPr="007B5E5C">
              <w:rPr>
                <w:b/>
                <w:bCs/>
                <w:i/>
                <w:sz w:val="16"/>
                <w:szCs w:val="16"/>
                <w:lang w:val="fr-FR"/>
              </w:rPr>
              <w:t>Angle d</w:t>
            </w:r>
            <w:r>
              <w:rPr>
                <w:b/>
                <w:bCs/>
                <w:i/>
                <w:sz w:val="16"/>
                <w:szCs w:val="16"/>
                <w:lang w:val="fr-FR"/>
              </w:rPr>
              <w:t>’</w:t>
            </w:r>
            <w:r w:rsidRPr="007B5E5C">
              <w:rPr>
                <w:b/>
                <w:bCs/>
                <w:i/>
                <w:sz w:val="16"/>
                <w:szCs w:val="16"/>
                <w:lang w:val="fr-FR"/>
              </w:rPr>
              <w:t>éclairage d</w:t>
            </w:r>
            <w:r>
              <w:rPr>
                <w:b/>
                <w:bCs/>
                <w:i/>
                <w:sz w:val="16"/>
                <w:szCs w:val="16"/>
                <w:lang w:val="fr-FR"/>
              </w:rPr>
              <w:t>’</w:t>
            </w:r>
            <w:r w:rsidRPr="007B5E5C">
              <w:rPr>
                <w:b/>
                <w:bCs/>
                <w:i/>
                <w:sz w:val="16"/>
                <w:szCs w:val="16"/>
                <w:lang w:val="fr-FR"/>
              </w:rPr>
              <w:t>incidence β [°]</w:t>
            </w:r>
          </w:p>
        </w:tc>
      </w:tr>
      <w:tr w:rsidR="007E7259" w:rsidRPr="00F16C59" w:rsidTr="007170B0">
        <w:tc>
          <w:tcPr>
            <w:tcW w:w="207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20</w:t>
            </w:r>
            <w:r>
              <w:rPr>
                <w:bCs/>
                <w:sz w:val="18"/>
                <w:szCs w:val="18"/>
                <w:lang w:val="fr-FR"/>
              </w:rPr>
              <w:t>’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ind w:firstLine="720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ß</w:t>
            </w:r>
            <w:r w:rsidRPr="007B5E5C">
              <w:rPr>
                <w:bCs/>
                <w:sz w:val="18"/>
                <w:szCs w:val="18"/>
                <w:vertAlign w:val="subscript"/>
                <w:lang w:val="fr-FR"/>
              </w:rPr>
              <w:t>1</w:t>
            </w:r>
            <w:r w:rsidRPr="007B5E5C">
              <w:rPr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0°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0°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0°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0°</w:t>
            </w:r>
          </w:p>
        </w:tc>
      </w:tr>
      <w:tr w:rsidR="007E7259" w:rsidRPr="00F16C59" w:rsidTr="007170B0">
        <w:tc>
          <w:tcPr>
            <w:tcW w:w="2074" w:type="dxa"/>
            <w:vMerge/>
            <w:shd w:val="clear" w:color="auto" w:fill="auto"/>
          </w:tcPr>
          <w:p w:rsidR="007E7259" w:rsidRPr="00F16C59" w:rsidRDefault="007E7259" w:rsidP="007170B0">
            <w:pPr>
              <w:spacing w:before="40" w:after="40"/>
              <w:rPr>
                <w:bCs/>
                <w:sz w:val="18"/>
                <w:szCs w:val="18"/>
                <w:u w:val="dashLong"/>
                <w:lang w:val="fr-FR"/>
              </w:rPr>
            </w:pPr>
          </w:p>
        </w:tc>
        <w:tc>
          <w:tcPr>
            <w:tcW w:w="1897" w:type="dxa"/>
            <w:shd w:val="clear" w:color="auto" w:fill="auto"/>
          </w:tcPr>
          <w:p w:rsidR="007E7259" w:rsidRPr="00F16C59" w:rsidRDefault="007E7259" w:rsidP="007170B0">
            <w:pPr>
              <w:spacing w:before="40" w:after="40"/>
              <w:ind w:firstLine="720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ß</w:t>
            </w:r>
            <w:r w:rsidRPr="007B5E5C">
              <w:rPr>
                <w:bCs/>
                <w:sz w:val="18"/>
                <w:szCs w:val="18"/>
                <w:vertAlign w:val="subscript"/>
                <w:lang w:val="fr-FR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5°</w:t>
            </w:r>
          </w:p>
        </w:tc>
        <w:tc>
          <w:tcPr>
            <w:tcW w:w="889" w:type="dxa"/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30°</w:t>
            </w:r>
          </w:p>
        </w:tc>
        <w:tc>
          <w:tcPr>
            <w:tcW w:w="944" w:type="dxa"/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40°</w:t>
            </w:r>
          </w:p>
        </w:tc>
        <w:tc>
          <w:tcPr>
            <w:tcW w:w="811" w:type="dxa"/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60°</w:t>
            </w:r>
          </w:p>
        </w:tc>
      </w:tr>
      <w:tr w:rsidR="007E7259" w:rsidRPr="007B5E5C" w:rsidTr="007170B0">
        <w:trPr>
          <w:trHeight w:val="548"/>
        </w:trPr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Coefficient R</w:t>
            </w:r>
            <w:r>
              <w:rPr>
                <w:bCs/>
                <w:sz w:val="18"/>
                <w:szCs w:val="18"/>
                <w:lang w:val="fr-FR"/>
              </w:rPr>
              <w:t>’</w:t>
            </w:r>
            <w:r w:rsidRPr="007B5E5C"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7B5E5C">
              <w:rPr>
                <w:bCs/>
                <w:sz w:val="18"/>
                <w:szCs w:val="18"/>
                <w:lang w:val="fr-FR"/>
              </w:rPr>
              <w:br/>
              <w:t>[cd.m</w:t>
            </w:r>
            <w:r w:rsidRPr="007B5E5C">
              <w:rPr>
                <w:bCs/>
                <w:sz w:val="18"/>
                <w:szCs w:val="18"/>
                <w:vertAlign w:val="superscript"/>
                <w:lang w:val="fr-FR"/>
              </w:rPr>
              <w:t>-2</w:t>
            </w:r>
            <w:r w:rsidRPr="007B5E5C">
              <w:rPr>
                <w:bCs/>
                <w:sz w:val="18"/>
                <w:szCs w:val="18"/>
                <w:lang w:val="fr-FR"/>
              </w:rPr>
              <w:t>.lx</w:t>
            </w:r>
            <w:r w:rsidRPr="007B5E5C">
              <w:rPr>
                <w:bCs/>
                <w:sz w:val="18"/>
                <w:szCs w:val="18"/>
                <w:vertAlign w:val="superscript"/>
                <w:lang w:val="fr-FR"/>
              </w:rPr>
              <w:t>-1</w:t>
            </w:r>
            <w:r w:rsidRPr="007B5E5C">
              <w:rPr>
                <w:bCs/>
                <w:sz w:val="18"/>
                <w:szCs w:val="18"/>
                <w:lang w:val="fr-FR"/>
              </w:rPr>
              <w:t>]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tabs>
                <w:tab w:val="left" w:pos="851"/>
              </w:tabs>
              <w:spacing w:before="40" w:after="40"/>
              <w:ind w:left="113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Couleur:</w:t>
            </w:r>
            <w:r>
              <w:rPr>
                <w:bCs/>
                <w:sz w:val="18"/>
                <w:szCs w:val="18"/>
                <w:lang w:val="fr-FR"/>
              </w:rPr>
              <w:tab/>
            </w:r>
            <w:r w:rsidRPr="007B5E5C">
              <w:rPr>
                <w:bCs/>
                <w:sz w:val="18"/>
                <w:szCs w:val="18"/>
                <w:lang w:val="fr-FR"/>
              </w:rPr>
              <w:t>Blanche</w:t>
            </w: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tab/>
            </w:r>
            <w:r w:rsidRPr="007B5E5C">
              <w:rPr>
                <w:bCs/>
                <w:sz w:val="18"/>
                <w:szCs w:val="18"/>
                <w:lang w:val="fr-FR"/>
              </w:rPr>
              <w:t>Rouge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450</w:t>
            </w:r>
            <w:r w:rsidRPr="007B5E5C">
              <w:rPr>
                <w:bCs/>
                <w:sz w:val="18"/>
                <w:szCs w:val="18"/>
                <w:lang w:val="fr-FR"/>
              </w:rPr>
              <w:br/>
              <w:t>120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200</w:t>
            </w:r>
            <w:r w:rsidRPr="007B5E5C">
              <w:rPr>
                <w:bCs/>
                <w:sz w:val="18"/>
                <w:szCs w:val="18"/>
                <w:lang w:val="fr-FR"/>
              </w:rPr>
              <w:br/>
              <w:t>30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90</w:t>
            </w:r>
            <w:r w:rsidRPr="007B5E5C">
              <w:rPr>
                <w:bCs/>
                <w:sz w:val="18"/>
                <w:szCs w:val="18"/>
                <w:lang w:val="fr-FR"/>
              </w:rPr>
              <w:br/>
              <w:t>10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</w:tcPr>
          <w:p w:rsidR="007E7259" w:rsidRPr="007B5E5C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16</w:t>
            </w:r>
            <w:r w:rsidRPr="007B5E5C">
              <w:rPr>
                <w:bCs/>
                <w:sz w:val="18"/>
                <w:szCs w:val="18"/>
                <w:lang w:val="fr-FR"/>
              </w:rPr>
              <w:br/>
              <w:t>2</w:t>
            </w:r>
          </w:p>
        </w:tc>
      </w:tr>
    </w:tbl>
    <w:p w:rsidR="007E7259" w:rsidRPr="007B5E5C" w:rsidRDefault="007E7259" w:rsidP="007E7259">
      <w:pPr>
        <w:pStyle w:val="SingleTxtG"/>
        <w:spacing w:before="120"/>
        <w:rPr>
          <w:bCs/>
          <w:lang w:val="fr-FR"/>
        </w:rPr>
      </w:pPr>
      <w:r w:rsidRPr="007B5E5C">
        <w:rPr>
          <w:bCs/>
          <w:i/>
          <w:lang w:val="fr-FR"/>
        </w:rPr>
        <w:t xml:space="preserve">Paragraphe 1.3, le tableau 3 devient le tableau 4, </w:t>
      </w:r>
      <w:r w:rsidRPr="007B5E5C">
        <w:rPr>
          <w:bCs/>
          <w:lang w:val="fr-FR"/>
        </w:rPr>
        <w:t>modifié comme suit:</w:t>
      </w:r>
    </w:p>
    <w:p w:rsidR="007E7259" w:rsidRPr="007B5E5C" w:rsidRDefault="007E7259" w:rsidP="007E7259">
      <w:pPr>
        <w:pStyle w:val="Heading1"/>
        <w:spacing w:after="120" w:line="240" w:lineRule="atLeast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Tableau 4</w:t>
      </w:r>
      <w:r>
        <w:rPr>
          <w:lang w:val="fr-FR"/>
        </w:rPr>
        <w:br/>
      </w:r>
      <w:r w:rsidRPr="0032403A">
        <w:rPr>
          <w:b/>
        </w:rPr>
        <w:t xml:space="preserve">Facteur de luminance </w:t>
      </w:r>
      <w:r w:rsidRPr="0032403A">
        <w:rPr>
          <w:b/>
          <w:lang w:val="fr-FR"/>
        </w:rPr>
        <w:t>β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7E7259" w:rsidRPr="00F16C59" w:rsidTr="007170B0"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u w:val="dashLong"/>
                <w:lang w:val="fr-FR"/>
              </w:rPr>
            </w:pPr>
            <w:r w:rsidRPr="007B5E5C">
              <w:rPr>
                <w:bCs/>
                <w:i/>
                <w:sz w:val="16"/>
                <w:szCs w:val="16"/>
                <w:lang w:val="fr-FR"/>
              </w:rPr>
              <w:t>Couleur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u w:val="dashLong"/>
                <w:lang w:val="fr-FR"/>
              </w:rPr>
            </w:pPr>
            <w:r w:rsidRPr="007B5E5C">
              <w:rPr>
                <w:bCs/>
                <w:i/>
                <w:sz w:val="16"/>
                <w:szCs w:val="16"/>
                <w:lang w:val="fr-FR"/>
              </w:rPr>
              <w:t>Facteur de luminance β</w:t>
            </w:r>
          </w:p>
        </w:tc>
      </w:tr>
      <w:tr w:rsidR="007E7259" w:rsidRPr="00F16C59" w:rsidTr="007170B0"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Rouge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≥ 0,03</w:t>
            </w:r>
          </w:p>
        </w:tc>
      </w:tr>
      <w:tr w:rsidR="007E7259" w:rsidRPr="00F16C59" w:rsidTr="007170B0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Jaune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≥ 0,16</w:t>
            </w:r>
          </w:p>
        </w:tc>
      </w:tr>
      <w:tr w:rsidR="007E7259" w:rsidRPr="007B5E5C" w:rsidTr="007170B0"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7E7259" w:rsidRPr="00F16C59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u w:val="dashLong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Blanche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7E7259" w:rsidRPr="007B5E5C" w:rsidRDefault="007E7259" w:rsidP="007170B0">
            <w:pPr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7B5E5C">
              <w:rPr>
                <w:bCs/>
                <w:sz w:val="18"/>
                <w:szCs w:val="18"/>
                <w:lang w:val="fr-FR"/>
              </w:rPr>
              <w:t>≥ 0,25</w:t>
            </w:r>
          </w:p>
        </w:tc>
      </w:tr>
    </w:tbl>
    <w:p w:rsidR="007E7259" w:rsidRPr="007B5E5C" w:rsidRDefault="007E7259" w:rsidP="007E7259">
      <w:pPr>
        <w:pStyle w:val="SingleTxtG"/>
        <w:jc w:val="right"/>
        <w:rPr>
          <w:lang w:val="fr-FR"/>
        </w:rPr>
      </w:pPr>
      <w:r>
        <w:rPr>
          <w:lang w:val="fr-FR"/>
        </w:rPr>
        <w:t>».</w:t>
      </w:r>
    </w:p>
    <w:p w:rsidR="007E7259" w:rsidRPr="00F16C59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 xml:space="preserve">Annexe 12, </w:t>
      </w:r>
      <w:r w:rsidRPr="007B5E5C">
        <w:rPr>
          <w:bCs/>
          <w:lang w:val="fr-FR"/>
        </w:rPr>
        <w:t xml:space="preserve">à la suite de la figure 2, ajouter un nouveau titre </w:t>
      </w:r>
      <w:r w:rsidRPr="000471A5">
        <w:rPr>
          <w:bCs/>
          <w:lang w:val="fr-FR"/>
        </w:rPr>
        <w:t xml:space="preserve">et de nouvelles figures </w:t>
      </w:r>
      <w:r w:rsidRPr="00F16C59">
        <w:rPr>
          <w:bCs/>
          <w:lang w:val="fr-FR"/>
        </w:rPr>
        <w:t xml:space="preserve">3a </w:t>
      </w:r>
      <w:r w:rsidRPr="000471A5">
        <w:rPr>
          <w:bCs/>
          <w:lang w:val="fr-FR"/>
        </w:rPr>
        <w:t>et</w:t>
      </w:r>
      <w:r w:rsidRPr="00F16C59">
        <w:rPr>
          <w:bCs/>
          <w:lang w:val="fr-FR"/>
        </w:rPr>
        <w:t xml:space="preserve"> 3b</w:t>
      </w:r>
      <w:r w:rsidRPr="000471A5">
        <w:rPr>
          <w:bCs/>
          <w:lang w:val="fr-FR"/>
        </w:rPr>
        <w:t>,</w:t>
      </w:r>
      <w:r w:rsidRPr="007B5E5C">
        <w:rPr>
          <w:bCs/>
          <w:lang w:val="fr-FR"/>
        </w:rPr>
        <w:t xml:space="preserve"> </w:t>
      </w:r>
      <w:r w:rsidRPr="000471A5">
        <w:rPr>
          <w:bCs/>
          <w:lang w:val="fr-FR"/>
        </w:rPr>
        <w:t>comme suit</w:t>
      </w:r>
      <w:r w:rsidRPr="00F16C59">
        <w:rPr>
          <w:bCs/>
          <w:lang w:val="fr-FR"/>
        </w:rPr>
        <w:t>:</w:t>
      </w:r>
    </w:p>
    <w:p w:rsidR="007E7259" w:rsidRPr="000F6F64" w:rsidRDefault="007E7259" w:rsidP="007E7259">
      <w:pPr>
        <w:pStyle w:val="SingleTxtG"/>
        <w:keepNext/>
        <w:rPr>
          <w:b/>
        </w:rPr>
      </w:pPr>
      <w:r w:rsidRPr="007D4498">
        <w:rPr>
          <w:szCs w:val="28"/>
        </w:rPr>
        <w:t>«</w:t>
      </w:r>
      <w:r w:rsidRPr="000F6F64">
        <w:rPr>
          <w:b/>
        </w:rPr>
        <w:t>Plaques de signalisation arrière (classe 5)</w:t>
      </w:r>
    </w:p>
    <w:p w:rsidR="007E7259" w:rsidRPr="007B5E5C" w:rsidRDefault="007E7259" w:rsidP="007E7259">
      <w:pPr>
        <w:pStyle w:val="SingleTxtG"/>
        <w:keepNext/>
        <w:rPr>
          <w:sz w:val="28"/>
          <w:szCs w:val="28"/>
          <w:lang w:val="fr-FR"/>
        </w:rPr>
      </w:pPr>
      <w:r w:rsidRPr="007B5E5C">
        <w:rPr>
          <w:lang w:val="fr-FR"/>
        </w:rPr>
        <w:t>Figure 3a</w:t>
      </w:r>
    </w:p>
    <w:p w:rsidR="007E7259" w:rsidRPr="007B5E5C" w:rsidRDefault="00F60F39" w:rsidP="007E7259">
      <w:pPr>
        <w:ind w:firstLine="567"/>
        <w:rPr>
          <w:bCs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7" o:spid="_x0000_s1028" type="#_x0000_t75" style="position:absolute;left:0;text-align:left;margin-left:254.05pt;margin-top:40.2pt;width:168.05pt;height:144.1pt;z-index:251657728;visibility:visible">
            <v:imagedata r:id="rId8" o:title="" cropbottom="1420f"/>
          </v:shape>
        </w:pict>
      </w:r>
      <w:r>
        <w:rPr>
          <w:noProof/>
          <w:lang w:val="en-US"/>
        </w:rPr>
        <w:pict>
          <v:shape id="Picture 4" o:spid="_x0000_i1025" type="#_x0000_t75" style="width:170.4pt;height:195.6pt;visibility:visible">
            <v:imagedata r:id="rId9" o:title=""/>
          </v:shape>
        </w:pict>
      </w:r>
    </w:p>
    <w:p w:rsidR="007E7259" w:rsidRPr="007B5E5C" w:rsidRDefault="007E7259" w:rsidP="007E7259">
      <w:pPr>
        <w:pStyle w:val="SingleTxtG"/>
        <w:jc w:val="left"/>
        <w:rPr>
          <w:lang w:val="fr-FR"/>
        </w:rPr>
      </w:pPr>
      <w:r w:rsidRPr="007B5E5C">
        <w:rPr>
          <w:lang w:val="fr-FR"/>
        </w:rPr>
        <w:br/>
        <w:t>Figure 3b</w:t>
      </w:r>
      <w:r w:rsidRPr="007B5E5C">
        <w:rPr>
          <w:lang w:val="fr-FR"/>
        </w:rPr>
        <w:br/>
      </w:r>
      <w:r w:rsidRPr="000F6F64">
        <w:rPr>
          <w:b/>
          <w:lang w:val="fr-FR"/>
        </w:rPr>
        <w:t>Exemple de modèle de plaque</w:t>
      </w:r>
    </w:p>
    <w:p w:rsidR="007E7259" w:rsidRPr="007B5E5C" w:rsidRDefault="00F60F39" w:rsidP="007E7259">
      <w:pPr>
        <w:keepNext/>
        <w:keepLines/>
        <w:spacing w:before="120" w:after="120"/>
        <w:ind w:left="1134" w:right="1134"/>
        <w:jc w:val="center"/>
        <w:rPr>
          <w:noProof/>
          <w:lang w:val="fr-FR"/>
        </w:rPr>
      </w:pPr>
      <w:r>
        <w:rPr>
          <w:noProof/>
          <w:lang w:val="en-US"/>
        </w:rPr>
        <w:pict>
          <v:shape id="Grafik 2" o:spid="_x0000_i1026" type="#_x0000_t75" style="width:145.2pt;height:180.6pt;visibility:visible">
            <v:imagedata r:id="rId10" o:title=""/>
          </v:shape>
        </w:pict>
      </w:r>
    </w:p>
    <w:p w:rsidR="007E7259" w:rsidRPr="007B5E5C" w:rsidRDefault="007E7259" w:rsidP="007E7259">
      <w:pPr>
        <w:pStyle w:val="SingleTxtG"/>
        <w:jc w:val="right"/>
        <w:rPr>
          <w:lang w:val="fr-FR"/>
        </w:rPr>
      </w:pPr>
      <w:r>
        <w:rPr>
          <w:noProof/>
          <w:lang w:val="fr-FR"/>
        </w:rPr>
        <w:t>».</w:t>
      </w:r>
    </w:p>
    <w:p w:rsidR="007E7259" w:rsidRPr="007B5E5C" w:rsidRDefault="007E7259" w:rsidP="007E7259">
      <w:pPr>
        <w:pStyle w:val="SingleTxtG"/>
        <w:keepNext/>
        <w:rPr>
          <w:bCs/>
          <w:i/>
          <w:lang w:val="fr-FR"/>
        </w:rPr>
      </w:pPr>
      <w:r w:rsidRPr="007B5E5C">
        <w:rPr>
          <w:bCs/>
          <w:i/>
          <w:lang w:val="fr-FR"/>
        </w:rPr>
        <w:t xml:space="preserve">Annexe 15, 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>Paragraphe 2</w:t>
      </w:r>
      <w:r w:rsidRPr="00603145">
        <w:rPr>
          <w:bCs/>
          <w:lang w:val="fr-FR"/>
        </w:rPr>
        <w:t xml:space="preserve">, </w:t>
      </w:r>
      <w:r w:rsidRPr="007B5E5C">
        <w:rPr>
          <w:bCs/>
          <w:lang w:val="fr-FR"/>
        </w:rPr>
        <w:t>lire:</w:t>
      </w:r>
    </w:p>
    <w:p w:rsidR="007E7259" w:rsidRPr="007B5E5C" w:rsidRDefault="007E7259" w:rsidP="007E7259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2</w:t>
      </w:r>
      <w:r w:rsidRPr="00F16C59">
        <w:rPr>
          <w:lang w:val="fr-FR"/>
        </w:rPr>
        <w:t>.</w:t>
      </w:r>
      <w:r w:rsidRPr="00F16C59">
        <w:rPr>
          <w:lang w:val="fr-FR"/>
        </w:rPr>
        <w:tab/>
      </w:r>
      <w:r w:rsidRPr="00EC21DB">
        <w:rPr>
          <w:lang w:val="fr-FR"/>
        </w:rPr>
        <w:t>Champ d</w:t>
      </w:r>
      <w:r>
        <w:rPr>
          <w:lang w:val="fr-FR"/>
        </w:rPr>
        <w:t>’</w:t>
      </w:r>
      <w:r w:rsidRPr="00EC21DB">
        <w:rPr>
          <w:lang w:val="fr-FR"/>
        </w:rPr>
        <w:t>application</w:t>
      </w:r>
    </w:p>
    <w:p w:rsidR="007E7259" w:rsidRPr="007B5E5C" w:rsidRDefault="007E7259" w:rsidP="007E7259">
      <w:pPr>
        <w:pStyle w:val="SingleTxtG"/>
        <w:ind w:left="2268"/>
        <w:rPr>
          <w:lang w:val="fr-FR"/>
        </w:rPr>
      </w:pPr>
      <w:r w:rsidRPr="007B5E5C">
        <w:rPr>
          <w:lang w:val="fr-FR"/>
        </w:rPr>
        <w:t xml:space="preserve">La présente </w:t>
      </w:r>
      <w:r w:rsidRPr="007B5E5C">
        <w:rPr>
          <w:bCs/>
          <w:lang w:val="fr-FR"/>
        </w:rPr>
        <w:t xml:space="preserve">recommandation </w:t>
      </w:r>
      <w:r w:rsidRPr="007B5E5C">
        <w:rPr>
          <w:lang w:val="fr-FR"/>
        </w:rPr>
        <w:t>a essentiellement pour but de définir des prescriptions applicables à l</w:t>
      </w:r>
      <w:r>
        <w:rPr>
          <w:lang w:val="fr-FR"/>
        </w:rPr>
        <w:t>’</w:t>
      </w:r>
      <w:r w:rsidRPr="007B5E5C">
        <w:rPr>
          <w:lang w:val="fr-FR"/>
        </w:rPr>
        <w:t>installation, à la disposition, à l</w:t>
      </w:r>
      <w:r>
        <w:rPr>
          <w:lang w:val="fr-FR"/>
        </w:rPr>
        <w:t>’</w:t>
      </w:r>
      <w:r w:rsidRPr="007B5E5C">
        <w:rPr>
          <w:lang w:val="fr-FR"/>
        </w:rPr>
        <w:t>emplacement et à la visibilité géométrique des plaques d</w:t>
      </w:r>
      <w:r>
        <w:rPr>
          <w:lang w:val="fr-FR"/>
        </w:rPr>
        <w:t>’</w:t>
      </w:r>
      <w:r w:rsidRPr="007B5E5C">
        <w:rPr>
          <w:lang w:val="fr-FR"/>
        </w:rPr>
        <w:t>identification arrière sur les véhicules lourds et longs</w:t>
      </w:r>
      <w:r w:rsidRPr="007B5E5C">
        <w:rPr>
          <w:bCs/>
          <w:lang w:val="fr-FR"/>
        </w:rPr>
        <w:t>,</w:t>
      </w:r>
      <w:r w:rsidRPr="007B5E5C">
        <w:rPr>
          <w:lang w:val="fr-FR"/>
        </w:rPr>
        <w:t xml:space="preserve"> </w:t>
      </w:r>
      <w:r w:rsidRPr="007B5E5C">
        <w:rPr>
          <w:bCs/>
          <w:lang w:val="fr-FR"/>
        </w:rPr>
        <w:t>ainsi que sur les véhicules utilitaires spéciaux et les remorques</w:t>
      </w:r>
      <w:r w:rsidRPr="007B5E5C">
        <w:rPr>
          <w:lang w:val="fr-FR"/>
        </w:rPr>
        <w:t>. Elles améliorent la visibilité et permettent d</w:t>
      </w:r>
      <w:r>
        <w:rPr>
          <w:lang w:val="fr-FR"/>
        </w:rPr>
        <w:t>’</w:t>
      </w:r>
      <w:r w:rsidRPr="007B5E5C">
        <w:rPr>
          <w:lang w:val="fr-FR"/>
        </w:rPr>
        <w:t>identifier facilement ces véhicules.</w:t>
      </w:r>
      <w:r>
        <w:rPr>
          <w:lang w:val="fr-FR"/>
        </w:rPr>
        <w:t>».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>Paragraphe 2.1</w:t>
      </w:r>
      <w:r w:rsidRPr="00603145">
        <w:rPr>
          <w:bCs/>
          <w:lang w:val="fr-FR"/>
        </w:rPr>
        <w:t xml:space="preserve">, </w:t>
      </w:r>
      <w:r w:rsidRPr="007B5E5C">
        <w:rPr>
          <w:bCs/>
          <w:lang w:val="fr-FR"/>
        </w:rPr>
        <w:t>lire:</w:t>
      </w:r>
    </w:p>
    <w:p w:rsidR="007E7259" w:rsidRPr="007B5E5C" w:rsidRDefault="007E7259" w:rsidP="007E7259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</w:t>
      </w:r>
      <w:r w:rsidRPr="007B5E5C">
        <w:rPr>
          <w:lang w:val="fr-FR"/>
        </w:rPr>
        <w:t>2.1</w:t>
      </w:r>
      <w:r w:rsidRPr="00F16C59">
        <w:rPr>
          <w:lang w:val="fr-FR"/>
        </w:rPr>
        <w:tab/>
      </w:r>
      <w:r w:rsidRPr="00EC21DB">
        <w:rPr>
          <w:lang w:val="fr-FR"/>
        </w:rPr>
        <w:t>Véhicules automobiles lourds</w:t>
      </w:r>
    </w:p>
    <w:p w:rsidR="007E7259" w:rsidRPr="007B5E5C" w:rsidRDefault="007E7259" w:rsidP="007E7259">
      <w:pPr>
        <w:pStyle w:val="SingleTxtG"/>
        <w:ind w:left="2268"/>
        <w:rPr>
          <w:lang w:val="fr-FR"/>
        </w:rPr>
      </w:pPr>
      <w:r w:rsidRPr="007B5E5C">
        <w:rPr>
          <w:lang w:val="fr-FR"/>
        </w:rPr>
        <w:t>L</w:t>
      </w:r>
      <w:r>
        <w:rPr>
          <w:lang w:val="fr-FR"/>
        </w:rPr>
        <w:t>’</w:t>
      </w:r>
      <w:r w:rsidRPr="007B5E5C">
        <w:rPr>
          <w:lang w:val="fr-FR"/>
        </w:rPr>
        <w:t>installation de plaques d</w:t>
      </w:r>
      <w:r>
        <w:rPr>
          <w:lang w:val="fr-FR"/>
        </w:rPr>
        <w:t>’</w:t>
      </w:r>
      <w:r w:rsidRPr="007B5E5C">
        <w:rPr>
          <w:lang w:val="fr-FR"/>
        </w:rPr>
        <w:t>identification arrière pour véhicules automobiles lourds conformément aux dispositions de la présente annexe est exigée pour les véhicules des catégories N</w:t>
      </w:r>
      <w:r w:rsidRPr="007B5E5C">
        <w:rPr>
          <w:vertAlign w:val="subscript"/>
          <w:lang w:val="fr-FR"/>
        </w:rPr>
        <w:t>2</w:t>
      </w:r>
      <w:r w:rsidRPr="007B5E5C">
        <w:rPr>
          <w:lang w:val="fr-FR"/>
        </w:rPr>
        <w:t xml:space="preserve"> ayant une masse maximale dépassant 7,5 tonnes et N</w:t>
      </w:r>
      <w:r w:rsidRPr="007B5E5C">
        <w:rPr>
          <w:vertAlign w:val="subscript"/>
          <w:lang w:val="fr-FR"/>
        </w:rPr>
        <w:t xml:space="preserve">3, </w:t>
      </w:r>
      <w:r w:rsidRPr="007B5E5C">
        <w:rPr>
          <w:lang w:val="fr-FR"/>
        </w:rPr>
        <w:t>à l</w:t>
      </w:r>
      <w:r>
        <w:rPr>
          <w:lang w:val="fr-FR"/>
        </w:rPr>
        <w:t>’</w:t>
      </w:r>
      <w:r w:rsidRPr="007B5E5C">
        <w:rPr>
          <w:lang w:val="fr-FR"/>
        </w:rPr>
        <w:t xml:space="preserve">exception des tracteurs de semi-remorques, et pour les autobus articulés des classes II et III. </w:t>
      </w:r>
      <w:r w:rsidRPr="007B5E5C">
        <w:rPr>
          <w:bCs/>
          <w:lang w:val="fr-FR"/>
        </w:rPr>
        <w:t>Les plaques d</w:t>
      </w:r>
      <w:r>
        <w:rPr>
          <w:bCs/>
          <w:lang w:val="fr-FR"/>
        </w:rPr>
        <w:t>’</w:t>
      </w:r>
      <w:r w:rsidRPr="007B5E5C">
        <w:rPr>
          <w:bCs/>
          <w:lang w:val="fr-FR"/>
        </w:rPr>
        <w:t>identification arrière sont également susceptibles d</w:t>
      </w:r>
      <w:r>
        <w:rPr>
          <w:bCs/>
          <w:lang w:val="fr-FR"/>
        </w:rPr>
        <w:t>’</w:t>
      </w:r>
      <w:r w:rsidRPr="007B5E5C">
        <w:rPr>
          <w:bCs/>
          <w:lang w:val="fr-FR"/>
        </w:rPr>
        <w:t>être installées sur les véhicules utilitaires spéciaux de catégories autres que celles mentionnées plus haut</w:t>
      </w:r>
      <w:r>
        <w:rPr>
          <w:lang w:val="fr-FR"/>
        </w:rPr>
        <w:t>.».</w:t>
      </w:r>
    </w:p>
    <w:p w:rsidR="007E7259" w:rsidRPr="007B5E5C" w:rsidRDefault="007E7259" w:rsidP="007E7259">
      <w:pPr>
        <w:pStyle w:val="SingleTxtG"/>
        <w:keepNext/>
        <w:rPr>
          <w:bCs/>
          <w:lang w:val="fr-FR"/>
        </w:rPr>
      </w:pPr>
      <w:r w:rsidRPr="007B5E5C">
        <w:rPr>
          <w:bCs/>
          <w:i/>
          <w:lang w:val="fr-FR"/>
        </w:rPr>
        <w:t>Paragraphe 4</w:t>
      </w:r>
      <w:r w:rsidRPr="00603145">
        <w:rPr>
          <w:bCs/>
          <w:lang w:val="fr-FR"/>
        </w:rPr>
        <w:t xml:space="preserve">, </w:t>
      </w:r>
      <w:r>
        <w:rPr>
          <w:bCs/>
          <w:lang w:val="fr-FR"/>
        </w:rPr>
        <w:t>ajouter</w:t>
      </w:r>
      <w:r w:rsidRPr="007B5E5C">
        <w:rPr>
          <w:bCs/>
          <w:lang w:val="fr-FR"/>
        </w:rPr>
        <w:t xml:space="preserve"> l</w:t>
      </w:r>
      <w:r>
        <w:rPr>
          <w:bCs/>
          <w:lang w:val="fr-FR"/>
        </w:rPr>
        <w:t>’</w:t>
      </w:r>
      <w:r w:rsidRPr="007B5E5C">
        <w:rPr>
          <w:bCs/>
          <w:lang w:val="fr-FR"/>
        </w:rPr>
        <w:t>alinéa </w:t>
      </w:r>
      <w:r w:rsidRPr="007B5E5C">
        <w:rPr>
          <w:bCs/>
          <w:i/>
          <w:lang w:val="fr-FR"/>
        </w:rPr>
        <w:t>c</w:t>
      </w:r>
      <w:r w:rsidRPr="007B5E5C">
        <w:rPr>
          <w:bCs/>
          <w:lang w:val="fr-FR"/>
        </w:rPr>
        <w:t xml:space="preserve"> libellé comme suit:</w:t>
      </w:r>
    </w:p>
    <w:p w:rsidR="007E7259" w:rsidRPr="00F16C59" w:rsidRDefault="007E7259" w:rsidP="007E7259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«4</w:t>
      </w:r>
      <w:r w:rsidRPr="00F16C59">
        <w:rPr>
          <w:bCs/>
          <w:lang w:val="fr-FR"/>
        </w:rPr>
        <w:tab/>
      </w:r>
      <w:r w:rsidRPr="00F16C59">
        <w:rPr>
          <w:bCs/>
          <w:lang w:val="fr-FR"/>
        </w:rPr>
        <w:tab/>
      </w:r>
      <w:r w:rsidRPr="00EC21DB">
        <w:rPr>
          <w:bCs/>
          <w:lang w:val="fr-FR"/>
        </w:rPr>
        <w:t>Disposition</w:t>
      </w:r>
    </w:p>
    <w:p w:rsidR="007E7259" w:rsidRPr="007B5E5C" w:rsidRDefault="007E7259" w:rsidP="007E7259">
      <w:pPr>
        <w:pStyle w:val="SingleTxtG"/>
        <w:ind w:left="2268"/>
        <w:rPr>
          <w:lang w:val="fr-FR"/>
        </w:rPr>
      </w:pPr>
      <w:r w:rsidRPr="007B5E5C">
        <w:rPr>
          <w:lang w:val="fr-FR"/>
        </w:rPr>
        <w:t>…</w:t>
      </w:r>
    </w:p>
    <w:p w:rsidR="007E7259" w:rsidRPr="007B5E5C" w:rsidRDefault="007E7259" w:rsidP="007E7259">
      <w:pPr>
        <w:spacing w:after="120"/>
        <w:ind w:left="2268" w:right="1134"/>
        <w:jc w:val="both"/>
        <w:rPr>
          <w:bCs/>
          <w:lang w:val="fr-FR"/>
        </w:rPr>
      </w:pPr>
      <w:r>
        <w:rPr>
          <w:lang w:val="fr-FR"/>
        </w:rPr>
        <w:tab/>
      </w:r>
      <w:r w:rsidRPr="007B5E5C">
        <w:rPr>
          <w:lang w:val="fr-FR"/>
        </w:rPr>
        <w:t>c)</w:t>
      </w:r>
      <w:r w:rsidRPr="007B5E5C">
        <w:rPr>
          <w:lang w:val="fr-FR"/>
        </w:rPr>
        <w:tab/>
      </w:r>
      <w:r w:rsidRPr="007B5E5C">
        <w:rPr>
          <w:bCs/>
          <w:lang w:val="fr-FR"/>
        </w:rPr>
        <w:t xml:space="preserve">Pour </w:t>
      </w:r>
      <w:r w:rsidRPr="000D013C">
        <w:t>les</w:t>
      </w:r>
      <w:r w:rsidRPr="007B5E5C">
        <w:rPr>
          <w:bCs/>
          <w:lang w:val="fr-FR"/>
        </w:rPr>
        <w:t xml:space="preserve"> véhicules utilitaires spéciaux ou les remorques:</w:t>
      </w:r>
    </w:p>
    <w:p w:rsidR="007E7259" w:rsidRPr="007B5E5C" w:rsidRDefault="007E7259" w:rsidP="007E7259">
      <w:pPr>
        <w:spacing w:after="120"/>
        <w:ind w:left="2268" w:right="1134"/>
        <w:jc w:val="both"/>
        <w:rPr>
          <w:lang w:val="fr-FR"/>
        </w:rPr>
      </w:pPr>
      <w:r w:rsidRPr="007B5E5C">
        <w:rPr>
          <w:bCs/>
          <w:lang w:val="fr-FR"/>
        </w:rPr>
        <w:tab/>
        <w:t>Classe 5:</w:t>
      </w:r>
      <w:r w:rsidRPr="007B5E5C">
        <w:rPr>
          <w:bCs/>
          <w:lang w:val="fr-FR"/>
        </w:rPr>
        <w:tab/>
        <w:t>bandes alternées rouges et blanches rétroréfléchissantes</w:t>
      </w:r>
      <w:r w:rsidRPr="007B5E5C">
        <w:rPr>
          <w:spacing w:val="1"/>
          <w:lang w:val="fr-FR"/>
        </w:rPr>
        <w:t>.</w:t>
      </w:r>
      <w:r>
        <w:rPr>
          <w:spacing w:val="1"/>
          <w:lang w:val="fr-FR"/>
        </w:rPr>
        <w:t>».</w:t>
      </w:r>
    </w:p>
    <w:p w:rsidR="007E7259" w:rsidRPr="00F16C59" w:rsidRDefault="007E7259" w:rsidP="007E7259">
      <w:pPr>
        <w:tabs>
          <w:tab w:val="right" w:pos="851"/>
        </w:tabs>
        <w:spacing w:before="240"/>
        <w:ind w:left="1134" w:right="1134"/>
        <w:jc w:val="center"/>
        <w:rPr>
          <w:sz w:val="28"/>
          <w:u w:val="single"/>
          <w:lang w:val="fr-FR"/>
        </w:rPr>
      </w:pPr>
      <w:r w:rsidRPr="00F16C59">
        <w:rPr>
          <w:sz w:val="28"/>
          <w:u w:val="single"/>
          <w:lang w:val="fr-FR"/>
        </w:rPr>
        <w:tab/>
      </w:r>
      <w:r w:rsidRPr="00F16C59">
        <w:rPr>
          <w:sz w:val="28"/>
          <w:u w:val="single"/>
          <w:lang w:val="fr-FR"/>
        </w:rPr>
        <w:tab/>
      </w:r>
      <w:r w:rsidRPr="00F16C59">
        <w:rPr>
          <w:sz w:val="28"/>
          <w:u w:val="single"/>
          <w:lang w:val="fr-FR"/>
        </w:rPr>
        <w:tab/>
      </w:r>
    </w:p>
    <w:p w:rsidR="005F0207" w:rsidRPr="00DD1ED8" w:rsidRDefault="005F0207" w:rsidP="001C08ED">
      <w:pPr>
        <w:pStyle w:val="SingleTxtG"/>
        <w:rPr>
          <w:u w:val="single"/>
        </w:rPr>
      </w:pPr>
    </w:p>
    <w:sectPr w:rsidR="005F0207" w:rsidRPr="00DD1ED8" w:rsidSect="000314C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D" w:rsidRDefault="00706B0D"/>
  </w:endnote>
  <w:endnote w:type="continuationSeparator" w:id="0">
    <w:p w:rsidR="00706B0D" w:rsidRDefault="00706B0D">
      <w:pPr>
        <w:pStyle w:val="Footer"/>
      </w:pPr>
    </w:p>
  </w:endnote>
  <w:endnote w:type="continuationNotice" w:id="1">
    <w:p w:rsidR="00706B0D" w:rsidRPr="00C451B9" w:rsidRDefault="00706B0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F60F39">
      <w:rPr>
        <w:b/>
        <w:noProof/>
        <w:sz w:val="18"/>
      </w:rPr>
      <w:t>4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F60F39">
      <w:rPr>
        <w:b/>
        <w:noProof/>
        <w:sz w:val="18"/>
      </w:rPr>
      <w:t>5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F60F39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F60F39" w:rsidP="00E97E2C">
    <w:pPr>
      <w:jc w:val="center"/>
      <w:rPr>
        <w:b/>
        <w:bCs/>
        <w:sz w:val="22"/>
      </w:rPr>
    </w:pPr>
    <w:r>
      <w:pict>
        <v:shape id="_x0000_i1027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D" w:rsidRPr="00D27D5E" w:rsidRDefault="00706B0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6B0D" w:rsidRPr="00D171D4" w:rsidRDefault="00706B0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06B0D" w:rsidRPr="00C451B9" w:rsidRDefault="00706B0D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E/ECE/324</w:t>
    </w:r>
    <w:r w:rsidR="000A5EC0" w:rsidRPr="000A5EC0">
      <w:t>/Rev.1/Add.69/Rev.1/Amend.3</w:t>
    </w:r>
    <w:r>
      <w:br/>
      <w:t>E/ECE/TRANS/505</w:t>
    </w:r>
    <w:r w:rsidR="000A5EC0" w:rsidRPr="000A5EC0">
      <w:t>/Rev.1/Add.69/Rev.1/Amend.3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Header"/>
      <w:jc w:val="right"/>
    </w:pPr>
    <w:r>
      <w:t>E/ECE/324</w:t>
    </w:r>
    <w:r w:rsidR="000A5EC0" w:rsidRPr="000A5EC0">
      <w:t>/Rev.1/Add.69/Rev.1/Amend.3</w:t>
    </w:r>
    <w:r>
      <w:br/>
      <w:t>E/ECE/TRANS/505</w:t>
    </w:r>
    <w:r w:rsidR="000A5EC0" w:rsidRPr="000A5EC0">
      <w:t>/Rev.1/Add.69/Rev.1/Amend.3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4BA4"/>
    <w:rsid w:val="0008669E"/>
    <w:rsid w:val="00090599"/>
    <w:rsid w:val="00090B60"/>
    <w:rsid w:val="000A1501"/>
    <w:rsid w:val="000A2494"/>
    <w:rsid w:val="000A5EC0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1B44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32CA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C40AA"/>
    <w:rsid w:val="006F1D0B"/>
    <w:rsid w:val="006F27A8"/>
    <w:rsid w:val="006F3493"/>
    <w:rsid w:val="006F3544"/>
    <w:rsid w:val="0070347C"/>
    <w:rsid w:val="00706B0D"/>
    <w:rsid w:val="00707FE6"/>
    <w:rsid w:val="007102D2"/>
    <w:rsid w:val="00710974"/>
    <w:rsid w:val="00714A66"/>
    <w:rsid w:val="007170B0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B391E"/>
    <w:rsid w:val="007D2668"/>
    <w:rsid w:val="007D3119"/>
    <w:rsid w:val="007E3CBD"/>
    <w:rsid w:val="007E725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A62CE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77A7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0F39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character" w:customStyle="1" w:styleId="SingleTxtGCar">
    <w:name w:val="_ Single Txt_G Car"/>
    <w:rsid w:val="007E7259"/>
    <w:rPr>
      <w:lang w:val="fr-CH" w:eastAsia="en-US" w:bidi="ar-SA"/>
    </w:rPr>
  </w:style>
  <w:style w:type="paragraph" w:customStyle="1" w:styleId="SingleTxtGR">
    <w:name w:val="_ Single Txt_GR"/>
    <w:basedOn w:val="Normal"/>
    <w:rsid w:val="007E725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styleId="BalloonText">
    <w:name w:val="Balloon Text"/>
    <w:basedOn w:val="Normal"/>
    <w:link w:val="BalloonTextChar"/>
    <w:rsid w:val="007E7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25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4</cp:revision>
  <cp:lastPrinted>2015-06-05T09:52:00Z</cp:lastPrinted>
  <dcterms:created xsi:type="dcterms:W3CDTF">2015-06-15T09:22:00Z</dcterms:created>
  <dcterms:modified xsi:type="dcterms:W3CDTF">2015-06-22T09:42:00Z</dcterms:modified>
</cp:coreProperties>
</file>