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4636E" w:rsidTr="00165E82">
        <w:trPr>
          <w:cantSplit/>
          <w:trHeight w:hRule="exact" w:val="851"/>
        </w:trPr>
        <w:tc>
          <w:tcPr>
            <w:tcW w:w="1276" w:type="dxa"/>
            <w:tcBorders>
              <w:bottom w:val="single" w:sz="4" w:space="0" w:color="auto"/>
            </w:tcBorders>
            <w:vAlign w:val="bottom"/>
          </w:tcPr>
          <w:p w:rsidR="0064636E" w:rsidRDefault="0064636E" w:rsidP="003C3936"/>
        </w:tc>
        <w:tc>
          <w:tcPr>
            <w:tcW w:w="8363" w:type="dxa"/>
            <w:gridSpan w:val="2"/>
            <w:tcBorders>
              <w:bottom w:val="single" w:sz="4" w:space="0" w:color="auto"/>
            </w:tcBorders>
            <w:vAlign w:val="bottom"/>
          </w:tcPr>
          <w:p w:rsidR="0064636E" w:rsidRPr="00D47EEA" w:rsidRDefault="0064636E" w:rsidP="00892BAE">
            <w:pPr>
              <w:jc w:val="right"/>
            </w:pPr>
            <w:r w:rsidRPr="00014D07">
              <w:rPr>
                <w:sz w:val="40"/>
              </w:rPr>
              <w:t>E</w:t>
            </w:r>
            <w:r>
              <w:t>/ECE/324/</w:t>
            </w:r>
            <w:r w:rsidR="00841EB5">
              <w:t>Rev.</w:t>
            </w:r>
            <w:r w:rsidR="00892BAE">
              <w:t>1</w:t>
            </w:r>
            <w:r w:rsidR="00841EB5">
              <w:t>/</w:t>
            </w:r>
            <w:r>
              <w:t>Add.</w:t>
            </w:r>
            <w:r w:rsidR="00892BAE">
              <w:t>69</w:t>
            </w:r>
            <w:r>
              <w:t>/Rev.</w:t>
            </w:r>
            <w:r w:rsidR="00892BAE">
              <w:t>1</w:t>
            </w:r>
            <w:r>
              <w:t>/</w:t>
            </w:r>
            <w:r w:rsidR="00D623A7">
              <w:t>Amend.</w:t>
            </w:r>
            <w:r w:rsidR="00892BAE">
              <w:t>3</w:t>
            </w:r>
            <w:r>
              <w:t>−</w:t>
            </w:r>
            <w:r w:rsidRPr="00014D07">
              <w:rPr>
                <w:sz w:val="40"/>
              </w:rPr>
              <w:t>E</w:t>
            </w:r>
            <w:r>
              <w:t>/ECE/TRANS/505</w:t>
            </w:r>
            <w:r w:rsidR="00892BAE">
              <w:t>/Rev.1/Add.69/Rev.1/Amend.3</w:t>
            </w:r>
          </w:p>
        </w:tc>
      </w:tr>
      <w:tr w:rsidR="003C3936" w:rsidTr="005A2209">
        <w:trPr>
          <w:cantSplit/>
          <w:trHeight w:hRule="exact" w:val="2696"/>
        </w:trPr>
        <w:tc>
          <w:tcPr>
            <w:tcW w:w="1276" w:type="dxa"/>
            <w:tcBorders>
              <w:top w:val="single" w:sz="4" w:space="0" w:color="auto"/>
              <w:bottom w:val="single" w:sz="12" w:space="0" w:color="auto"/>
            </w:tcBorders>
          </w:tcPr>
          <w:p w:rsidR="003C3936" w:rsidRDefault="003C3936" w:rsidP="003C3936">
            <w:pPr>
              <w:spacing w:before="120"/>
            </w:pPr>
          </w:p>
        </w:tc>
        <w:tc>
          <w:tcPr>
            <w:tcW w:w="5528" w:type="dxa"/>
            <w:tcBorders>
              <w:top w:val="single" w:sz="4" w:space="0" w:color="auto"/>
              <w:bottom w:val="single" w:sz="12" w:space="0" w:color="auto"/>
            </w:tcBorders>
          </w:tcPr>
          <w:p w:rsidR="003C3936" w:rsidRPr="00D773DF" w:rsidRDefault="003C3936" w:rsidP="003C3936">
            <w:pPr>
              <w:spacing w:before="120"/>
            </w:pPr>
          </w:p>
        </w:tc>
        <w:tc>
          <w:tcPr>
            <w:tcW w:w="2835" w:type="dxa"/>
            <w:tcBorders>
              <w:top w:val="single" w:sz="4" w:space="0" w:color="auto"/>
              <w:bottom w:val="single" w:sz="12" w:space="0" w:color="auto"/>
            </w:tcBorders>
          </w:tcPr>
          <w:p w:rsidR="003C3936" w:rsidRDefault="003C3936" w:rsidP="003C3936">
            <w:pPr>
              <w:spacing w:before="120"/>
            </w:pPr>
          </w:p>
          <w:p w:rsidR="00D623A7" w:rsidRDefault="00D623A7" w:rsidP="003C3936">
            <w:pPr>
              <w:spacing w:before="120"/>
            </w:pPr>
          </w:p>
          <w:p w:rsidR="00C84414" w:rsidRDefault="00C84414" w:rsidP="003C3936">
            <w:pPr>
              <w:spacing w:before="120"/>
            </w:pPr>
          </w:p>
          <w:p w:rsidR="00C84414" w:rsidRDefault="000C463F" w:rsidP="003C3936">
            <w:pPr>
              <w:spacing w:before="120"/>
            </w:pPr>
            <w:r>
              <w:t>22</w:t>
            </w:r>
            <w:bookmarkStart w:id="0" w:name="_GoBack"/>
            <w:bookmarkEnd w:id="0"/>
            <w:r w:rsidR="002748F8">
              <w:t xml:space="preserve"> June 2015</w:t>
            </w:r>
          </w:p>
        </w:tc>
      </w:tr>
    </w:tbl>
    <w:p w:rsidR="00C711C7" w:rsidRPr="00392A12" w:rsidRDefault="00C711C7" w:rsidP="00C711C7">
      <w:pPr>
        <w:pStyle w:val="HChG"/>
      </w:pPr>
      <w:r w:rsidRPr="00392A12">
        <w:tab/>
      </w:r>
      <w:r w:rsidRPr="00392A12">
        <w:tab/>
      </w:r>
      <w:bookmarkStart w:id="1" w:name="_Toc340666199"/>
      <w:bookmarkStart w:id="2" w:name="_Toc340745062"/>
      <w:r w:rsidRPr="00392A12">
        <w:t>Agreement</w:t>
      </w:r>
      <w:bookmarkEnd w:id="1"/>
      <w:bookmarkEnd w:id="2"/>
    </w:p>
    <w:p w:rsidR="00C711C7" w:rsidRPr="00392A12" w:rsidRDefault="00C711C7" w:rsidP="00C711C7">
      <w:pPr>
        <w:pStyle w:val="H1G"/>
      </w:pPr>
      <w:r w:rsidRPr="00F173C4">
        <w:rPr>
          <w:rStyle w:val="H1GChar"/>
        </w:rPr>
        <w:tab/>
      </w:r>
      <w:r w:rsidRPr="00F173C4">
        <w:rPr>
          <w:rStyle w:val="H1GChar"/>
        </w:rPr>
        <w:tab/>
      </w:r>
      <w:r w:rsidRPr="006A6FBE">
        <w:t xml:space="preserve">Concerning the Adoption of Uniform Technical Prescriptions for Wheeled Vehicles, Equipment and Parts which can be </w:t>
      </w:r>
      <w:proofErr w:type="gramStart"/>
      <w:r w:rsidR="00EA0ED6">
        <w:t>F</w:t>
      </w:r>
      <w:r w:rsidRPr="006A6FBE">
        <w:t>itted</w:t>
      </w:r>
      <w:proofErr w:type="gramEnd"/>
      <w:r w:rsidRPr="006A6FBE">
        <w:t xml:space="preserve"> and/or be </w:t>
      </w:r>
      <w:r w:rsidR="00EA0ED6">
        <w:t>U</w:t>
      </w:r>
      <w:r w:rsidRPr="006A6FBE">
        <w:t>sed on Wheeled Vehicles and the Conditions for Reciprocal Recognition of Approvals Granted on the Basis of these Prescriptions</w:t>
      </w:r>
      <w:r w:rsidRPr="009E5D87">
        <w:rPr>
          <w:rStyle w:val="FootnoteReference"/>
          <w:b w:val="0"/>
          <w:sz w:val="20"/>
          <w:vertAlign w:val="baseline"/>
        </w:rPr>
        <w:footnoteReference w:customMarkFollows="1" w:id="2"/>
        <w:t>*</w:t>
      </w:r>
    </w:p>
    <w:p w:rsidR="00C711C7" w:rsidRPr="00392A12" w:rsidRDefault="00C711C7" w:rsidP="00C711C7">
      <w:pPr>
        <w:pStyle w:val="SingleTxtG"/>
        <w:spacing w:before="120"/>
      </w:pPr>
      <w:r w:rsidRPr="00392A12">
        <w:t>(Revision 2, including the amendments which entered into force on 16 October 1995)</w:t>
      </w:r>
    </w:p>
    <w:p w:rsidR="0064636E" w:rsidRDefault="00C711C7" w:rsidP="0064636E">
      <w:pPr>
        <w:pStyle w:val="H1G"/>
        <w:ind w:left="0" w:right="0" w:firstLine="0"/>
        <w:jc w:val="center"/>
      </w:pPr>
      <w:r>
        <w:t>_________</w:t>
      </w:r>
    </w:p>
    <w:p w:rsidR="0064636E" w:rsidRDefault="0064636E" w:rsidP="0064636E">
      <w:pPr>
        <w:pStyle w:val="H1G"/>
      </w:pPr>
      <w:r>
        <w:tab/>
      </w:r>
      <w:r>
        <w:tab/>
        <w:t xml:space="preserve">Addendum </w:t>
      </w:r>
      <w:r w:rsidR="00892BAE">
        <w:t>69</w:t>
      </w:r>
      <w:r>
        <w:t xml:space="preserve"> – Regulation No.</w:t>
      </w:r>
      <w:r w:rsidR="00271A7F">
        <w:t xml:space="preserve"> </w:t>
      </w:r>
      <w:r w:rsidR="00892BAE">
        <w:t>70</w:t>
      </w:r>
    </w:p>
    <w:p w:rsidR="0064636E" w:rsidRPr="00014D07" w:rsidRDefault="0064636E" w:rsidP="0064636E">
      <w:pPr>
        <w:pStyle w:val="H1G"/>
      </w:pPr>
      <w:r>
        <w:tab/>
      </w:r>
      <w:r>
        <w:tab/>
      </w:r>
      <w:r w:rsidRPr="00014D07">
        <w:t xml:space="preserve">Revision </w:t>
      </w:r>
      <w:r w:rsidR="00892BAE">
        <w:t>1</w:t>
      </w:r>
      <w:r w:rsidRPr="00014D07">
        <w:t xml:space="preserve"> - </w:t>
      </w:r>
      <w:r w:rsidR="00D623A7">
        <w:t>Amendment</w:t>
      </w:r>
      <w:r w:rsidRPr="00014D07">
        <w:t xml:space="preserve"> </w:t>
      </w:r>
      <w:r w:rsidR="00892BAE">
        <w:t>3</w:t>
      </w:r>
    </w:p>
    <w:p w:rsidR="0064636E" w:rsidRPr="00272880" w:rsidRDefault="00D623A7" w:rsidP="0064636E">
      <w:pPr>
        <w:pStyle w:val="SingleTxtG"/>
        <w:spacing w:after="360"/>
        <w:rPr>
          <w:spacing w:val="-2"/>
        </w:rPr>
      </w:pPr>
      <w:r>
        <w:rPr>
          <w:spacing w:val="-2"/>
        </w:rPr>
        <w:t xml:space="preserve">Supplement </w:t>
      </w:r>
      <w:r w:rsidR="00892BAE">
        <w:rPr>
          <w:spacing w:val="-2"/>
        </w:rPr>
        <w:t>9</w:t>
      </w:r>
      <w:r>
        <w:rPr>
          <w:spacing w:val="-2"/>
        </w:rPr>
        <w:t xml:space="preserve"> to </w:t>
      </w:r>
      <w:r w:rsidR="00271A7F">
        <w:rPr>
          <w:spacing w:val="-2"/>
        </w:rPr>
        <w:t xml:space="preserve">the </w:t>
      </w:r>
      <w:r w:rsidR="00892BAE">
        <w:rPr>
          <w:spacing w:val="-2"/>
        </w:rPr>
        <w:t>01</w:t>
      </w:r>
      <w:r>
        <w:rPr>
          <w:spacing w:val="-2"/>
        </w:rPr>
        <w:t xml:space="preserve"> series of amendments</w:t>
      </w:r>
      <w:r w:rsidR="0064636E" w:rsidRPr="00272880">
        <w:rPr>
          <w:spacing w:val="-2"/>
        </w:rPr>
        <w:t xml:space="preserve"> – Date of entry into force: </w:t>
      </w:r>
      <w:r w:rsidR="005A2209">
        <w:t>15 June 2015</w:t>
      </w:r>
    </w:p>
    <w:p w:rsidR="0064636E" w:rsidRDefault="0064636E" w:rsidP="0064636E">
      <w:pPr>
        <w:pStyle w:val="H1G"/>
        <w:rPr>
          <w:lang w:val="en-US"/>
        </w:rPr>
      </w:pPr>
      <w:r>
        <w:rPr>
          <w:lang w:val="en-US"/>
        </w:rPr>
        <w:tab/>
      </w:r>
      <w:r>
        <w:rPr>
          <w:lang w:val="en-US"/>
        </w:rPr>
        <w:tab/>
      </w:r>
      <w:r w:rsidR="00EC4DBA" w:rsidRPr="00EC4DBA">
        <w:rPr>
          <w:lang w:val="en-US"/>
        </w:rPr>
        <w:t>Uniform provisions concerning the approval of rear marking plates for heavy and long vehicles</w:t>
      </w:r>
    </w:p>
    <w:p w:rsidR="005A2209" w:rsidRPr="005A2209" w:rsidRDefault="005A2209" w:rsidP="005A2209">
      <w:pPr>
        <w:pStyle w:val="SingleTxtG"/>
        <w:rPr>
          <w:lang w:val="en-US"/>
        </w:rPr>
      </w:pPr>
      <w:r w:rsidRPr="005A2209">
        <w:rPr>
          <w:lang w:val="en-US"/>
        </w:rPr>
        <w:t xml:space="preserve">This document is meant purely as documentation tool. The authentic and legal binding text is: </w:t>
      </w:r>
      <w:proofErr w:type="spellStart"/>
      <w:r w:rsidRPr="005A2209">
        <w:rPr>
          <w:lang w:val="en-US"/>
        </w:rPr>
        <w:t>ECE</w:t>
      </w:r>
      <w:proofErr w:type="spellEnd"/>
      <w:r w:rsidRPr="005A2209">
        <w:rPr>
          <w:lang w:val="en-US"/>
        </w:rPr>
        <w:t>/TRANS/WP.29/2014/</w:t>
      </w:r>
      <w:r>
        <w:rPr>
          <w:lang w:val="en-US"/>
        </w:rPr>
        <w:t>61</w:t>
      </w:r>
      <w:r w:rsidR="00113338">
        <w:rPr>
          <w:lang w:val="en-US"/>
        </w:rPr>
        <w:t>.</w:t>
      </w:r>
    </w:p>
    <w:p w:rsidR="000D3A4F" w:rsidRPr="000D3A4F" w:rsidRDefault="000C463F" w:rsidP="000D3A4F">
      <w:pPr>
        <w:suppressAutoHyphens w:val="0"/>
        <w:spacing w:line="240" w:lineRule="auto"/>
        <w:jc w:val="center"/>
        <w:rPr>
          <w:b/>
          <w:sz w:val="24"/>
        </w:rPr>
      </w:pPr>
      <w:r>
        <w:rPr>
          <w:b/>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0;text-align:left;margin-left:200pt;margin-top:20.6pt;width:81pt;height:65.1pt;z-index:251657216;visibility:visible;mso-wrap-distance-bottom:10.8pt">
            <v:imagedata r:id="rId8" o:title="" cropleft="-4983f" cropright="-4983f"/>
            <w10:wrap type="topAndBottom"/>
          </v:shape>
        </w:pict>
      </w:r>
      <w:r w:rsidR="000D3A4F" w:rsidRPr="000D3A4F">
        <w:rPr>
          <w:b/>
          <w:sz w:val="24"/>
        </w:rPr>
        <w:t>_________</w:t>
      </w:r>
    </w:p>
    <w:p w:rsidR="000D3A4F" w:rsidRPr="000D3A4F" w:rsidRDefault="000D3A4F" w:rsidP="000D3A4F">
      <w:pPr>
        <w:suppressAutoHyphens w:val="0"/>
        <w:spacing w:line="240" w:lineRule="auto"/>
        <w:rPr>
          <w:b/>
          <w:sz w:val="24"/>
        </w:rPr>
      </w:pPr>
    </w:p>
    <w:p w:rsidR="000D3A4F" w:rsidRPr="000D3A4F" w:rsidRDefault="000D3A4F" w:rsidP="000D3A4F">
      <w:pPr>
        <w:suppressAutoHyphens w:val="0"/>
        <w:spacing w:line="240" w:lineRule="auto"/>
        <w:jc w:val="center"/>
        <w:rPr>
          <w:b/>
          <w:sz w:val="24"/>
        </w:rPr>
      </w:pPr>
      <w:r w:rsidRPr="000D3A4F">
        <w:rPr>
          <w:b/>
          <w:sz w:val="24"/>
        </w:rPr>
        <w:t>UNITED NATIONS</w:t>
      </w:r>
    </w:p>
    <w:p w:rsidR="00D623A7" w:rsidRDefault="00D623A7">
      <w:pPr>
        <w:suppressAutoHyphens w:val="0"/>
        <w:spacing w:line="240" w:lineRule="auto"/>
      </w:pPr>
    </w:p>
    <w:p w:rsidR="00713BD8" w:rsidRDefault="00713BD8">
      <w:pPr>
        <w:suppressAutoHyphens w:val="0"/>
        <w:spacing w:line="240" w:lineRule="auto"/>
      </w:pPr>
    </w:p>
    <w:p w:rsidR="00892BAE" w:rsidRPr="00892BAE" w:rsidRDefault="00892BAE" w:rsidP="00892BAE">
      <w:pPr>
        <w:spacing w:after="120"/>
        <w:ind w:left="2268" w:right="1134" w:hanging="1134"/>
        <w:jc w:val="both"/>
      </w:pPr>
      <w:r w:rsidRPr="00892BAE">
        <w:rPr>
          <w:i/>
          <w:iCs/>
        </w:rPr>
        <w:t>Paragraph</w:t>
      </w:r>
      <w:r w:rsidR="00A15E44" w:rsidRPr="00892BAE" w:rsidDel="00A15E44">
        <w:rPr>
          <w:i/>
          <w:iCs/>
        </w:rPr>
        <w:t xml:space="preserve"> </w:t>
      </w:r>
      <w:r w:rsidRPr="00892BAE">
        <w:rPr>
          <w:i/>
          <w:iCs/>
        </w:rPr>
        <w:t>2.1.3.</w:t>
      </w:r>
      <w:r w:rsidRPr="00892BAE">
        <w:t>, add at the end:</w:t>
      </w:r>
    </w:p>
    <w:p w:rsidR="00892BAE" w:rsidRPr="00892BAE" w:rsidRDefault="00892BAE" w:rsidP="00892BAE">
      <w:pPr>
        <w:autoSpaceDE w:val="0"/>
        <w:autoSpaceDN w:val="0"/>
        <w:adjustRightInd w:val="0"/>
        <w:spacing w:before="97" w:after="120"/>
        <w:ind w:left="2268" w:right="1134" w:hanging="1134"/>
      </w:pPr>
      <w:r w:rsidRPr="00892BAE">
        <w:t>"2</w:t>
      </w:r>
      <w:r w:rsidRPr="00892BAE">
        <w:rPr>
          <w:spacing w:val="4"/>
        </w:rPr>
        <w:t>.</w:t>
      </w:r>
      <w:r w:rsidRPr="00892BAE">
        <w:rPr>
          <w:spacing w:val="-2"/>
        </w:rPr>
        <w:t>1</w:t>
      </w:r>
      <w:r w:rsidRPr="00892BAE">
        <w:rPr>
          <w:spacing w:val="1"/>
        </w:rPr>
        <w:t>.</w:t>
      </w:r>
      <w:r w:rsidRPr="00892BAE">
        <w:rPr>
          <w:spacing w:val="-2"/>
        </w:rPr>
        <w:t>3</w:t>
      </w:r>
      <w:r w:rsidRPr="00892BAE">
        <w:t>.</w:t>
      </w:r>
      <w:r w:rsidRPr="00892BAE">
        <w:tab/>
        <w:t>…</w:t>
      </w:r>
    </w:p>
    <w:p w:rsidR="00892BAE" w:rsidRPr="00892BAE" w:rsidRDefault="00892BAE" w:rsidP="00892BAE">
      <w:pPr>
        <w:autoSpaceDE w:val="0"/>
        <w:autoSpaceDN w:val="0"/>
        <w:adjustRightInd w:val="0"/>
        <w:spacing w:after="120"/>
        <w:ind w:left="3402" w:right="1134" w:hanging="1134"/>
        <w:jc w:val="both"/>
        <w:rPr>
          <w:spacing w:val="1"/>
        </w:rPr>
      </w:pPr>
      <w:r w:rsidRPr="00892BAE">
        <w:rPr>
          <w:spacing w:val="1"/>
        </w:rPr>
        <w:t>C</w:t>
      </w:r>
      <w:r w:rsidRPr="00892BAE">
        <w:rPr>
          <w:spacing w:val="2"/>
        </w:rPr>
        <w:t>l</w:t>
      </w:r>
      <w:r w:rsidRPr="00892BAE">
        <w:rPr>
          <w:spacing w:val="1"/>
        </w:rPr>
        <w:t>as</w:t>
      </w:r>
      <w:r w:rsidRPr="00892BAE">
        <w:t>s</w:t>
      </w:r>
      <w:r w:rsidRPr="00892BAE">
        <w:rPr>
          <w:spacing w:val="11"/>
        </w:rPr>
        <w:t xml:space="preserve"> </w:t>
      </w:r>
      <w:r w:rsidRPr="00892BAE">
        <w:t>5:</w:t>
      </w:r>
      <w:r w:rsidRPr="00892BAE">
        <w:tab/>
      </w:r>
      <w:r w:rsidRPr="00892BAE">
        <w:rPr>
          <w:spacing w:val="1"/>
        </w:rPr>
        <w:t>Rear marking plates for motor vehicles or trailers with red and white retro-reflective alternative stripes."</w:t>
      </w:r>
    </w:p>
    <w:p w:rsidR="00892BAE" w:rsidRPr="00892BAE" w:rsidRDefault="00892BAE" w:rsidP="00892BAE">
      <w:pPr>
        <w:autoSpaceDE w:val="0"/>
        <w:autoSpaceDN w:val="0"/>
        <w:adjustRightInd w:val="0"/>
        <w:spacing w:after="120"/>
        <w:ind w:left="1134"/>
        <w:rPr>
          <w:bCs/>
          <w:i/>
        </w:rPr>
      </w:pPr>
      <w:r w:rsidRPr="00892BAE">
        <w:rPr>
          <w:bCs/>
          <w:i/>
        </w:rPr>
        <w:t xml:space="preserve">Annex 5, </w:t>
      </w:r>
    </w:p>
    <w:p w:rsidR="00892BAE" w:rsidRPr="00892BAE" w:rsidRDefault="00892BAE" w:rsidP="00892BAE">
      <w:pPr>
        <w:autoSpaceDE w:val="0"/>
        <w:autoSpaceDN w:val="0"/>
        <w:adjustRightInd w:val="0"/>
        <w:spacing w:after="120"/>
        <w:ind w:left="1134"/>
        <w:rPr>
          <w:bCs/>
        </w:rPr>
      </w:pPr>
      <w:r w:rsidRPr="00892BAE">
        <w:rPr>
          <w:bCs/>
          <w:i/>
        </w:rPr>
        <w:t xml:space="preserve">Paragraph </w:t>
      </w:r>
      <w:proofErr w:type="gramStart"/>
      <w:r w:rsidRPr="00892BAE">
        <w:rPr>
          <w:bCs/>
          <w:i/>
        </w:rPr>
        <w:t>2.,</w:t>
      </w:r>
      <w:proofErr w:type="gramEnd"/>
      <w:r w:rsidRPr="00892BAE">
        <w:rPr>
          <w:bCs/>
        </w:rPr>
        <w:t xml:space="preserve"> add at the end:</w:t>
      </w:r>
    </w:p>
    <w:p w:rsidR="00892BAE" w:rsidRPr="00892BAE" w:rsidRDefault="00892BAE" w:rsidP="00892BAE">
      <w:pPr>
        <w:spacing w:after="120"/>
        <w:ind w:left="2268" w:right="1134" w:hanging="1134"/>
        <w:jc w:val="both"/>
      </w:pPr>
      <w:r w:rsidRPr="00892BAE">
        <w:t>"2.</w:t>
      </w:r>
      <w:r w:rsidRPr="00892BAE">
        <w:tab/>
        <w:t>…</w:t>
      </w:r>
    </w:p>
    <w:p w:rsidR="00892BAE" w:rsidRPr="00892BAE" w:rsidRDefault="00892BAE" w:rsidP="00892BAE">
      <w:pPr>
        <w:spacing w:after="120"/>
        <w:ind w:left="2268" w:right="1134"/>
        <w:jc w:val="both"/>
      </w:pPr>
      <w:r w:rsidRPr="00892BAE">
        <w:t>For mounting of Class 5 devices on non-articulated vehicles, the retro-reflective material shall be made with alternate, oblique stripes of white and red colour."</w:t>
      </w:r>
    </w:p>
    <w:p w:rsidR="00892BAE" w:rsidRPr="00892BAE" w:rsidRDefault="00892BAE" w:rsidP="00892BAE">
      <w:pPr>
        <w:spacing w:after="120"/>
        <w:ind w:left="2268" w:right="1134" w:hanging="1134"/>
        <w:jc w:val="both"/>
        <w:rPr>
          <w:bCs/>
        </w:rPr>
      </w:pPr>
      <w:r w:rsidRPr="00892BAE">
        <w:rPr>
          <w:bCs/>
          <w:i/>
        </w:rPr>
        <w:t>Paragraph 3.2.,</w:t>
      </w:r>
      <w:r w:rsidRPr="00892BAE">
        <w:rPr>
          <w:bCs/>
        </w:rPr>
        <w:t xml:space="preserve"> add at the end:</w:t>
      </w:r>
    </w:p>
    <w:p w:rsidR="00892BAE" w:rsidRPr="00892BAE" w:rsidRDefault="00892BAE" w:rsidP="00892BAE">
      <w:pPr>
        <w:spacing w:after="120"/>
        <w:ind w:left="2268" w:right="1134" w:hanging="1134"/>
        <w:jc w:val="both"/>
      </w:pPr>
      <w:r w:rsidRPr="00892BAE">
        <w:t>"3.2.</w:t>
      </w:r>
      <w:r w:rsidRPr="00892BAE">
        <w:tab/>
        <w:t>…</w:t>
      </w:r>
    </w:p>
    <w:p w:rsidR="00892BAE" w:rsidRPr="00892BAE" w:rsidRDefault="00892BAE" w:rsidP="00892BAE">
      <w:pPr>
        <w:spacing w:after="120"/>
        <w:ind w:left="2268" w:right="1134"/>
        <w:jc w:val="both"/>
        <w:rPr>
          <w:bCs/>
        </w:rPr>
      </w:pPr>
      <w:r w:rsidRPr="00892BAE">
        <w:rPr>
          <w:bCs/>
        </w:rPr>
        <w:t xml:space="preserve">Class 5 devices shall incorporate a minimum of 9 standard areas as described in </w:t>
      </w:r>
      <w:r w:rsidR="00A15E44" w:rsidRPr="00892BAE">
        <w:rPr>
          <w:bCs/>
        </w:rPr>
        <w:t>para</w:t>
      </w:r>
      <w:r w:rsidR="00A15E44">
        <w:rPr>
          <w:bCs/>
        </w:rPr>
        <w:t>graph</w:t>
      </w:r>
      <w:r w:rsidRPr="00892BAE">
        <w:rPr>
          <w:bCs/>
        </w:rPr>
        <w:t xml:space="preserve"> 3.4. </w:t>
      </w:r>
      <w:proofErr w:type="gramStart"/>
      <w:r w:rsidRPr="00892BAE">
        <w:rPr>
          <w:bCs/>
        </w:rPr>
        <w:t>below</w:t>
      </w:r>
      <w:proofErr w:type="gramEnd"/>
      <w:r w:rsidRPr="00892BAE">
        <w:rPr>
          <w:bCs/>
        </w:rPr>
        <w:t xml:space="preserve"> on large vehicles with available mounting space, but may be reduced to a minimum of 4 standard areas on vehicles with limited mounting space."</w:t>
      </w:r>
    </w:p>
    <w:p w:rsidR="00892BAE" w:rsidRPr="00892BAE" w:rsidRDefault="00892BAE" w:rsidP="00892BAE">
      <w:pPr>
        <w:spacing w:after="120"/>
        <w:ind w:left="2268" w:right="1134" w:hanging="1134"/>
        <w:jc w:val="both"/>
        <w:rPr>
          <w:bCs/>
        </w:rPr>
      </w:pPr>
      <w:r w:rsidRPr="00892BAE">
        <w:rPr>
          <w:bCs/>
          <w:i/>
        </w:rPr>
        <w:t>Paragraph 3.4.,</w:t>
      </w:r>
      <w:r w:rsidRPr="00892BAE">
        <w:rPr>
          <w:bCs/>
        </w:rPr>
        <w:t xml:space="preserve"> add at the end:</w:t>
      </w:r>
    </w:p>
    <w:p w:rsidR="00892BAE" w:rsidRPr="00892BAE" w:rsidRDefault="00892BAE" w:rsidP="00892BAE">
      <w:pPr>
        <w:spacing w:after="120"/>
        <w:ind w:left="2268" w:right="1134" w:hanging="1134"/>
        <w:jc w:val="both"/>
      </w:pPr>
      <w:r w:rsidRPr="00892BAE">
        <w:t>"3.4.</w:t>
      </w:r>
      <w:r w:rsidRPr="00892BAE">
        <w:tab/>
        <w:t>…</w:t>
      </w:r>
    </w:p>
    <w:p w:rsidR="00892BAE" w:rsidRPr="00892BAE" w:rsidRDefault="00892BAE" w:rsidP="00892BAE">
      <w:pPr>
        <w:autoSpaceDE w:val="0"/>
        <w:autoSpaceDN w:val="0"/>
        <w:adjustRightInd w:val="0"/>
        <w:spacing w:after="120"/>
        <w:ind w:left="2268" w:right="1134"/>
        <w:jc w:val="both"/>
        <w:rPr>
          <w:bCs/>
        </w:rPr>
      </w:pPr>
      <w:r w:rsidRPr="00892BAE">
        <w:rPr>
          <w:bCs/>
        </w:rPr>
        <w:t>Class 5 retro-reflective materials shall consist of red and white diagonal stripes each 100 mm wide sloping outwards and downwards at 45</w:t>
      </w:r>
      <w:r w:rsidR="00A15E44">
        <w:rPr>
          <w:bCs/>
        </w:rPr>
        <w:t>°.</w:t>
      </w:r>
      <w:r w:rsidRPr="00892BAE">
        <w:rPr>
          <w:bCs/>
        </w:rPr>
        <w:t xml:space="preserve"> The basic standard area is a square of 141 mm in length subdivided diagonally</w:t>
      </w:r>
      <w:r w:rsidRPr="00892BAE">
        <w:rPr>
          <w:bCs/>
          <w:color w:val="FF0000"/>
        </w:rPr>
        <w:t xml:space="preserve"> </w:t>
      </w:r>
      <w:r w:rsidRPr="00892BAE">
        <w:rPr>
          <w:bCs/>
        </w:rPr>
        <w:t>into a white half and red half, which represents one standard area.</w:t>
      </w:r>
    </w:p>
    <w:p w:rsidR="00892BAE" w:rsidRPr="00892BAE" w:rsidRDefault="00892BAE" w:rsidP="00892BAE">
      <w:pPr>
        <w:autoSpaceDE w:val="0"/>
        <w:autoSpaceDN w:val="0"/>
        <w:adjustRightInd w:val="0"/>
        <w:spacing w:after="120"/>
        <w:ind w:left="2268" w:right="1134"/>
        <w:jc w:val="both"/>
        <w:rPr>
          <w:bCs/>
        </w:rPr>
      </w:pPr>
      <w:r w:rsidRPr="00892BAE">
        <w:rPr>
          <w:bCs/>
        </w:rPr>
        <w:t xml:space="preserve">Prescribed shapes, patterns and dimensional features of Class 5 devices are illustrated in </w:t>
      </w:r>
      <w:r w:rsidR="00A15E44">
        <w:rPr>
          <w:bCs/>
        </w:rPr>
        <w:t>F</w:t>
      </w:r>
      <w:r w:rsidR="00A15E44" w:rsidRPr="00892BAE">
        <w:rPr>
          <w:bCs/>
        </w:rPr>
        <w:t xml:space="preserve">igure </w:t>
      </w:r>
      <w:r w:rsidRPr="00892BAE">
        <w:rPr>
          <w:bCs/>
        </w:rPr>
        <w:t>3 of Annex 12 to this Regulation."</w:t>
      </w:r>
    </w:p>
    <w:p w:rsidR="00892BAE" w:rsidRPr="00892BAE" w:rsidRDefault="00892BAE" w:rsidP="00892BAE">
      <w:pPr>
        <w:spacing w:after="120"/>
        <w:ind w:left="2268" w:right="1134" w:hanging="1134"/>
        <w:jc w:val="both"/>
        <w:rPr>
          <w:bCs/>
        </w:rPr>
      </w:pPr>
      <w:r w:rsidRPr="00892BAE">
        <w:rPr>
          <w:bCs/>
          <w:i/>
        </w:rPr>
        <w:t xml:space="preserve">Paragraph 3.5., </w:t>
      </w:r>
      <w:r w:rsidRPr="00892BAE">
        <w:rPr>
          <w:bCs/>
        </w:rPr>
        <w:t>amend to read:</w:t>
      </w:r>
    </w:p>
    <w:p w:rsidR="00892BAE" w:rsidRPr="00892BAE" w:rsidRDefault="00892BAE" w:rsidP="00892BAE">
      <w:pPr>
        <w:autoSpaceDE w:val="0"/>
        <w:autoSpaceDN w:val="0"/>
        <w:adjustRightInd w:val="0"/>
        <w:spacing w:after="120"/>
        <w:ind w:left="2268" w:right="1134" w:hanging="1134"/>
        <w:rPr>
          <w:bCs/>
        </w:rPr>
      </w:pPr>
      <w:r w:rsidRPr="00892BAE">
        <w:t>"3.5.</w:t>
      </w:r>
      <w:r w:rsidRPr="00892BAE">
        <w:tab/>
        <w:t>Rear marking plates or Class 5 devices supplied in sets shall form matching</w:t>
      </w:r>
      <w:r w:rsidRPr="00892BAE">
        <w:rPr>
          <w:bCs/>
        </w:rPr>
        <w:t xml:space="preserve"> pairs."</w:t>
      </w:r>
    </w:p>
    <w:p w:rsidR="00892BAE" w:rsidRPr="00892BAE" w:rsidRDefault="00892BAE" w:rsidP="00892BAE">
      <w:pPr>
        <w:autoSpaceDE w:val="0"/>
        <w:autoSpaceDN w:val="0"/>
        <w:adjustRightInd w:val="0"/>
        <w:spacing w:after="120"/>
        <w:ind w:left="1134" w:right="1134"/>
        <w:rPr>
          <w:bCs/>
          <w:i/>
        </w:rPr>
      </w:pPr>
      <w:r w:rsidRPr="00892BAE">
        <w:rPr>
          <w:bCs/>
          <w:i/>
        </w:rPr>
        <w:t>Annex 6,</w:t>
      </w:r>
    </w:p>
    <w:p w:rsidR="00892BAE" w:rsidRPr="00892BAE" w:rsidRDefault="00892BAE" w:rsidP="00892BAE">
      <w:pPr>
        <w:autoSpaceDE w:val="0"/>
        <w:autoSpaceDN w:val="0"/>
        <w:adjustRightInd w:val="0"/>
        <w:spacing w:after="120"/>
        <w:ind w:left="1134" w:right="1134"/>
        <w:rPr>
          <w:bCs/>
        </w:rPr>
      </w:pPr>
      <w:r w:rsidRPr="00892BAE">
        <w:rPr>
          <w:bCs/>
          <w:i/>
        </w:rPr>
        <w:t xml:space="preserve">Paragraph </w:t>
      </w:r>
      <w:proofErr w:type="gramStart"/>
      <w:r w:rsidRPr="00892BAE">
        <w:rPr>
          <w:bCs/>
          <w:i/>
        </w:rPr>
        <w:t>2.,</w:t>
      </w:r>
      <w:proofErr w:type="gramEnd"/>
      <w:r w:rsidRPr="00892BAE">
        <w:rPr>
          <w:bCs/>
          <w:i/>
        </w:rPr>
        <w:t xml:space="preserve"> </w:t>
      </w:r>
      <w:r w:rsidRPr="00892BAE">
        <w:rPr>
          <w:bCs/>
        </w:rPr>
        <w:t>amend the title to read:</w:t>
      </w:r>
    </w:p>
    <w:p w:rsidR="00892BAE" w:rsidRPr="00892BAE" w:rsidRDefault="00892BAE" w:rsidP="00892BAE">
      <w:pPr>
        <w:autoSpaceDE w:val="0"/>
        <w:autoSpaceDN w:val="0"/>
        <w:adjustRightInd w:val="0"/>
        <w:spacing w:after="120"/>
        <w:ind w:left="2268" w:right="1134" w:hanging="1134"/>
        <w:rPr>
          <w:bCs/>
        </w:rPr>
      </w:pPr>
      <w:r w:rsidRPr="00892BAE">
        <w:rPr>
          <w:bCs/>
        </w:rPr>
        <w:t>"2.</w:t>
      </w:r>
      <w:r w:rsidRPr="00892BAE">
        <w:rPr>
          <w:bCs/>
        </w:rPr>
        <w:tab/>
        <w:t>Yellow, red or white retro-reflective material"</w:t>
      </w:r>
    </w:p>
    <w:p w:rsidR="00892BAE" w:rsidRPr="00892BAE" w:rsidRDefault="00892BAE" w:rsidP="00892BAE">
      <w:pPr>
        <w:autoSpaceDE w:val="0"/>
        <w:autoSpaceDN w:val="0"/>
        <w:adjustRightInd w:val="0"/>
        <w:spacing w:after="120"/>
        <w:ind w:left="1134" w:right="1134"/>
        <w:rPr>
          <w:bCs/>
        </w:rPr>
      </w:pPr>
      <w:r w:rsidRPr="00892BAE">
        <w:rPr>
          <w:bCs/>
          <w:i/>
        </w:rPr>
        <w:t xml:space="preserve">Paragraph 2.1.1., </w:t>
      </w:r>
      <w:r w:rsidRPr="00892BAE">
        <w:rPr>
          <w:bCs/>
        </w:rPr>
        <w:t>amend to read:</w:t>
      </w:r>
    </w:p>
    <w:p w:rsidR="00892BAE" w:rsidRPr="00892BAE" w:rsidRDefault="00892BAE" w:rsidP="00892BAE">
      <w:pPr>
        <w:autoSpaceDE w:val="0"/>
        <w:autoSpaceDN w:val="0"/>
        <w:adjustRightInd w:val="0"/>
        <w:spacing w:after="120"/>
        <w:ind w:left="2268" w:right="1134" w:hanging="1134"/>
        <w:rPr>
          <w:bCs/>
        </w:rPr>
      </w:pPr>
      <w:r w:rsidRPr="00892BAE">
        <w:rPr>
          <w:bCs/>
        </w:rPr>
        <w:t>"2.1.1.</w:t>
      </w:r>
      <w:r w:rsidRPr="00892BAE">
        <w:rPr>
          <w:bCs/>
        </w:rPr>
        <w:tab/>
        <w:t>Luminance factor for:</w:t>
      </w:r>
    </w:p>
    <w:p w:rsidR="00892BAE" w:rsidRPr="00892BAE" w:rsidRDefault="00892BAE" w:rsidP="00892BAE">
      <w:pPr>
        <w:autoSpaceDE w:val="0"/>
        <w:autoSpaceDN w:val="0"/>
        <w:adjustRightInd w:val="0"/>
        <w:spacing w:after="120"/>
        <w:ind w:left="2268" w:right="1134"/>
      </w:pPr>
      <w:r w:rsidRPr="00892BAE">
        <w:t>(a)</w:t>
      </w:r>
      <w:r w:rsidRPr="00892BAE">
        <w:tab/>
        <w:t xml:space="preserve">Yellow colour shall be </w:t>
      </w:r>
      <w:r w:rsidRPr="00892BAE">
        <w:rPr>
          <w:rFonts w:eastAsia="TimesNewRoman"/>
        </w:rPr>
        <w:t xml:space="preserve">≥ </w:t>
      </w:r>
      <w:r w:rsidRPr="00892BAE">
        <w:t>0.16.</w:t>
      </w:r>
    </w:p>
    <w:p w:rsidR="00892BAE" w:rsidRPr="00892BAE" w:rsidRDefault="00892BAE" w:rsidP="00892BAE">
      <w:pPr>
        <w:autoSpaceDE w:val="0"/>
        <w:autoSpaceDN w:val="0"/>
        <w:adjustRightInd w:val="0"/>
        <w:spacing w:after="120"/>
        <w:ind w:left="2268" w:right="1134"/>
      </w:pPr>
      <w:r w:rsidRPr="00892BAE">
        <w:t>(b)</w:t>
      </w:r>
      <w:r w:rsidRPr="00892BAE">
        <w:tab/>
        <w:t xml:space="preserve">Red colour shall be </w:t>
      </w:r>
      <w:r w:rsidRPr="00892BAE">
        <w:rPr>
          <w:rFonts w:eastAsia="TimesNewRoman"/>
        </w:rPr>
        <w:t xml:space="preserve">≥ </w:t>
      </w:r>
      <w:r w:rsidRPr="00892BAE">
        <w:t xml:space="preserve">0.03. </w:t>
      </w:r>
    </w:p>
    <w:p w:rsidR="00892BAE" w:rsidRPr="00892BAE" w:rsidRDefault="00892BAE" w:rsidP="00892BAE">
      <w:pPr>
        <w:autoSpaceDE w:val="0"/>
        <w:autoSpaceDN w:val="0"/>
        <w:adjustRightInd w:val="0"/>
        <w:spacing w:after="120"/>
        <w:ind w:left="2268" w:right="1134"/>
        <w:rPr>
          <w:bCs/>
        </w:rPr>
      </w:pPr>
      <w:r w:rsidRPr="00892BAE">
        <w:t>(c)</w:t>
      </w:r>
      <w:r w:rsidRPr="00892BAE">
        <w:tab/>
        <w:t xml:space="preserve">White colour shall be </w:t>
      </w:r>
      <w:r w:rsidRPr="00892BAE">
        <w:rPr>
          <w:rFonts w:eastAsia="TimesNewRoman"/>
        </w:rPr>
        <w:t xml:space="preserve">≥ </w:t>
      </w:r>
      <w:r w:rsidRPr="00892BAE">
        <w:t>0.25."</w:t>
      </w:r>
    </w:p>
    <w:p w:rsidR="00AB55B1" w:rsidRDefault="00AB55B1" w:rsidP="005D6CBB">
      <w:pPr>
        <w:keepNext/>
        <w:keepLines/>
        <w:autoSpaceDE w:val="0"/>
        <w:autoSpaceDN w:val="0"/>
        <w:adjustRightInd w:val="0"/>
        <w:spacing w:after="120"/>
        <w:ind w:left="1134"/>
        <w:rPr>
          <w:bCs/>
          <w:i/>
        </w:rPr>
      </w:pPr>
    </w:p>
    <w:p w:rsidR="00892BAE" w:rsidRPr="00892BAE" w:rsidRDefault="00892BAE" w:rsidP="005D6CBB">
      <w:pPr>
        <w:keepNext/>
        <w:keepLines/>
        <w:autoSpaceDE w:val="0"/>
        <w:autoSpaceDN w:val="0"/>
        <w:adjustRightInd w:val="0"/>
        <w:spacing w:after="120"/>
        <w:ind w:left="1134"/>
        <w:rPr>
          <w:bCs/>
          <w:i/>
        </w:rPr>
      </w:pPr>
      <w:r w:rsidRPr="00892BAE">
        <w:rPr>
          <w:bCs/>
          <w:i/>
        </w:rPr>
        <w:t>Annex 7,</w:t>
      </w:r>
    </w:p>
    <w:p w:rsidR="00892BAE" w:rsidRPr="00892BAE" w:rsidRDefault="00892BAE" w:rsidP="005D6CBB">
      <w:pPr>
        <w:keepNext/>
        <w:keepLines/>
        <w:autoSpaceDE w:val="0"/>
        <w:autoSpaceDN w:val="0"/>
        <w:adjustRightInd w:val="0"/>
        <w:spacing w:after="120"/>
        <w:ind w:left="1134"/>
        <w:rPr>
          <w:b/>
          <w:bCs/>
        </w:rPr>
      </w:pPr>
      <w:r w:rsidRPr="00892BAE">
        <w:rPr>
          <w:bCs/>
          <w:i/>
        </w:rPr>
        <w:t xml:space="preserve">Paragraph 1.1., </w:t>
      </w:r>
      <w:r w:rsidRPr="00892BAE">
        <w:rPr>
          <w:bCs/>
        </w:rPr>
        <w:t xml:space="preserve">insert a new </w:t>
      </w:r>
      <w:r>
        <w:rPr>
          <w:bCs/>
        </w:rPr>
        <w:t>T</w:t>
      </w:r>
      <w:r w:rsidRPr="00892BAE">
        <w:rPr>
          <w:bCs/>
        </w:rPr>
        <w:t xml:space="preserve">able 3 after </w:t>
      </w:r>
      <w:r>
        <w:rPr>
          <w:bCs/>
        </w:rPr>
        <w:t>T</w:t>
      </w:r>
      <w:r w:rsidRPr="00892BAE">
        <w:rPr>
          <w:bCs/>
        </w:rPr>
        <w:t>able 2 and amend to read:</w:t>
      </w:r>
    </w:p>
    <w:p w:rsidR="00892BAE" w:rsidRPr="00892BAE" w:rsidRDefault="00892BAE" w:rsidP="00892BAE">
      <w:pPr>
        <w:autoSpaceDE w:val="0"/>
        <w:autoSpaceDN w:val="0"/>
        <w:adjustRightInd w:val="0"/>
        <w:spacing w:after="120"/>
        <w:ind w:left="2268" w:right="1134"/>
        <w:jc w:val="both"/>
        <w:rPr>
          <w:bCs/>
        </w:rPr>
      </w:pPr>
      <w:r w:rsidRPr="00892BAE">
        <w:rPr>
          <w:bCs/>
        </w:rPr>
        <w:t xml:space="preserve">"When illuminated with a CIE Standard </w:t>
      </w:r>
      <w:proofErr w:type="spellStart"/>
      <w:r w:rsidRPr="00892BAE">
        <w:rPr>
          <w:bCs/>
        </w:rPr>
        <w:t>Illuminant</w:t>
      </w:r>
      <w:proofErr w:type="spellEnd"/>
      <w:r w:rsidRPr="00892BAE">
        <w:rPr>
          <w:bCs/>
        </w:rPr>
        <w:t xml:space="preserve"> A and measured as recommended by CIE </w:t>
      </w:r>
      <w:proofErr w:type="spellStart"/>
      <w:r w:rsidRPr="00892BAE">
        <w:rPr>
          <w:bCs/>
        </w:rPr>
        <w:t>TC</w:t>
      </w:r>
      <w:proofErr w:type="spellEnd"/>
      <w:r w:rsidRPr="00892BAE">
        <w:rPr>
          <w:bCs/>
        </w:rPr>
        <w:t xml:space="preserve"> 2.3 (CIE Publication No. 54, 1982), the coefficient of retro-reflection R' in candelas per square metre per lux of the yellow</w:t>
      </w:r>
      <w:r w:rsidRPr="00892BAE">
        <w:rPr>
          <w:b/>
          <w:bCs/>
        </w:rPr>
        <w:t xml:space="preserve">, </w:t>
      </w:r>
      <w:r w:rsidRPr="00892BAE">
        <w:rPr>
          <w:bCs/>
        </w:rPr>
        <w:t xml:space="preserve">white or red retro-reflective area in new condition shall be at least as indicated in </w:t>
      </w:r>
      <w:r w:rsidR="00A15E44">
        <w:rPr>
          <w:bCs/>
        </w:rPr>
        <w:t>T</w:t>
      </w:r>
      <w:r w:rsidR="00A15E44" w:rsidRPr="00892BAE">
        <w:rPr>
          <w:bCs/>
        </w:rPr>
        <w:t xml:space="preserve">ables </w:t>
      </w:r>
      <w:r w:rsidRPr="00892BAE">
        <w:rPr>
          <w:bCs/>
        </w:rPr>
        <w:t xml:space="preserve">1, 2 or 3, according to the </w:t>
      </w:r>
      <w:r w:rsidR="00A15E44">
        <w:rPr>
          <w:bCs/>
        </w:rPr>
        <w:t>C</w:t>
      </w:r>
      <w:r w:rsidR="00A15E44" w:rsidRPr="00892BAE">
        <w:rPr>
          <w:bCs/>
        </w:rPr>
        <w:t>lass</w:t>
      </w:r>
      <w:r w:rsidRPr="00892BAE">
        <w:rPr>
          <w:bCs/>
        </w:rPr>
        <w:t xml:space="preserve">.  Devices of </w:t>
      </w:r>
      <w:r w:rsidR="00A15E44">
        <w:rPr>
          <w:bCs/>
        </w:rPr>
        <w:t>C</w:t>
      </w:r>
      <w:r w:rsidR="00A15E44" w:rsidRPr="00892BAE">
        <w:rPr>
          <w:bCs/>
        </w:rPr>
        <w:t xml:space="preserve">lass </w:t>
      </w:r>
      <w:r w:rsidRPr="00892BAE">
        <w:rPr>
          <w:bCs/>
        </w:rPr>
        <w:t xml:space="preserve">1 and </w:t>
      </w:r>
      <w:r w:rsidR="005A2209">
        <w:rPr>
          <w:bCs/>
        </w:rPr>
        <w:t>C</w:t>
      </w:r>
      <w:r w:rsidR="005A2209" w:rsidRPr="00892BAE">
        <w:rPr>
          <w:bCs/>
        </w:rPr>
        <w:t xml:space="preserve">lass </w:t>
      </w:r>
      <w:r w:rsidRPr="00892BAE">
        <w:rPr>
          <w:bCs/>
        </w:rPr>
        <w:t>2 shall fulfil the values in</w:t>
      </w:r>
      <w:r w:rsidR="005A2209">
        <w:rPr>
          <w:bCs/>
        </w:rPr>
        <w:t xml:space="preserve"> T</w:t>
      </w:r>
      <w:r w:rsidRPr="00892BAE">
        <w:rPr>
          <w:bCs/>
        </w:rPr>
        <w:t xml:space="preserve">able 1, devices of </w:t>
      </w:r>
      <w:r w:rsidR="00A15E44">
        <w:rPr>
          <w:bCs/>
        </w:rPr>
        <w:t>C</w:t>
      </w:r>
      <w:r w:rsidR="00A15E44" w:rsidRPr="00892BAE">
        <w:rPr>
          <w:bCs/>
        </w:rPr>
        <w:t xml:space="preserve">lass </w:t>
      </w:r>
      <w:r w:rsidRPr="00892BAE">
        <w:rPr>
          <w:bCs/>
        </w:rPr>
        <w:t xml:space="preserve">3 and </w:t>
      </w:r>
      <w:r w:rsidR="00A15E44">
        <w:rPr>
          <w:bCs/>
        </w:rPr>
        <w:t>C</w:t>
      </w:r>
      <w:r w:rsidR="00A15E44" w:rsidRPr="00892BAE">
        <w:rPr>
          <w:bCs/>
        </w:rPr>
        <w:t xml:space="preserve">lass </w:t>
      </w:r>
      <w:r w:rsidRPr="00892BAE">
        <w:rPr>
          <w:bCs/>
        </w:rPr>
        <w:t xml:space="preserve">4 those in table 2, devices of </w:t>
      </w:r>
      <w:r w:rsidR="00A15E44">
        <w:rPr>
          <w:bCs/>
        </w:rPr>
        <w:t>C</w:t>
      </w:r>
      <w:r w:rsidR="00A15E44" w:rsidRPr="00892BAE">
        <w:rPr>
          <w:bCs/>
        </w:rPr>
        <w:t xml:space="preserve">lass </w:t>
      </w:r>
      <w:r w:rsidRPr="00892BAE">
        <w:rPr>
          <w:bCs/>
        </w:rPr>
        <w:t xml:space="preserve">5 those in </w:t>
      </w:r>
      <w:r w:rsidR="00A15E44">
        <w:rPr>
          <w:bCs/>
        </w:rPr>
        <w:t>T</w:t>
      </w:r>
      <w:r w:rsidR="00A15E44" w:rsidRPr="00892BAE">
        <w:rPr>
          <w:bCs/>
        </w:rPr>
        <w:t xml:space="preserve">able </w:t>
      </w:r>
      <w:r w:rsidRPr="00892BAE">
        <w:rPr>
          <w:bCs/>
        </w:rPr>
        <w:t>3.</w:t>
      </w:r>
    </w:p>
    <w:p w:rsidR="00892BAE" w:rsidRPr="00892BAE" w:rsidRDefault="00892BAE" w:rsidP="00892BAE">
      <w:pPr>
        <w:autoSpaceDE w:val="0"/>
        <w:autoSpaceDN w:val="0"/>
        <w:adjustRightInd w:val="0"/>
        <w:spacing w:after="120"/>
        <w:ind w:left="2268" w:right="1134"/>
        <w:rPr>
          <w:bCs/>
        </w:rPr>
      </w:pPr>
      <w:r w:rsidRPr="00892BAE">
        <w:rPr>
          <w:bCs/>
        </w:rPr>
        <w:t>…</w:t>
      </w:r>
    </w:p>
    <w:p w:rsidR="00892BAE" w:rsidRPr="00892BAE" w:rsidRDefault="00892BAE" w:rsidP="00892BAE">
      <w:pPr>
        <w:spacing w:line="240" w:lineRule="auto"/>
        <w:ind w:left="1134"/>
        <w:outlineLvl w:val="0"/>
      </w:pPr>
      <w:r w:rsidRPr="00892BAE">
        <w:t>Table 3</w:t>
      </w:r>
    </w:p>
    <w:p w:rsidR="00892BAE" w:rsidRPr="00892BAE" w:rsidRDefault="00892BAE" w:rsidP="00892BAE">
      <w:pPr>
        <w:spacing w:line="240" w:lineRule="auto"/>
        <w:ind w:left="1134"/>
        <w:outlineLvl w:val="0"/>
        <w:rPr>
          <w:b/>
        </w:rPr>
      </w:pPr>
      <w:r w:rsidRPr="00892BAE">
        <w:rPr>
          <w:b/>
        </w:rPr>
        <w:t>Coefficient of retro-reflection R' [cd.m</w:t>
      </w:r>
      <w:r w:rsidRPr="00892BAE">
        <w:rPr>
          <w:b/>
          <w:vertAlign w:val="superscript"/>
        </w:rPr>
        <w:t>-2</w:t>
      </w:r>
      <w:r w:rsidRPr="00892BAE">
        <w:rPr>
          <w:b/>
        </w:rPr>
        <w:t>.lx</w:t>
      </w:r>
      <w:r w:rsidRPr="00892BAE">
        <w:rPr>
          <w:b/>
          <w:vertAlign w:val="superscript"/>
        </w:rPr>
        <w:t>-1</w:t>
      </w:r>
      <w:r w:rsidRPr="00892BAE">
        <w:rPr>
          <w:b/>
        </w:rPr>
        <w:t>]</w:t>
      </w:r>
    </w:p>
    <w:tbl>
      <w:tblPr>
        <w:tblW w:w="8844"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2272"/>
        <w:gridCol w:w="1170"/>
        <w:gridCol w:w="1080"/>
        <w:gridCol w:w="1170"/>
        <w:gridCol w:w="974"/>
      </w:tblGrid>
      <w:tr w:rsidR="00892BAE" w:rsidRPr="00892BAE" w:rsidTr="0072095F">
        <w:tc>
          <w:tcPr>
            <w:tcW w:w="2178" w:type="dxa"/>
            <w:tcBorders>
              <w:bottom w:val="single" w:sz="12" w:space="0" w:color="auto"/>
            </w:tcBorders>
            <w:shd w:val="clear" w:color="auto" w:fill="auto"/>
          </w:tcPr>
          <w:p w:rsidR="00892BAE" w:rsidRPr="00892BAE" w:rsidRDefault="00892BAE" w:rsidP="00892BAE">
            <w:pPr>
              <w:autoSpaceDE w:val="0"/>
              <w:autoSpaceDN w:val="0"/>
              <w:adjustRightInd w:val="0"/>
              <w:jc w:val="center"/>
              <w:rPr>
                <w:bCs/>
                <w:i/>
                <w:sz w:val="16"/>
                <w:szCs w:val="16"/>
              </w:rPr>
            </w:pPr>
            <w:r w:rsidRPr="00892BAE">
              <w:rPr>
                <w:bCs/>
                <w:i/>
                <w:sz w:val="16"/>
                <w:szCs w:val="16"/>
              </w:rPr>
              <w:t>Observation angle α [']</w:t>
            </w:r>
          </w:p>
        </w:tc>
        <w:tc>
          <w:tcPr>
            <w:tcW w:w="6666" w:type="dxa"/>
            <w:gridSpan w:val="5"/>
            <w:tcBorders>
              <w:bottom w:val="single" w:sz="12" w:space="0" w:color="auto"/>
            </w:tcBorders>
            <w:shd w:val="clear" w:color="auto" w:fill="auto"/>
          </w:tcPr>
          <w:p w:rsidR="00892BAE" w:rsidRPr="00892BAE" w:rsidRDefault="00892BAE" w:rsidP="00892BAE">
            <w:pPr>
              <w:autoSpaceDE w:val="0"/>
              <w:autoSpaceDN w:val="0"/>
              <w:adjustRightInd w:val="0"/>
              <w:ind w:left="720" w:hanging="720"/>
              <w:jc w:val="center"/>
              <w:rPr>
                <w:bCs/>
                <w:i/>
                <w:sz w:val="16"/>
                <w:szCs w:val="16"/>
              </w:rPr>
            </w:pPr>
            <w:r w:rsidRPr="00892BAE">
              <w:rPr>
                <w:bCs/>
                <w:i/>
                <w:sz w:val="16"/>
                <w:szCs w:val="16"/>
              </w:rPr>
              <w:t xml:space="preserve"> Entrance angle β [°]</w:t>
            </w:r>
          </w:p>
        </w:tc>
      </w:tr>
      <w:tr w:rsidR="00892BAE" w:rsidRPr="00892BAE" w:rsidTr="0072095F">
        <w:tc>
          <w:tcPr>
            <w:tcW w:w="2178" w:type="dxa"/>
            <w:vMerge w:val="restart"/>
            <w:tcBorders>
              <w:top w:val="single" w:sz="12" w:space="0" w:color="auto"/>
            </w:tcBorders>
            <w:shd w:val="clear" w:color="auto" w:fill="auto"/>
          </w:tcPr>
          <w:p w:rsidR="00892BAE" w:rsidRPr="00892BAE" w:rsidRDefault="00892BAE" w:rsidP="00892BAE">
            <w:pPr>
              <w:autoSpaceDE w:val="0"/>
              <w:autoSpaceDN w:val="0"/>
              <w:adjustRightInd w:val="0"/>
              <w:jc w:val="center"/>
              <w:rPr>
                <w:bCs/>
                <w:sz w:val="18"/>
                <w:szCs w:val="18"/>
              </w:rPr>
            </w:pPr>
            <w:r w:rsidRPr="00892BAE">
              <w:rPr>
                <w:bCs/>
                <w:sz w:val="18"/>
                <w:szCs w:val="18"/>
              </w:rPr>
              <w:t>20'</w:t>
            </w:r>
          </w:p>
        </w:tc>
        <w:tc>
          <w:tcPr>
            <w:tcW w:w="2272" w:type="dxa"/>
            <w:tcBorders>
              <w:top w:val="single" w:sz="12" w:space="0" w:color="auto"/>
            </w:tcBorders>
            <w:shd w:val="clear" w:color="auto" w:fill="auto"/>
          </w:tcPr>
          <w:p w:rsidR="00892BAE" w:rsidRPr="00892BAE" w:rsidRDefault="00892BAE" w:rsidP="00892BAE">
            <w:pPr>
              <w:autoSpaceDE w:val="0"/>
              <w:autoSpaceDN w:val="0"/>
              <w:adjustRightInd w:val="0"/>
              <w:ind w:firstLine="720"/>
              <w:rPr>
                <w:bCs/>
                <w:sz w:val="18"/>
                <w:szCs w:val="18"/>
              </w:rPr>
            </w:pPr>
            <w:r w:rsidRPr="00892BAE">
              <w:rPr>
                <w:bCs/>
                <w:sz w:val="18"/>
                <w:szCs w:val="18"/>
              </w:rPr>
              <w:t>ß</w:t>
            </w:r>
            <w:r w:rsidRPr="00892BAE">
              <w:rPr>
                <w:bCs/>
                <w:sz w:val="18"/>
                <w:szCs w:val="18"/>
                <w:vertAlign w:val="subscript"/>
              </w:rPr>
              <w:t>1</w:t>
            </w:r>
            <w:r w:rsidRPr="00892BAE">
              <w:rPr>
                <w:bCs/>
                <w:sz w:val="18"/>
                <w:szCs w:val="18"/>
              </w:rPr>
              <w:t xml:space="preserve"> </w:t>
            </w:r>
          </w:p>
        </w:tc>
        <w:tc>
          <w:tcPr>
            <w:tcW w:w="1170" w:type="dxa"/>
            <w:tcBorders>
              <w:top w:val="single" w:sz="12" w:space="0" w:color="auto"/>
            </w:tcBorders>
            <w:shd w:val="clear" w:color="auto" w:fill="auto"/>
          </w:tcPr>
          <w:p w:rsidR="00892BAE" w:rsidRPr="00892BAE" w:rsidRDefault="00892BAE" w:rsidP="00892BAE">
            <w:pPr>
              <w:autoSpaceDE w:val="0"/>
              <w:autoSpaceDN w:val="0"/>
              <w:adjustRightInd w:val="0"/>
              <w:jc w:val="center"/>
              <w:rPr>
                <w:bCs/>
                <w:sz w:val="18"/>
                <w:szCs w:val="18"/>
              </w:rPr>
            </w:pPr>
            <w:r w:rsidRPr="00892BAE">
              <w:rPr>
                <w:bCs/>
                <w:sz w:val="18"/>
                <w:szCs w:val="18"/>
              </w:rPr>
              <w:t>0°</w:t>
            </w:r>
          </w:p>
        </w:tc>
        <w:tc>
          <w:tcPr>
            <w:tcW w:w="1080" w:type="dxa"/>
            <w:tcBorders>
              <w:top w:val="single" w:sz="12" w:space="0" w:color="auto"/>
            </w:tcBorders>
            <w:shd w:val="clear" w:color="auto" w:fill="auto"/>
          </w:tcPr>
          <w:p w:rsidR="00892BAE" w:rsidRPr="00892BAE" w:rsidRDefault="00892BAE" w:rsidP="00892BAE">
            <w:pPr>
              <w:autoSpaceDE w:val="0"/>
              <w:autoSpaceDN w:val="0"/>
              <w:adjustRightInd w:val="0"/>
              <w:jc w:val="center"/>
              <w:rPr>
                <w:bCs/>
                <w:sz w:val="18"/>
                <w:szCs w:val="18"/>
              </w:rPr>
            </w:pPr>
            <w:r w:rsidRPr="00892BAE">
              <w:rPr>
                <w:bCs/>
                <w:sz w:val="18"/>
                <w:szCs w:val="18"/>
              </w:rPr>
              <w:t>0°</w:t>
            </w:r>
          </w:p>
        </w:tc>
        <w:tc>
          <w:tcPr>
            <w:tcW w:w="1170" w:type="dxa"/>
            <w:tcBorders>
              <w:top w:val="single" w:sz="12" w:space="0" w:color="auto"/>
            </w:tcBorders>
            <w:shd w:val="clear" w:color="auto" w:fill="auto"/>
          </w:tcPr>
          <w:p w:rsidR="00892BAE" w:rsidRPr="00892BAE" w:rsidRDefault="00892BAE" w:rsidP="00892BAE">
            <w:pPr>
              <w:autoSpaceDE w:val="0"/>
              <w:autoSpaceDN w:val="0"/>
              <w:adjustRightInd w:val="0"/>
              <w:jc w:val="center"/>
              <w:rPr>
                <w:bCs/>
                <w:sz w:val="18"/>
                <w:szCs w:val="18"/>
              </w:rPr>
            </w:pPr>
            <w:r w:rsidRPr="00892BAE">
              <w:rPr>
                <w:bCs/>
                <w:sz w:val="18"/>
                <w:szCs w:val="18"/>
              </w:rPr>
              <w:t>0°</w:t>
            </w:r>
          </w:p>
        </w:tc>
        <w:tc>
          <w:tcPr>
            <w:tcW w:w="974" w:type="dxa"/>
            <w:tcBorders>
              <w:top w:val="single" w:sz="12" w:space="0" w:color="auto"/>
            </w:tcBorders>
            <w:shd w:val="clear" w:color="auto" w:fill="auto"/>
          </w:tcPr>
          <w:p w:rsidR="00892BAE" w:rsidRPr="00892BAE" w:rsidRDefault="00892BAE" w:rsidP="00892BAE">
            <w:pPr>
              <w:autoSpaceDE w:val="0"/>
              <w:autoSpaceDN w:val="0"/>
              <w:adjustRightInd w:val="0"/>
              <w:jc w:val="center"/>
              <w:rPr>
                <w:bCs/>
                <w:sz w:val="18"/>
                <w:szCs w:val="18"/>
              </w:rPr>
            </w:pPr>
            <w:r w:rsidRPr="00892BAE">
              <w:rPr>
                <w:bCs/>
                <w:sz w:val="18"/>
                <w:szCs w:val="18"/>
              </w:rPr>
              <w:t>0°</w:t>
            </w:r>
          </w:p>
        </w:tc>
      </w:tr>
      <w:tr w:rsidR="00892BAE" w:rsidRPr="00892BAE" w:rsidTr="0072095F">
        <w:tc>
          <w:tcPr>
            <w:tcW w:w="2178" w:type="dxa"/>
            <w:vMerge/>
            <w:shd w:val="clear" w:color="auto" w:fill="auto"/>
          </w:tcPr>
          <w:p w:rsidR="00892BAE" w:rsidRPr="00892BAE" w:rsidRDefault="00892BAE" w:rsidP="00892BAE">
            <w:pPr>
              <w:autoSpaceDE w:val="0"/>
              <w:autoSpaceDN w:val="0"/>
              <w:adjustRightInd w:val="0"/>
              <w:rPr>
                <w:bCs/>
                <w:sz w:val="18"/>
                <w:szCs w:val="18"/>
              </w:rPr>
            </w:pPr>
          </w:p>
        </w:tc>
        <w:tc>
          <w:tcPr>
            <w:tcW w:w="2272" w:type="dxa"/>
            <w:shd w:val="clear" w:color="auto" w:fill="auto"/>
          </w:tcPr>
          <w:p w:rsidR="00892BAE" w:rsidRPr="00892BAE" w:rsidRDefault="00892BAE" w:rsidP="00892BAE">
            <w:pPr>
              <w:autoSpaceDE w:val="0"/>
              <w:autoSpaceDN w:val="0"/>
              <w:adjustRightInd w:val="0"/>
              <w:ind w:firstLine="720"/>
              <w:rPr>
                <w:bCs/>
                <w:sz w:val="18"/>
                <w:szCs w:val="18"/>
              </w:rPr>
            </w:pPr>
            <w:r w:rsidRPr="00892BAE">
              <w:rPr>
                <w:bCs/>
                <w:sz w:val="18"/>
                <w:szCs w:val="18"/>
              </w:rPr>
              <w:t>ß</w:t>
            </w:r>
            <w:r w:rsidRPr="00892BAE">
              <w:rPr>
                <w:bCs/>
                <w:sz w:val="18"/>
                <w:szCs w:val="18"/>
                <w:vertAlign w:val="subscript"/>
              </w:rPr>
              <w:t>2</w:t>
            </w:r>
          </w:p>
        </w:tc>
        <w:tc>
          <w:tcPr>
            <w:tcW w:w="1170" w:type="dxa"/>
            <w:shd w:val="clear" w:color="auto" w:fill="auto"/>
          </w:tcPr>
          <w:p w:rsidR="00892BAE" w:rsidRPr="00892BAE" w:rsidRDefault="00892BAE" w:rsidP="00892BAE">
            <w:pPr>
              <w:autoSpaceDE w:val="0"/>
              <w:autoSpaceDN w:val="0"/>
              <w:adjustRightInd w:val="0"/>
              <w:jc w:val="center"/>
              <w:rPr>
                <w:bCs/>
                <w:sz w:val="18"/>
                <w:szCs w:val="18"/>
              </w:rPr>
            </w:pPr>
            <w:r w:rsidRPr="00892BAE">
              <w:rPr>
                <w:bCs/>
                <w:sz w:val="18"/>
                <w:szCs w:val="18"/>
              </w:rPr>
              <w:t>5°</w:t>
            </w:r>
          </w:p>
        </w:tc>
        <w:tc>
          <w:tcPr>
            <w:tcW w:w="1080" w:type="dxa"/>
            <w:shd w:val="clear" w:color="auto" w:fill="auto"/>
          </w:tcPr>
          <w:p w:rsidR="00892BAE" w:rsidRPr="00892BAE" w:rsidRDefault="00892BAE" w:rsidP="00892BAE">
            <w:pPr>
              <w:autoSpaceDE w:val="0"/>
              <w:autoSpaceDN w:val="0"/>
              <w:adjustRightInd w:val="0"/>
              <w:jc w:val="center"/>
              <w:rPr>
                <w:bCs/>
                <w:sz w:val="18"/>
                <w:szCs w:val="18"/>
              </w:rPr>
            </w:pPr>
            <w:r w:rsidRPr="00892BAE">
              <w:rPr>
                <w:bCs/>
                <w:sz w:val="18"/>
                <w:szCs w:val="18"/>
              </w:rPr>
              <w:t>30°</w:t>
            </w:r>
          </w:p>
        </w:tc>
        <w:tc>
          <w:tcPr>
            <w:tcW w:w="1170" w:type="dxa"/>
            <w:shd w:val="clear" w:color="auto" w:fill="auto"/>
          </w:tcPr>
          <w:p w:rsidR="00892BAE" w:rsidRPr="00892BAE" w:rsidRDefault="00892BAE" w:rsidP="00892BAE">
            <w:pPr>
              <w:autoSpaceDE w:val="0"/>
              <w:autoSpaceDN w:val="0"/>
              <w:adjustRightInd w:val="0"/>
              <w:jc w:val="center"/>
              <w:rPr>
                <w:bCs/>
                <w:sz w:val="18"/>
                <w:szCs w:val="18"/>
              </w:rPr>
            </w:pPr>
            <w:r w:rsidRPr="00892BAE">
              <w:rPr>
                <w:bCs/>
                <w:sz w:val="18"/>
                <w:szCs w:val="18"/>
              </w:rPr>
              <w:t>40°</w:t>
            </w:r>
          </w:p>
        </w:tc>
        <w:tc>
          <w:tcPr>
            <w:tcW w:w="974" w:type="dxa"/>
            <w:shd w:val="clear" w:color="auto" w:fill="auto"/>
          </w:tcPr>
          <w:p w:rsidR="00892BAE" w:rsidRPr="00892BAE" w:rsidRDefault="00892BAE" w:rsidP="00892BAE">
            <w:pPr>
              <w:autoSpaceDE w:val="0"/>
              <w:autoSpaceDN w:val="0"/>
              <w:adjustRightInd w:val="0"/>
              <w:jc w:val="center"/>
              <w:rPr>
                <w:bCs/>
                <w:sz w:val="18"/>
                <w:szCs w:val="18"/>
              </w:rPr>
            </w:pPr>
            <w:r w:rsidRPr="00892BAE">
              <w:rPr>
                <w:bCs/>
                <w:sz w:val="18"/>
                <w:szCs w:val="18"/>
              </w:rPr>
              <w:t>60°</w:t>
            </w:r>
          </w:p>
        </w:tc>
      </w:tr>
      <w:tr w:rsidR="00892BAE" w:rsidRPr="00892BAE" w:rsidTr="0072095F">
        <w:trPr>
          <w:trHeight w:val="548"/>
        </w:trPr>
        <w:tc>
          <w:tcPr>
            <w:tcW w:w="2178" w:type="dxa"/>
            <w:tcBorders>
              <w:bottom w:val="single" w:sz="12" w:space="0" w:color="auto"/>
            </w:tcBorders>
            <w:shd w:val="clear" w:color="auto" w:fill="auto"/>
          </w:tcPr>
          <w:p w:rsidR="00892BAE" w:rsidRPr="00892BAE" w:rsidRDefault="00892BAE" w:rsidP="00892BAE">
            <w:pPr>
              <w:autoSpaceDE w:val="0"/>
              <w:autoSpaceDN w:val="0"/>
              <w:adjustRightInd w:val="0"/>
              <w:jc w:val="center"/>
              <w:rPr>
                <w:bCs/>
                <w:sz w:val="18"/>
                <w:szCs w:val="18"/>
                <w:lang w:val="fr-CH"/>
              </w:rPr>
            </w:pPr>
            <w:r w:rsidRPr="00892BAE">
              <w:rPr>
                <w:bCs/>
                <w:sz w:val="18"/>
                <w:szCs w:val="18"/>
                <w:lang w:val="fr-CH"/>
              </w:rPr>
              <w:t xml:space="preserve">Coefficient R' </w:t>
            </w:r>
            <w:r w:rsidRPr="00892BAE">
              <w:rPr>
                <w:bCs/>
                <w:sz w:val="18"/>
                <w:szCs w:val="18"/>
                <w:lang w:val="fr-CH"/>
              </w:rPr>
              <w:br/>
              <w:t>[cd.m</w:t>
            </w:r>
            <w:r w:rsidRPr="00892BAE">
              <w:rPr>
                <w:bCs/>
                <w:sz w:val="18"/>
                <w:szCs w:val="18"/>
                <w:vertAlign w:val="superscript"/>
                <w:lang w:val="fr-CH"/>
              </w:rPr>
              <w:t>-2</w:t>
            </w:r>
            <w:r w:rsidRPr="00892BAE">
              <w:rPr>
                <w:bCs/>
                <w:sz w:val="18"/>
                <w:szCs w:val="18"/>
                <w:lang w:val="fr-CH"/>
              </w:rPr>
              <w:t>.lx</w:t>
            </w:r>
            <w:r w:rsidRPr="00892BAE">
              <w:rPr>
                <w:bCs/>
                <w:sz w:val="18"/>
                <w:szCs w:val="18"/>
                <w:vertAlign w:val="superscript"/>
                <w:lang w:val="fr-CH"/>
              </w:rPr>
              <w:t>-1</w:t>
            </w:r>
            <w:r w:rsidRPr="00892BAE">
              <w:rPr>
                <w:bCs/>
                <w:sz w:val="18"/>
                <w:szCs w:val="18"/>
                <w:lang w:val="fr-CH"/>
              </w:rPr>
              <w:t>]</w:t>
            </w:r>
          </w:p>
        </w:tc>
        <w:tc>
          <w:tcPr>
            <w:tcW w:w="2272" w:type="dxa"/>
            <w:tcBorders>
              <w:bottom w:val="single" w:sz="12" w:space="0" w:color="auto"/>
            </w:tcBorders>
            <w:shd w:val="clear" w:color="auto" w:fill="auto"/>
          </w:tcPr>
          <w:p w:rsidR="00892BAE" w:rsidRPr="00892BAE" w:rsidRDefault="00892BAE" w:rsidP="00892BAE">
            <w:pPr>
              <w:autoSpaceDE w:val="0"/>
              <w:autoSpaceDN w:val="0"/>
              <w:adjustRightInd w:val="0"/>
              <w:ind w:left="363"/>
              <w:rPr>
                <w:bCs/>
                <w:sz w:val="18"/>
                <w:szCs w:val="18"/>
              </w:rPr>
            </w:pPr>
            <w:r w:rsidRPr="00892BAE">
              <w:rPr>
                <w:bCs/>
                <w:sz w:val="18"/>
                <w:szCs w:val="18"/>
              </w:rPr>
              <w:t>Colour:</w:t>
            </w:r>
            <w:r w:rsidRPr="00892BAE">
              <w:t xml:space="preserve"> </w:t>
            </w:r>
            <w:r w:rsidRPr="00892BAE">
              <w:tab/>
            </w:r>
            <w:r w:rsidRPr="00892BAE">
              <w:rPr>
                <w:bCs/>
                <w:sz w:val="18"/>
                <w:szCs w:val="18"/>
              </w:rPr>
              <w:t>White</w:t>
            </w:r>
            <w:r w:rsidRPr="00892BAE">
              <w:rPr>
                <w:bCs/>
                <w:sz w:val="18"/>
                <w:szCs w:val="18"/>
              </w:rPr>
              <w:br/>
            </w:r>
            <w:r w:rsidRPr="00892BAE">
              <w:tab/>
            </w:r>
            <w:r w:rsidRPr="00892BAE">
              <w:tab/>
            </w:r>
            <w:r w:rsidRPr="00892BAE">
              <w:rPr>
                <w:bCs/>
                <w:sz w:val="18"/>
                <w:szCs w:val="18"/>
              </w:rPr>
              <w:t>Red</w:t>
            </w:r>
          </w:p>
        </w:tc>
        <w:tc>
          <w:tcPr>
            <w:tcW w:w="1170" w:type="dxa"/>
            <w:tcBorders>
              <w:bottom w:val="single" w:sz="12" w:space="0" w:color="auto"/>
            </w:tcBorders>
            <w:shd w:val="clear" w:color="auto" w:fill="auto"/>
          </w:tcPr>
          <w:p w:rsidR="00892BAE" w:rsidRPr="00892BAE" w:rsidRDefault="00892BAE" w:rsidP="00892BAE">
            <w:pPr>
              <w:autoSpaceDE w:val="0"/>
              <w:autoSpaceDN w:val="0"/>
              <w:adjustRightInd w:val="0"/>
              <w:jc w:val="center"/>
              <w:rPr>
                <w:bCs/>
                <w:sz w:val="18"/>
                <w:szCs w:val="18"/>
              </w:rPr>
            </w:pPr>
            <w:r w:rsidRPr="00892BAE">
              <w:rPr>
                <w:bCs/>
                <w:sz w:val="18"/>
                <w:szCs w:val="18"/>
              </w:rPr>
              <w:t>450</w:t>
            </w:r>
            <w:r w:rsidRPr="00892BAE">
              <w:rPr>
                <w:bCs/>
                <w:sz w:val="18"/>
                <w:szCs w:val="18"/>
              </w:rPr>
              <w:br/>
              <w:t>120</w:t>
            </w:r>
          </w:p>
        </w:tc>
        <w:tc>
          <w:tcPr>
            <w:tcW w:w="1080" w:type="dxa"/>
            <w:tcBorders>
              <w:bottom w:val="single" w:sz="12" w:space="0" w:color="auto"/>
            </w:tcBorders>
            <w:shd w:val="clear" w:color="auto" w:fill="auto"/>
          </w:tcPr>
          <w:p w:rsidR="00892BAE" w:rsidRPr="00892BAE" w:rsidRDefault="00892BAE" w:rsidP="00892BAE">
            <w:pPr>
              <w:autoSpaceDE w:val="0"/>
              <w:autoSpaceDN w:val="0"/>
              <w:adjustRightInd w:val="0"/>
              <w:jc w:val="center"/>
              <w:rPr>
                <w:bCs/>
                <w:sz w:val="18"/>
                <w:szCs w:val="18"/>
              </w:rPr>
            </w:pPr>
            <w:r w:rsidRPr="00892BAE">
              <w:rPr>
                <w:bCs/>
                <w:sz w:val="18"/>
                <w:szCs w:val="18"/>
              </w:rPr>
              <w:t>200</w:t>
            </w:r>
            <w:r w:rsidRPr="00892BAE">
              <w:rPr>
                <w:bCs/>
                <w:sz w:val="18"/>
                <w:szCs w:val="18"/>
              </w:rPr>
              <w:br/>
              <w:t>30</w:t>
            </w:r>
          </w:p>
        </w:tc>
        <w:tc>
          <w:tcPr>
            <w:tcW w:w="1170" w:type="dxa"/>
            <w:tcBorders>
              <w:bottom w:val="single" w:sz="12" w:space="0" w:color="auto"/>
            </w:tcBorders>
            <w:shd w:val="clear" w:color="auto" w:fill="auto"/>
          </w:tcPr>
          <w:p w:rsidR="00892BAE" w:rsidRPr="00892BAE" w:rsidRDefault="00892BAE" w:rsidP="00892BAE">
            <w:pPr>
              <w:autoSpaceDE w:val="0"/>
              <w:autoSpaceDN w:val="0"/>
              <w:adjustRightInd w:val="0"/>
              <w:jc w:val="center"/>
              <w:rPr>
                <w:bCs/>
                <w:sz w:val="18"/>
                <w:szCs w:val="18"/>
              </w:rPr>
            </w:pPr>
            <w:r w:rsidRPr="00892BAE">
              <w:rPr>
                <w:bCs/>
                <w:sz w:val="18"/>
                <w:szCs w:val="18"/>
              </w:rPr>
              <w:t>90</w:t>
            </w:r>
            <w:r w:rsidRPr="00892BAE">
              <w:rPr>
                <w:bCs/>
                <w:sz w:val="18"/>
                <w:szCs w:val="18"/>
              </w:rPr>
              <w:br/>
              <w:t>10</w:t>
            </w:r>
          </w:p>
        </w:tc>
        <w:tc>
          <w:tcPr>
            <w:tcW w:w="974" w:type="dxa"/>
            <w:tcBorders>
              <w:bottom w:val="single" w:sz="12" w:space="0" w:color="auto"/>
            </w:tcBorders>
            <w:shd w:val="clear" w:color="auto" w:fill="auto"/>
          </w:tcPr>
          <w:p w:rsidR="00892BAE" w:rsidRPr="00892BAE" w:rsidRDefault="00892BAE" w:rsidP="00892BAE">
            <w:pPr>
              <w:autoSpaceDE w:val="0"/>
              <w:autoSpaceDN w:val="0"/>
              <w:adjustRightInd w:val="0"/>
              <w:jc w:val="center"/>
              <w:rPr>
                <w:bCs/>
                <w:sz w:val="18"/>
                <w:szCs w:val="18"/>
              </w:rPr>
            </w:pPr>
            <w:r w:rsidRPr="00892BAE">
              <w:rPr>
                <w:bCs/>
                <w:sz w:val="18"/>
                <w:szCs w:val="18"/>
              </w:rPr>
              <w:t>16</w:t>
            </w:r>
            <w:r w:rsidRPr="00892BAE">
              <w:rPr>
                <w:bCs/>
                <w:sz w:val="18"/>
                <w:szCs w:val="18"/>
              </w:rPr>
              <w:br/>
              <w:t>2</w:t>
            </w:r>
          </w:p>
        </w:tc>
      </w:tr>
    </w:tbl>
    <w:p w:rsidR="00892BAE" w:rsidRPr="00892BAE" w:rsidRDefault="00892BAE" w:rsidP="00892BAE">
      <w:pPr>
        <w:autoSpaceDE w:val="0"/>
        <w:autoSpaceDN w:val="0"/>
        <w:adjustRightInd w:val="0"/>
        <w:spacing w:after="120"/>
        <w:ind w:left="1134"/>
        <w:jc w:val="right"/>
        <w:rPr>
          <w:bCs/>
        </w:rPr>
      </w:pPr>
      <w:r w:rsidRPr="00892BAE">
        <w:rPr>
          <w:bCs/>
        </w:rPr>
        <w:t>"</w:t>
      </w:r>
    </w:p>
    <w:p w:rsidR="00892BAE" w:rsidRPr="00892BAE" w:rsidRDefault="00892BAE" w:rsidP="00892BAE">
      <w:pPr>
        <w:autoSpaceDE w:val="0"/>
        <w:autoSpaceDN w:val="0"/>
        <w:adjustRightInd w:val="0"/>
        <w:spacing w:before="240" w:after="120"/>
        <w:ind w:left="1134"/>
        <w:rPr>
          <w:bCs/>
        </w:rPr>
      </w:pPr>
      <w:r w:rsidRPr="00892BAE">
        <w:rPr>
          <w:bCs/>
          <w:i/>
        </w:rPr>
        <w:t xml:space="preserve">Paragraph 1.3., </w:t>
      </w:r>
      <w:r>
        <w:rPr>
          <w:bCs/>
          <w:i/>
        </w:rPr>
        <w:t>T</w:t>
      </w:r>
      <w:r w:rsidRPr="00892BAE">
        <w:rPr>
          <w:bCs/>
          <w:i/>
        </w:rPr>
        <w:t xml:space="preserve">able 3, </w:t>
      </w:r>
      <w:r w:rsidRPr="00892BAE">
        <w:rPr>
          <w:bCs/>
        </w:rPr>
        <w:t xml:space="preserve">renumber as </w:t>
      </w:r>
      <w:r>
        <w:rPr>
          <w:bCs/>
        </w:rPr>
        <w:t>T</w:t>
      </w:r>
      <w:r w:rsidRPr="00892BAE">
        <w:rPr>
          <w:bCs/>
        </w:rPr>
        <w:t>able 4 and amend to read:</w:t>
      </w:r>
    </w:p>
    <w:p w:rsidR="00892BAE" w:rsidRPr="00892BAE" w:rsidRDefault="00892BAE" w:rsidP="005D6CBB">
      <w:pPr>
        <w:spacing w:line="240" w:lineRule="auto"/>
        <w:ind w:left="1134"/>
        <w:outlineLvl w:val="0"/>
      </w:pPr>
      <w:r w:rsidRPr="00892BAE">
        <w:t>"Table 4</w:t>
      </w:r>
    </w:p>
    <w:p w:rsidR="00892BAE" w:rsidRPr="00892BAE" w:rsidRDefault="00892BAE" w:rsidP="005D6CBB">
      <w:pPr>
        <w:spacing w:line="240" w:lineRule="auto"/>
        <w:ind w:left="1134"/>
        <w:outlineLvl w:val="0"/>
        <w:rPr>
          <w:b/>
        </w:rPr>
      </w:pPr>
      <w:r w:rsidRPr="00892BAE">
        <w:rPr>
          <w:b/>
        </w:rPr>
        <w:t>Luminance factor β</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2520"/>
      </w:tblGrid>
      <w:tr w:rsidR="00892BAE" w:rsidRPr="00892BAE" w:rsidTr="005D6CBB">
        <w:tc>
          <w:tcPr>
            <w:tcW w:w="2520" w:type="dxa"/>
            <w:tcBorders>
              <w:bottom w:val="single" w:sz="12" w:space="0" w:color="auto"/>
            </w:tcBorders>
            <w:shd w:val="clear" w:color="auto" w:fill="auto"/>
          </w:tcPr>
          <w:p w:rsidR="00892BAE" w:rsidRPr="00892BAE" w:rsidRDefault="00892BAE" w:rsidP="005D6CBB">
            <w:pPr>
              <w:autoSpaceDE w:val="0"/>
              <w:autoSpaceDN w:val="0"/>
              <w:adjustRightInd w:val="0"/>
              <w:ind w:left="142"/>
              <w:rPr>
                <w:bCs/>
                <w:i/>
                <w:sz w:val="16"/>
                <w:szCs w:val="16"/>
              </w:rPr>
            </w:pPr>
            <w:r w:rsidRPr="00892BAE">
              <w:rPr>
                <w:bCs/>
                <w:i/>
                <w:sz w:val="16"/>
                <w:szCs w:val="16"/>
              </w:rPr>
              <w:t>Colour</w:t>
            </w:r>
          </w:p>
        </w:tc>
        <w:tc>
          <w:tcPr>
            <w:tcW w:w="2520" w:type="dxa"/>
            <w:tcBorders>
              <w:bottom w:val="single" w:sz="12" w:space="0" w:color="auto"/>
            </w:tcBorders>
            <w:shd w:val="clear" w:color="auto" w:fill="auto"/>
          </w:tcPr>
          <w:p w:rsidR="00892BAE" w:rsidRPr="00892BAE" w:rsidRDefault="00892BAE" w:rsidP="005D6CBB">
            <w:pPr>
              <w:autoSpaceDE w:val="0"/>
              <w:autoSpaceDN w:val="0"/>
              <w:adjustRightInd w:val="0"/>
              <w:ind w:left="1134"/>
              <w:jc w:val="center"/>
              <w:rPr>
                <w:bCs/>
                <w:i/>
                <w:sz w:val="16"/>
                <w:szCs w:val="16"/>
              </w:rPr>
            </w:pPr>
            <w:r w:rsidRPr="00892BAE">
              <w:rPr>
                <w:bCs/>
                <w:i/>
                <w:sz w:val="16"/>
                <w:szCs w:val="16"/>
              </w:rPr>
              <w:t>Luminance factor β</w:t>
            </w:r>
          </w:p>
        </w:tc>
      </w:tr>
      <w:tr w:rsidR="00892BAE" w:rsidRPr="00892BAE" w:rsidTr="005D6CBB">
        <w:tc>
          <w:tcPr>
            <w:tcW w:w="2520" w:type="dxa"/>
            <w:tcBorders>
              <w:top w:val="single" w:sz="12" w:space="0" w:color="auto"/>
            </w:tcBorders>
            <w:shd w:val="clear" w:color="auto" w:fill="auto"/>
          </w:tcPr>
          <w:p w:rsidR="00892BAE" w:rsidRPr="00892BAE" w:rsidRDefault="00892BAE" w:rsidP="005D6CBB">
            <w:pPr>
              <w:autoSpaceDE w:val="0"/>
              <w:autoSpaceDN w:val="0"/>
              <w:adjustRightInd w:val="0"/>
              <w:ind w:left="142"/>
              <w:rPr>
                <w:bCs/>
                <w:sz w:val="18"/>
                <w:szCs w:val="18"/>
              </w:rPr>
            </w:pPr>
            <w:r w:rsidRPr="00892BAE">
              <w:rPr>
                <w:bCs/>
                <w:sz w:val="18"/>
                <w:szCs w:val="18"/>
              </w:rPr>
              <w:t>Red</w:t>
            </w:r>
          </w:p>
        </w:tc>
        <w:tc>
          <w:tcPr>
            <w:tcW w:w="2520" w:type="dxa"/>
            <w:tcBorders>
              <w:top w:val="single" w:sz="12" w:space="0" w:color="auto"/>
            </w:tcBorders>
            <w:shd w:val="clear" w:color="auto" w:fill="auto"/>
          </w:tcPr>
          <w:p w:rsidR="00892BAE" w:rsidRPr="00892BAE" w:rsidRDefault="00892BAE" w:rsidP="005D6CBB">
            <w:pPr>
              <w:autoSpaceDE w:val="0"/>
              <w:autoSpaceDN w:val="0"/>
              <w:adjustRightInd w:val="0"/>
              <w:ind w:left="1134"/>
              <w:jc w:val="center"/>
              <w:rPr>
                <w:bCs/>
                <w:sz w:val="18"/>
                <w:szCs w:val="18"/>
              </w:rPr>
            </w:pPr>
            <w:r w:rsidRPr="00892BAE">
              <w:rPr>
                <w:bCs/>
                <w:sz w:val="18"/>
                <w:szCs w:val="18"/>
              </w:rPr>
              <w:t>≥ 0.03</w:t>
            </w:r>
          </w:p>
        </w:tc>
      </w:tr>
      <w:tr w:rsidR="00892BAE" w:rsidRPr="00892BAE" w:rsidTr="005D6CBB">
        <w:tc>
          <w:tcPr>
            <w:tcW w:w="2520" w:type="dxa"/>
            <w:tcBorders>
              <w:bottom w:val="single" w:sz="4" w:space="0" w:color="auto"/>
            </w:tcBorders>
            <w:shd w:val="clear" w:color="auto" w:fill="auto"/>
          </w:tcPr>
          <w:p w:rsidR="00892BAE" w:rsidRPr="00892BAE" w:rsidRDefault="00892BAE" w:rsidP="005D6CBB">
            <w:pPr>
              <w:autoSpaceDE w:val="0"/>
              <w:autoSpaceDN w:val="0"/>
              <w:adjustRightInd w:val="0"/>
              <w:ind w:left="142"/>
              <w:rPr>
                <w:bCs/>
                <w:sz w:val="18"/>
                <w:szCs w:val="18"/>
              </w:rPr>
            </w:pPr>
            <w:r w:rsidRPr="00892BAE">
              <w:rPr>
                <w:bCs/>
                <w:sz w:val="18"/>
                <w:szCs w:val="18"/>
              </w:rPr>
              <w:t>Yellow</w:t>
            </w:r>
          </w:p>
        </w:tc>
        <w:tc>
          <w:tcPr>
            <w:tcW w:w="2520" w:type="dxa"/>
            <w:tcBorders>
              <w:bottom w:val="single" w:sz="4" w:space="0" w:color="auto"/>
            </w:tcBorders>
            <w:shd w:val="clear" w:color="auto" w:fill="auto"/>
          </w:tcPr>
          <w:p w:rsidR="00892BAE" w:rsidRPr="00892BAE" w:rsidRDefault="00892BAE" w:rsidP="005D6CBB">
            <w:pPr>
              <w:autoSpaceDE w:val="0"/>
              <w:autoSpaceDN w:val="0"/>
              <w:adjustRightInd w:val="0"/>
              <w:ind w:left="1134"/>
              <w:jc w:val="center"/>
              <w:rPr>
                <w:bCs/>
                <w:sz w:val="18"/>
                <w:szCs w:val="18"/>
              </w:rPr>
            </w:pPr>
            <w:r w:rsidRPr="00892BAE">
              <w:rPr>
                <w:bCs/>
                <w:sz w:val="18"/>
                <w:szCs w:val="18"/>
              </w:rPr>
              <w:t>≥ 0.16</w:t>
            </w:r>
          </w:p>
        </w:tc>
      </w:tr>
      <w:tr w:rsidR="00892BAE" w:rsidRPr="00892BAE" w:rsidTr="005D6CBB">
        <w:tc>
          <w:tcPr>
            <w:tcW w:w="2520" w:type="dxa"/>
            <w:tcBorders>
              <w:bottom w:val="single" w:sz="12" w:space="0" w:color="auto"/>
            </w:tcBorders>
            <w:shd w:val="clear" w:color="auto" w:fill="auto"/>
          </w:tcPr>
          <w:p w:rsidR="00892BAE" w:rsidRPr="00892BAE" w:rsidRDefault="00892BAE" w:rsidP="005D6CBB">
            <w:pPr>
              <w:autoSpaceDE w:val="0"/>
              <w:autoSpaceDN w:val="0"/>
              <w:adjustRightInd w:val="0"/>
              <w:ind w:left="142"/>
              <w:rPr>
                <w:bCs/>
                <w:sz w:val="18"/>
                <w:szCs w:val="18"/>
              </w:rPr>
            </w:pPr>
            <w:r w:rsidRPr="00892BAE">
              <w:rPr>
                <w:bCs/>
                <w:sz w:val="18"/>
                <w:szCs w:val="18"/>
              </w:rPr>
              <w:t>White</w:t>
            </w:r>
          </w:p>
        </w:tc>
        <w:tc>
          <w:tcPr>
            <w:tcW w:w="2520" w:type="dxa"/>
            <w:tcBorders>
              <w:bottom w:val="single" w:sz="12" w:space="0" w:color="auto"/>
            </w:tcBorders>
            <w:shd w:val="clear" w:color="auto" w:fill="auto"/>
          </w:tcPr>
          <w:p w:rsidR="00892BAE" w:rsidRPr="00892BAE" w:rsidRDefault="00892BAE" w:rsidP="005D6CBB">
            <w:pPr>
              <w:autoSpaceDE w:val="0"/>
              <w:autoSpaceDN w:val="0"/>
              <w:adjustRightInd w:val="0"/>
              <w:ind w:left="1134"/>
              <w:jc w:val="center"/>
              <w:rPr>
                <w:bCs/>
                <w:sz w:val="18"/>
                <w:szCs w:val="18"/>
              </w:rPr>
            </w:pPr>
            <w:r w:rsidRPr="00892BAE">
              <w:rPr>
                <w:bCs/>
                <w:sz w:val="18"/>
                <w:szCs w:val="18"/>
              </w:rPr>
              <w:t>≥ 0.25</w:t>
            </w:r>
          </w:p>
        </w:tc>
      </w:tr>
    </w:tbl>
    <w:p w:rsidR="00892BAE" w:rsidRPr="00892BAE" w:rsidRDefault="00892BAE" w:rsidP="005D6CBB">
      <w:pPr>
        <w:autoSpaceDE w:val="0"/>
        <w:autoSpaceDN w:val="0"/>
        <w:adjustRightInd w:val="0"/>
        <w:spacing w:after="120"/>
        <w:ind w:left="1134" w:firstLine="567"/>
        <w:rPr>
          <w:bCs/>
        </w:rPr>
      </w:pPr>
      <w:r w:rsidRPr="00892BAE">
        <w:rPr>
          <w:bCs/>
        </w:rPr>
        <w:t>"</w:t>
      </w:r>
    </w:p>
    <w:p w:rsidR="00892BAE" w:rsidRDefault="00892BAE" w:rsidP="005D6CBB">
      <w:pPr>
        <w:keepNext/>
        <w:keepLines/>
        <w:autoSpaceDE w:val="0"/>
        <w:autoSpaceDN w:val="0"/>
        <w:adjustRightInd w:val="0"/>
        <w:spacing w:before="240" w:after="120"/>
        <w:ind w:left="1134"/>
        <w:rPr>
          <w:bCs/>
          <w:i/>
        </w:rPr>
      </w:pPr>
      <w:r w:rsidRPr="00892BAE">
        <w:rPr>
          <w:bCs/>
          <w:i/>
        </w:rPr>
        <w:t xml:space="preserve">Annex 12, </w:t>
      </w:r>
    </w:p>
    <w:p w:rsidR="00892BAE" w:rsidRPr="00892BAE" w:rsidRDefault="00892BAE" w:rsidP="005D6CBB">
      <w:pPr>
        <w:keepNext/>
        <w:keepLines/>
        <w:autoSpaceDE w:val="0"/>
        <w:autoSpaceDN w:val="0"/>
        <w:adjustRightInd w:val="0"/>
        <w:spacing w:before="240" w:after="120"/>
        <w:ind w:left="1134"/>
        <w:rPr>
          <w:bCs/>
        </w:rPr>
      </w:pPr>
      <w:r>
        <w:rPr>
          <w:bCs/>
          <w:i/>
        </w:rPr>
        <w:t>A</w:t>
      </w:r>
      <w:r w:rsidRPr="00892BAE">
        <w:rPr>
          <w:bCs/>
          <w:i/>
        </w:rPr>
        <w:t xml:space="preserve">fter Figure 2, </w:t>
      </w:r>
      <w:r w:rsidRPr="00892BAE">
        <w:rPr>
          <w:bCs/>
        </w:rPr>
        <w:t xml:space="preserve">insert a new title and new </w:t>
      </w:r>
      <w:r>
        <w:rPr>
          <w:bCs/>
        </w:rPr>
        <w:t>F</w:t>
      </w:r>
      <w:r w:rsidRPr="00892BAE">
        <w:rPr>
          <w:bCs/>
        </w:rPr>
        <w:t>igures 3a and 3b to read:</w:t>
      </w:r>
    </w:p>
    <w:p w:rsidR="00892BAE" w:rsidRPr="00892BAE" w:rsidRDefault="00892BAE" w:rsidP="005D6CBB">
      <w:pPr>
        <w:keepNext/>
        <w:keepLines/>
        <w:autoSpaceDE w:val="0"/>
        <w:autoSpaceDN w:val="0"/>
        <w:adjustRightInd w:val="0"/>
        <w:ind w:left="1134"/>
      </w:pPr>
      <w:r w:rsidRPr="00892BAE">
        <w:rPr>
          <w:sz w:val="28"/>
          <w:szCs w:val="28"/>
        </w:rPr>
        <w:t>"</w:t>
      </w:r>
      <w:r w:rsidRPr="00892BAE">
        <w:t>Rear marking plates (Class 5)</w:t>
      </w:r>
    </w:p>
    <w:p w:rsidR="00892BAE" w:rsidRPr="00892BAE" w:rsidRDefault="00892BAE" w:rsidP="005D6CBB">
      <w:pPr>
        <w:keepNext/>
        <w:keepLines/>
        <w:autoSpaceDE w:val="0"/>
        <w:autoSpaceDN w:val="0"/>
        <w:adjustRightInd w:val="0"/>
        <w:spacing w:before="120"/>
        <w:ind w:left="1134"/>
        <w:rPr>
          <w:sz w:val="28"/>
          <w:szCs w:val="28"/>
        </w:rPr>
      </w:pPr>
      <w:r w:rsidRPr="00892BAE">
        <w:rPr>
          <w:bCs/>
        </w:rPr>
        <w:t>Figure 3a</w:t>
      </w:r>
    </w:p>
    <w:p w:rsidR="00892BAE" w:rsidRPr="00892BAE" w:rsidRDefault="000C463F" w:rsidP="005A2209">
      <w:pPr>
        <w:autoSpaceDE w:val="0"/>
        <w:autoSpaceDN w:val="0"/>
        <w:adjustRightInd w:val="0"/>
        <w:ind w:left="1134"/>
        <w:rPr>
          <w:bCs/>
        </w:rPr>
      </w:pPr>
      <w:r>
        <w:rPr>
          <w:noProof/>
        </w:rPr>
        <w:pict>
          <v:shape id="Bild 7" o:spid="_x0000_s1029" type="#_x0000_t75" style="position:absolute;left:0;text-align:left;margin-left:254.05pt;margin-top:40.2pt;width:200.45pt;height:171.9pt;z-index:251658240;visibility:visible">
            <v:imagedata r:id="rId9" o:title="" cropbottom="1420f"/>
          </v:shape>
        </w:pict>
      </w:r>
      <w:r>
        <w:rPr>
          <w:noProof/>
          <w:lang w:val="en-US"/>
        </w:rPr>
        <w:pict>
          <v:shape id="Picture 4" o:spid="_x0000_i1025" type="#_x0000_t75" style="width:176.4pt;height:202.2pt;visibility:visible">
            <v:imagedata r:id="rId10" o:title=""/>
          </v:shape>
        </w:pict>
      </w:r>
    </w:p>
    <w:p w:rsidR="00892BAE" w:rsidRPr="00892BAE" w:rsidRDefault="00892BAE" w:rsidP="00892BAE">
      <w:pPr>
        <w:keepNext/>
        <w:keepLines/>
        <w:tabs>
          <w:tab w:val="left" w:pos="2268"/>
        </w:tabs>
        <w:spacing w:line="240" w:lineRule="auto"/>
        <w:ind w:left="2268"/>
        <w:outlineLvl w:val="0"/>
      </w:pPr>
      <w:r w:rsidRPr="00892BAE">
        <w:br/>
        <w:t>Figure 3b</w:t>
      </w:r>
      <w:r w:rsidRPr="00892BAE">
        <w:br/>
      </w:r>
      <w:r w:rsidRPr="00892BAE">
        <w:rPr>
          <w:b/>
        </w:rPr>
        <w:t>Example for a plate design</w:t>
      </w:r>
    </w:p>
    <w:p w:rsidR="00892BAE" w:rsidRPr="00892BAE" w:rsidRDefault="000C463F" w:rsidP="00892BAE">
      <w:pPr>
        <w:keepNext/>
        <w:keepLines/>
        <w:autoSpaceDE w:val="0"/>
        <w:autoSpaceDN w:val="0"/>
        <w:adjustRightInd w:val="0"/>
        <w:spacing w:before="120" w:after="120"/>
        <w:ind w:left="1134" w:right="1134"/>
        <w:jc w:val="center"/>
        <w:rPr>
          <w:noProof/>
          <w:lang w:val="en-US"/>
        </w:rPr>
      </w:pPr>
      <w:r>
        <w:rPr>
          <w:noProof/>
          <w:lang w:val="en-US"/>
        </w:rPr>
        <w:pict>
          <v:shape id="Grafik 2" o:spid="_x0000_i1026" type="#_x0000_t75" style="width:145.2pt;height:180.6pt;visibility:visible">
            <v:imagedata r:id="rId11" o:title=""/>
          </v:shape>
        </w:pict>
      </w:r>
    </w:p>
    <w:p w:rsidR="00892BAE" w:rsidRPr="00892BAE" w:rsidRDefault="00892BAE" w:rsidP="00892BAE">
      <w:pPr>
        <w:autoSpaceDE w:val="0"/>
        <w:autoSpaceDN w:val="0"/>
        <w:adjustRightInd w:val="0"/>
        <w:spacing w:before="240" w:after="120"/>
        <w:ind w:left="1134"/>
        <w:jc w:val="center"/>
        <w:rPr>
          <w:bCs/>
        </w:rPr>
      </w:pPr>
      <w:r w:rsidRPr="00892BAE">
        <w:rPr>
          <w:noProof/>
        </w:rPr>
        <w:t>"</w:t>
      </w:r>
    </w:p>
    <w:p w:rsidR="00892BAE" w:rsidRPr="00892BAE" w:rsidRDefault="00892BAE" w:rsidP="00892BAE">
      <w:pPr>
        <w:keepNext/>
        <w:autoSpaceDE w:val="0"/>
        <w:autoSpaceDN w:val="0"/>
        <w:adjustRightInd w:val="0"/>
        <w:spacing w:after="120"/>
        <w:ind w:left="1134"/>
        <w:rPr>
          <w:bCs/>
          <w:i/>
        </w:rPr>
      </w:pPr>
      <w:r w:rsidRPr="00892BAE">
        <w:rPr>
          <w:bCs/>
          <w:i/>
        </w:rPr>
        <w:t xml:space="preserve">Annex 15, </w:t>
      </w:r>
    </w:p>
    <w:p w:rsidR="00892BAE" w:rsidRPr="00892BAE" w:rsidRDefault="00892BAE" w:rsidP="00892BAE">
      <w:pPr>
        <w:keepNext/>
        <w:autoSpaceDE w:val="0"/>
        <w:autoSpaceDN w:val="0"/>
        <w:adjustRightInd w:val="0"/>
        <w:spacing w:after="120"/>
        <w:ind w:left="1134"/>
        <w:rPr>
          <w:bCs/>
        </w:rPr>
      </w:pPr>
      <w:r w:rsidRPr="00892BAE">
        <w:rPr>
          <w:bCs/>
          <w:i/>
        </w:rPr>
        <w:t xml:space="preserve">Paragraph </w:t>
      </w:r>
      <w:proofErr w:type="gramStart"/>
      <w:r w:rsidRPr="00892BAE">
        <w:rPr>
          <w:bCs/>
          <w:i/>
        </w:rPr>
        <w:t>2.,</w:t>
      </w:r>
      <w:proofErr w:type="gramEnd"/>
      <w:r w:rsidRPr="00892BAE">
        <w:rPr>
          <w:bCs/>
        </w:rPr>
        <w:t xml:space="preserve"> amend to read:</w:t>
      </w:r>
    </w:p>
    <w:p w:rsidR="00892BAE" w:rsidRPr="00892BAE" w:rsidRDefault="00892BAE" w:rsidP="00892BAE">
      <w:pPr>
        <w:spacing w:after="120"/>
        <w:ind w:left="2268" w:right="1134" w:hanging="1134"/>
        <w:jc w:val="both"/>
      </w:pPr>
      <w:r w:rsidRPr="00892BAE">
        <w:t>"2.</w:t>
      </w:r>
      <w:r w:rsidRPr="00892BAE">
        <w:tab/>
        <w:t>Scope</w:t>
      </w:r>
    </w:p>
    <w:p w:rsidR="00892BAE" w:rsidRPr="00892BAE" w:rsidRDefault="00892BAE" w:rsidP="00892BAE">
      <w:pPr>
        <w:spacing w:after="120"/>
        <w:ind w:left="2268" w:right="1134"/>
        <w:jc w:val="both"/>
      </w:pPr>
      <w:r w:rsidRPr="00892BAE">
        <w:t xml:space="preserve">The main purpose of these guidelines is to establish requirements for installation, arrangement, position and geometric visibility of rear marking plates on heavy and long vehicles as well as on special utility vehicles and trailers. It increases the visibility and permits an easy identification of these vehicles." </w:t>
      </w:r>
    </w:p>
    <w:p w:rsidR="00892BAE" w:rsidRPr="00892BAE" w:rsidRDefault="00892BAE" w:rsidP="00892BAE">
      <w:pPr>
        <w:autoSpaceDE w:val="0"/>
        <w:autoSpaceDN w:val="0"/>
        <w:adjustRightInd w:val="0"/>
        <w:spacing w:after="120"/>
        <w:ind w:left="1134"/>
        <w:rPr>
          <w:bCs/>
        </w:rPr>
      </w:pPr>
      <w:r w:rsidRPr="00892BAE">
        <w:rPr>
          <w:bCs/>
          <w:i/>
        </w:rPr>
        <w:t>Paragraph 2.1.,</w:t>
      </w:r>
      <w:r w:rsidRPr="00892BAE">
        <w:rPr>
          <w:bCs/>
        </w:rPr>
        <w:t xml:space="preserve"> amend to read:</w:t>
      </w:r>
    </w:p>
    <w:p w:rsidR="00892BAE" w:rsidRPr="00892BAE" w:rsidRDefault="00892BAE" w:rsidP="00892BAE">
      <w:pPr>
        <w:spacing w:after="120"/>
        <w:ind w:left="2268" w:right="1134" w:hanging="1134"/>
        <w:jc w:val="both"/>
      </w:pPr>
      <w:r w:rsidRPr="00892BAE">
        <w:t>"2.1.</w:t>
      </w:r>
      <w:r w:rsidRPr="00892BAE">
        <w:tab/>
        <w:t>Heavy motor vehicles</w:t>
      </w:r>
    </w:p>
    <w:p w:rsidR="00892BAE" w:rsidRPr="00892BAE" w:rsidRDefault="00892BAE" w:rsidP="00892BAE">
      <w:pPr>
        <w:spacing w:after="120"/>
        <w:ind w:left="2268" w:right="1134"/>
        <w:jc w:val="both"/>
      </w:pPr>
      <w:r w:rsidRPr="00892BAE">
        <w:t>The installation of rear marking plates for heavy motor vehicles according to the provisions of this annex is required for vehicles of categories N</w:t>
      </w:r>
      <w:r w:rsidRPr="00892BAE">
        <w:rPr>
          <w:vertAlign w:val="subscript"/>
        </w:rPr>
        <w:t>2</w:t>
      </w:r>
      <w:r w:rsidRPr="00892BAE">
        <w:t xml:space="preserve"> with a maximum mass exceeding 7.5 tonnes and N</w:t>
      </w:r>
      <w:r w:rsidRPr="00892BAE">
        <w:rPr>
          <w:vertAlign w:val="subscript"/>
        </w:rPr>
        <w:t>3</w:t>
      </w:r>
      <w:r w:rsidRPr="00892BAE">
        <w:t xml:space="preserve"> with the exception of tractors for semi-trailers, and for articulated buses of classes II and III.</w:t>
      </w:r>
      <w:r w:rsidRPr="00892BAE">
        <w:br/>
        <w:t>The rear marking plates may also be installed on special utility vehicles of categories other than above."</w:t>
      </w:r>
    </w:p>
    <w:p w:rsidR="00892BAE" w:rsidRPr="00892BAE" w:rsidRDefault="00892BAE" w:rsidP="00892BAE">
      <w:pPr>
        <w:autoSpaceDE w:val="0"/>
        <w:autoSpaceDN w:val="0"/>
        <w:adjustRightInd w:val="0"/>
        <w:spacing w:after="120"/>
        <w:ind w:left="1134"/>
        <w:rPr>
          <w:bCs/>
        </w:rPr>
      </w:pPr>
      <w:r w:rsidRPr="00892BAE">
        <w:rPr>
          <w:bCs/>
          <w:i/>
        </w:rPr>
        <w:t xml:space="preserve">Paragraph </w:t>
      </w:r>
      <w:proofErr w:type="gramStart"/>
      <w:r w:rsidRPr="00892BAE">
        <w:rPr>
          <w:bCs/>
          <w:i/>
        </w:rPr>
        <w:t>4.,</w:t>
      </w:r>
      <w:proofErr w:type="gramEnd"/>
      <w:r w:rsidRPr="00892BAE">
        <w:rPr>
          <w:bCs/>
        </w:rPr>
        <w:t xml:space="preserve"> add subparagraph (c) to read:</w:t>
      </w:r>
    </w:p>
    <w:p w:rsidR="00892BAE" w:rsidRPr="00892BAE" w:rsidRDefault="00892BAE" w:rsidP="00892BAE">
      <w:pPr>
        <w:spacing w:after="120"/>
        <w:ind w:left="1080" w:right="1134"/>
        <w:jc w:val="both"/>
        <w:rPr>
          <w:bCs/>
        </w:rPr>
      </w:pPr>
      <w:r w:rsidRPr="00892BAE">
        <w:rPr>
          <w:bCs/>
        </w:rPr>
        <w:t>"4.</w:t>
      </w:r>
      <w:r w:rsidRPr="00892BAE">
        <w:rPr>
          <w:bCs/>
        </w:rPr>
        <w:tab/>
      </w:r>
      <w:r w:rsidRPr="00892BAE">
        <w:rPr>
          <w:bCs/>
        </w:rPr>
        <w:tab/>
        <w:t>Arrangement</w:t>
      </w:r>
    </w:p>
    <w:p w:rsidR="00892BAE" w:rsidRPr="00892BAE" w:rsidRDefault="00892BAE" w:rsidP="00892BAE">
      <w:pPr>
        <w:spacing w:after="120"/>
        <w:ind w:left="1080" w:right="1134"/>
        <w:jc w:val="both"/>
        <w:rPr>
          <w:bCs/>
        </w:rPr>
      </w:pPr>
      <w:r w:rsidRPr="00892BAE">
        <w:rPr>
          <w:bCs/>
        </w:rPr>
        <w:tab/>
      </w:r>
      <w:r w:rsidRPr="00892BAE">
        <w:rPr>
          <w:bCs/>
        </w:rPr>
        <w:tab/>
      </w:r>
      <w:r w:rsidRPr="00892BAE">
        <w:rPr>
          <w:bCs/>
        </w:rPr>
        <w:tab/>
        <w:t>…</w:t>
      </w:r>
    </w:p>
    <w:p w:rsidR="00892BAE" w:rsidRPr="00892BAE" w:rsidRDefault="00892BAE" w:rsidP="00892BAE">
      <w:pPr>
        <w:spacing w:after="120"/>
        <w:ind w:left="2097" w:right="1134" w:firstLine="171"/>
        <w:jc w:val="both"/>
      </w:pPr>
      <w:r w:rsidRPr="00892BAE">
        <w:t>(c)</w:t>
      </w:r>
      <w:r w:rsidRPr="00892BAE">
        <w:tab/>
        <w:t>For special utility vehicles or trailers:</w:t>
      </w:r>
    </w:p>
    <w:p w:rsidR="00892BAE" w:rsidRPr="00892BAE" w:rsidRDefault="00892BAE" w:rsidP="00892BAE">
      <w:pPr>
        <w:spacing w:after="120"/>
        <w:ind w:left="2268" w:right="1134" w:firstLine="567"/>
        <w:jc w:val="both"/>
      </w:pPr>
      <w:r w:rsidRPr="00892BAE">
        <w:t xml:space="preserve">Class 5 - </w:t>
      </w:r>
      <w:r w:rsidRPr="00892BAE">
        <w:rPr>
          <w:spacing w:val="1"/>
        </w:rPr>
        <w:t>red and white retro-reflective alternative stripes."</w:t>
      </w:r>
    </w:p>
    <w:p w:rsidR="00892BAE" w:rsidRPr="00892BAE" w:rsidRDefault="00892BAE" w:rsidP="00892BAE">
      <w:pPr>
        <w:tabs>
          <w:tab w:val="right" w:pos="851"/>
        </w:tabs>
        <w:spacing w:before="240"/>
        <w:ind w:left="1134" w:right="1134"/>
        <w:jc w:val="center"/>
        <w:rPr>
          <w:sz w:val="28"/>
          <w:u w:val="single"/>
        </w:rPr>
      </w:pPr>
      <w:r w:rsidRPr="00892BAE">
        <w:rPr>
          <w:sz w:val="28"/>
          <w:u w:val="single"/>
        </w:rPr>
        <w:tab/>
      </w:r>
      <w:r w:rsidRPr="00892BAE">
        <w:rPr>
          <w:sz w:val="28"/>
          <w:u w:val="single"/>
        </w:rPr>
        <w:tab/>
      </w:r>
      <w:r w:rsidRPr="00892BAE">
        <w:rPr>
          <w:sz w:val="28"/>
          <w:u w:val="single"/>
        </w:rPr>
        <w:tab/>
      </w:r>
    </w:p>
    <w:p w:rsidR="00776D12" w:rsidRDefault="00776D12" w:rsidP="00C711C7">
      <w:pPr>
        <w:jc w:val="center"/>
      </w:pPr>
    </w:p>
    <w:sectPr w:rsidR="00776D12" w:rsidSect="008311A3">
      <w:headerReference w:type="even" r:id="rId12"/>
      <w:headerReference w:type="default" r:id="rId13"/>
      <w:footerReference w:type="even" r:id="rId14"/>
      <w:footerReference w:type="default" r:id="rId15"/>
      <w:footerReference w:type="first" r:id="rId16"/>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9C9" w:rsidRDefault="009149C9"/>
  </w:endnote>
  <w:endnote w:type="continuationSeparator" w:id="0">
    <w:p w:rsidR="009149C9" w:rsidRDefault="009149C9"/>
  </w:endnote>
  <w:endnote w:type="continuationNotice" w:id="1">
    <w:p w:rsidR="009149C9" w:rsidRDefault="009149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1B3" w:rsidRPr="00D623A7" w:rsidRDefault="00B701B3">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0C463F">
      <w:rPr>
        <w:b/>
        <w:noProof/>
        <w:sz w:val="18"/>
        <w:szCs w:val="18"/>
      </w:rPr>
      <w:t>4</w:t>
    </w:r>
    <w:r w:rsidRPr="00D623A7">
      <w:rPr>
        <w:b/>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1B3" w:rsidRPr="00776D12" w:rsidRDefault="00B701B3"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0C463F">
      <w:rPr>
        <w:b/>
        <w:noProof/>
        <w:sz w:val="18"/>
        <w:szCs w:val="18"/>
      </w:rPr>
      <w:t>3</w:t>
    </w:r>
    <w:r w:rsidRPr="00776D12">
      <w:rPr>
        <w:b/>
        <w:noProof/>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1B3" w:rsidRDefault="000C463F">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alt="recycle_English" style="position:absolute;margin-left:405.4pt;margin-top:-6.25pt;width:73.25pt;height:18.15pt;z-index:251657728;visibility:visible">
          <v:imagedata r:id="rId1" o:title="recycle_English"/>
          <w10:anchorlock/>
        </v:shape>
      </w:pict>
    </w:r>
    <w:r w:rsidR="00B701B3">
      <w:t>GE.15-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9C9" w:rsidRPr="000B175B" w:rsidRDefault="009149C9" w:rsidP="000B175B">
      <w:pPr>
        <w:tabs>
          <w:tab w:val="right" w:pos="2155"/>
        </w:tabs>
        <w:spacing w:after="80"/>
        <w:ind w:left="680"/>
        <w:rPr>
          <w:u w:val="single"/>
        </w:rPr>
      </w:pPr>
      <w:r>
        <w:rPr>
          <w:u w:val="single"/>
        </w:rPr>
        <w:tab/>
      </w:r>
    </w:p>
  </w:footnote>
  <w:footnote w:type="continuationSeparator" w:id="0">
    <w:p w:rsidR="009149C9" w:rsidRPr="00FC68B7" w:rsidRDefault="009149C9" w:rsidP="00FC68B7">
      <w:pPr>
        <w:tabs>
          <w:tab w:val="left" w:pos="2155"/>
        </w:tabs>
        <w:spacing w:after="80"/>
        <w:ind w:left="680"/>
        <w:rPr>
          <w:u w:val="single"/>
        </w:rPr>
      </w:pPr>
      <w:r>
        <w:rPr>
          <w:u w:val="single"/>
        </w:rPr>
        <w:tab/>
      </w:r>
    </w:p>
  </w:footnote>
  <w:footnote w:type="continuationNotice" w:id="1">
    <w:p w:rsidR="009149C9" w:rsidRDefault="009149C9"/>
  </w:footnote>
  <w:footnote w:id="2">
    <w:p w:rsidR="00B701B3" w:rsidRPr="009E5D87" w:rsidRDefault="00B701B3" w:rsidP="00C711C7">
      <w:pPr>
        <w:pStyle w:val="FootnoteText"/>
        <w:rPr>
          <w:lang w:val="fr-CH"/>
        </w:rPr>
      </w:pPr>
      <w:r>
        <w:tab/>
      </w:r>
      <w:r w:rsidRPr="009E5D87">
        <w:rPr>
          <w:rStyle w:val="FootnoteReference"/>
          <w:sz w:val="20"/>
          <w:vertAlign w:val="baseline"/>
        </w:rPr>
        <w:t>*</w:t>
      </w:r>
      <w:r>
        <w:rPr>
          <w:sz w:val="20"/>
        </w:rPr>
        <w:tab/>
      </w:r>
      <w:r w:rsidRPr="00014D07">
        <w:t xml:space="preserve">Former title of the Agreement: Agreement Concerning the Adoption of Uniform Conditions of Approval and Reciprocal Recognition of Approval for Motor Vehicle Equipment and Parts, </w:t>
      </w:r>
      <w:r>
        <w:t>d</w:t>
      </w:r>
      <w:r w:rsidRPr="00014D07">
        <w:t>on</w:t>
      </w:r>
      <w:r>
        <w:t>e at Geneva on</w:t>
      </w:r>
      <w:r w:rsidRPr="00014D07">
        <w:t xml:space="preserve"> 20 March 1958</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A36" w:rsidRPr="00BF4A36" w:rsidRDefault="00B701B3" w:rsidP="00892BAE">
    <w:pPr>
      <w:pStyle w:val="Header"/>
    </w:pPr>
    <w:r w:rsidRPr="00D623A7">
      <w:t>E/</w:t>
    </w:r>
    <w:proofErr w:type="spellStart"/>
    <w:r w:rsidRPr="00D623A7">
      <w:t>ECE</w:t>
    </w:r>
    <w:proofErr w:type="spellEnd"/>
    <w:r w:rsidRPr="00D623A7">
      <w:t>/324</w:t>
    </w:r>
    <w:r w:rsidR="00892BAE" w:rsidRPr="00892BAE">
      <w:t>/Rev.1/Add.69/Rev.1/Amend.3</w:t>
    </w:r>
    <w:r>
      <w:br/>
    </w:r>
    <w:r w:rsidRPr="00D623A7">
      <w:t>E/</w:t>
    </w:r>
    <w:proofErr w:type="spellStart"/>
    <w:r w:rsidRPr="00D623A7">
      <w:t>ECE</w:t>
    </w:r>
    <w:proofErr w:type="spellEnd"/>
    <w:r w:rsidRPr="00D623A7">
      <w:t>/TRANS/505</w:t>
    </w:r>
    <w:r w:rsidR="00892BAE" w:rsidRPr="00892BAE">
      <w:t>/Rev.1/Add.69/Rev.1/Amend.3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A36" w:rsidRPr="00BF4A36" w:rsidRDefault="00B701B3" w:rsidP="00892BAE">
    <w:pPr>
      <w:pStyle w:val="Header"/>
      <w:jc w:val="right"/>
    </w:pPr>
    <w:r w:rsidRPr="00D623A7">
      <w:t>E/</w:t>
    </w:r>
    <w:proofErr w:type="spellStart"/>
    <w:r w:rsidRPr="00D623A7">
      <w:t>ECE</w:t>
    </w:r>
    <w:proofErr w:type="spellEnd"/>
    <w:r w:rsidRPr="00D623A7">
      <w:t>/324</w:t>
    </w:r>
    <w:r w:rsidR="00892BAE" w:rsidRPr="00892BAE">
      <w:t>/Rev.1/Add.69/Rev.1/Amend.3</w:t>
    </w:r>
    <w:r>
      <w:br/>
    </w:r>
    <w:r w:rsidRPr="00D623A7">
      <w:t>E/</w:t>
    </w:r>
    <w:proofErr w:type="spellStart"/>
    <w:r w:rsidRPr="00D623A7">
      <w:t>ECE</w:t>
    </w:r>
    <w:proofErr w:type="spellEnd"/>
    <w:r w:rsidRPr="00D623A7">
      <w:t>/TRANS/505</w:t>
    </w:r>
    <w:r w:rsidR="00892BAE" w:rsidRPr="00892BAE">
      <w:t>/Rev.1/Add.69/Rev.1/Amend.3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D2DDF"/>
    <w:rsid w:val="00050F6B"/>
    <w:rsid w:val="00072C8C"/>
    <w:rsid w:val="000931C0"/>
    <w:rsid w:val="000B175B"/>
    <w:rsid w:val="000B3A0F"/>
    <w:rsid w:val="000C463F"/>
    <w:rsid w:val="000D3A4F"/>
    <w:rsid w:val="000E0415"/>
    <w:rsid w:val="00113338"/>
    <w:rsid w:val="001220B8"/>
    <w:rsid w:val="00134B40"/>
    <w:rsid w:val="001352D9"/>
    <w:rsid w:val="00165E82"/>
    <w:rsid w:val="001B4B04"/>
    <w:rsid w:val="001C6663"/>
    <w:rsid w:val="001C7895"/>
    <w:rsid w:val="001D26DF"/>
    <w:rsid w:val="001D7D2E"/>
    <w:rsid w:val="00211E0B"/>
    <w:rsid w:val="002405A7"/>
    <w:rsid w:val="00271A7F"/>
    <w:rsid w:val="002748F8"/>
    <w:rsid w:val="002A1E3A"/>
    <w:rsid w:val="003107FA"/>
    <w:rsid w:val="003229D8"/>
    <w:rsid w:val="0033745A"/>
    <w:rsid w:val="0039277A"/>
    <w:rsid w:val="003972E0"/>
    <w:rsid w:val="003C2CC4"/>
    <w:rsid w:val="003C3936"/>
    <w:rsid w:val="003D4B23"/>
    <w:rsid w:val="003F1ED3"/>
    <w:rsid w:val="004325CB"/>
    <w:rsid w:val="00446DE4"/>
    <w:rsid w:val="004472B8"/>
    <w:rsid w:val="004A41CA"/>
    <w:rsid w:val="004E3FEB"/>
    <w:rsid w:val="00503228"/>
    <w:rsid w:val="00505384"/>
    <w:rsid w:val="005420F2"/>
    <w:rsid w:val="0054561B"/>
    <w:rsid w:val="00557CCF"/>
    <w:rsid w:val="005A2209"/>
    <w:rsid w:val="005B3DB3"/>
    <w:rsid w:val="005D6CBB"/>
    <w:rsid w:val="00611FC4"/>
    <w:rsid w:val="006176FB"/>
    <w:rsid w:val="00627ED0"/>
    <w:rsid w:val="00640B26"/>
    <w:rsid w:val="0064636E"/>
    <w:rsid w:val="00665595"/>
    <w:rsid w:val="0069341E"/>
    <w:rsid w:val="006A7392"/>
    <w:rsid w:val="006E564B"/>
    <w:rsid w:val="006F3092"/>
    <w:rsid w:val="00713BD8"/>
    <w:rsid w:val="0072095F"/>
    <w:rsid w:val="0072632A"/>
    <w:rsid w:val="00743CD6"/>
    <w:rsid w:val="00750602"/>
    <w:rsid w:val="00776D12"/>
    <w:rsid w:val="007839A4"/>
    <w:rsid w:val="007B6BA5"/>
    <w:rsid w:val="007C3390"/>
    <w:rsid w:val="007C4F4B"/>
    <w:rsid w:val="007F0B83"/>
    <w:rsid w:val="007F6611"/>
    <w:rsid w:val="008175E9"/>
    <w:rsid w:val="008242D7"/>
    <w:rsid w:val="00827E05"/>
    <w:rsid w:val="008311A3"/>
    <w:rsid w:val="00841EB5"/>
    <w:rsid w:val="00871FD5"/>
    <w:rsid w:val="00892BAE"/>
    <w:rsid w:val="008979B1"/>
    <w:rsid w:val="008A6B25"/>
    <w:rsid w:val="008A6C4F"/>
    <w:rsid w:val="008C2288"/>
    <w:rsid w:val="008E0E46"/>
    <w:rsid w:val="00907AD2"/>
    <w:rsid w:val="009149C9"/>
    <w:rsid w:val="00963CBA"/>
    <w:rsid w:val="00974A8D"/>
    <w:rsid w:val="00991261"/>
    <w:rsid w:val="009F3A17"/>
    <w:rsid w:val="00A1427D"/>
    <w:rsid w:val="00A15E44"/>
    <w:rsid w:val="00A569D6"/>
    <w:rsid w:val="00A72F22"/>
    <w:rsid w:val="00A748A6"/>
    <w:rsid w:val="00A85956"/>
    <w:rsid w:val="00A879A4"/>
    <w:rsid w:val="00AB55B1"/>
    <w:rsid w:val="00B30179"/>
    <w:rsid w:val="00B33EC0"/>
    <w:rsid w:val="00B701B3"/>
    <w:rsid w:val="00B81E12"/>
    <w:rsid w:val="00BC2683"/>
    <w:rsid w:val="00BC358D"/>
    <w:rsid w:val="00BC74E9"/>
    <w:rsid w:val="00BD2146"/>
    <w:rsid w:val="00BD538F"/>
    <w:rsid w:val="00BE4F74"/>
    <w:rsid w:val="00BE618E"/>
    <w:rsid w:val="00BF4A36"/>
    <w:rsid w:val="00C17699"/>
    <w:rsid w:val="00C41A28"/>
    <w:rsid w:val="00C463DD"/>
    <w:rsid w:val="00C711C7"/>
    <w:rsid w:val="00C745C3"/>
    <w:rsid w:val="00C84414"/>
    <w:rsid w:val="00CD2DDF"/>
    <w:rsid w:val="00CE4A8F"/>
    <w:rsid w:val="00CE5E33"/>
    <w:rsid w:val="00D2031B"/>
    <w:rsid w:val="00D25FE2"/>
    <w:rsid w:val="00D317BB"/>
    <w:rsid w:val="00D41A71"/>
    <w:rsid w:val="00D43252"/>
    <w:rsid w:val="00D5540C"/>
    <w:rsid w:val="00D623A7"/>
    <w:rsid w:val="00D6614F"/>
    <w:rsid w:val="00D978C6"/>
    <w:rsid w:val="00DA67AD"/>
    <w:rsid w:val="00DB5D0F"/>
    <w:rsid w:val="00DC3F07"/>
    <w:rsid w:val="00DF12F7"/>
    <w:rsid w:val="00E02C81"/>
    <w:rsid w:val="00E130AB"/>
    <w:rsid w:val="00E506F0"/>
    <w:rsid w:val="00E7260F"/>
    <w:rsid w:val="00E87921"/>
    <w:rsid w:val="00E96630"/>
    <w:rsid w:val="00EA0ED6"/>
    <w:rsid w:val="00EA264E"/>
    <w:rsid w:val="00EC4DBA"/>
    <w:rsid w:val="00ED7A2A"/>
    <w:rsid w:val="00EF1D7F"/>
    <w:rsid w:val="00F53EDA"/>
    <w:rsid w:val="00F7753D"/>
    <w:rsid w:val="00F85F34"/>
    <w:rsid w:val="00FA06F7"/>
    <w:rsid w:val="00FA76F7"/>
    <w:rsid w:val="00FB171A"/>
    <w:rsid w:val="00FC68B7"/>
    <w:rsid w:val="00FD7BF6"/>
    <w:rsid w:val="00FF1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6" w:qFormat="1"/>
    <w:lsdException w:name="footer" w:uiPriority="99"/>
    <w:lsdException w:name="caption" w:semiHidden="1" w:unhideWhenUsed="1" w:qFormat="1"/>
    <w:lsdException w:name="Subtitle" w:qFormat="1"/>
    <w:lsdException w:name="Strong"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rsid w:val="00C711C7"/>
    <w:rPr>
      <w:lang w:eastAsia="en-US"/>
    </w:rPr>
  </w:style>
  <w:style w:type="character" w:customStyle="1" w:styleId="FootnoteTextChar">
    <w:name w:val="Footnote Text Char"/>
    <w:aliases w:val="5_G Char,PP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AMEND%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AMEND template.dot</Template>
  <TotalTime>0</TotalTime>
  <Pages>5</Pages>
  <Words>671</Words>
  <Characters>3830</Characters>
  <Application>Microsoft Office Word</Application>
  <DocSecurity>0</DocSecurity>
  <Lines>31</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4493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dc:creator>
  <cp:lastModifiedBy>04</cp:lastModifiedBy>
  <cp:revision>4</cp:revision>
  <cp:lastPrinted>2015-06-05T12:24:00Z</cp:lastPrinted>
  <dcterms:created xsi:type="dcterms:W3CDTF">2015-06-15T12:02:00Z</dcterms:created>
  <dcterms:modified xsi:type="dcterms:W3CDTF">2015-06-22T09:38:00Z</dcterms:modified>
</cp:coreProperties>
</file>