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A92017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/ECE/324/Add.10/Rev.</w:t>
            </w:r>
            <w:r w:rsidR="00A92017">
              <w:t>2</w:t>
            </w:r>
            <w:r>
              <w:t>/Amend.1−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A92017">
              <w:t>/Add.10/Rev.2/Amend.1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E23067" w:rsidRPr="00DB58B5" w:rsidRDefault="00036741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E23067" w:rsidRPr="00E23067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A92017">
        <w:t>10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92017">
        <w:t>11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A92017">
        <w:t>2</w:t>
      </w:r>
      <w:r w:rsidR="000314C7">
        <w:t xml:space="preserve"> − Amendement </w:t>
      </w:r>
      <w:r w:rsidR="00D920AD">
        <w:t>1</w:t>
      </w:r>
    </w:p>
    <w:p w:rsidR="00015650" w:rsidRPr="00631BAB" w:rsidRDefault="00A92017" w:rsidP="00242268">
      <w:pPr>
        <w:pStyle w:val="SingleTxtG"/>
        <w:spacing w:after="100" w:line="200" w:lineRule="atLeast"/>
        <w:jc w:val="left"/>
      </w:pPr>
      <w:r>
        <w:t>S</w:t>
      </w:r>
      <w:r w:rsidR="00015650" w:rsidRPr="00631BAB">
        <w:t xml:space="preserve">érie </w:t>
      </w:r>
      <w:r>
        <w:t>04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>
        <w:t>n 2015</w:t>
      </w:r>
      <w:r w:rsidR="00015650" w:rsidRPr="00631BAB"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A92017" w:rsidRPr="00A92017">
        <w:rPr>
          <w:spacing w:val="-2"/>
        </w:rPr>
        <w:t>Prescriptions uniformes relatives à l'homologation des véhicules en ce qui concerne les serrures et organes de fixation des portes</w:t>
      </w:r>
    </w:p>
    <w:p w:rsidR="007E46AA" w:rsidRDefault="001D3393" w:rsidP="007E46AA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 ECE/TRANS/WP.29/201</w:t>
      </w:r>
      <w:r w:rsidR="00D920AD">
        <w:rPr>
          <w:lang w:val="en-GB" w:eastAsia="en-GB"/>
        </w:rPr>
        <w:t>4/71</w:t>
      </w:r>
      <w:r w:rsidR="001C09B5">
        <w:rPr>
          <w:lang w:val="en-GB" w:eastAsia="en-GB"/>
        </w:rPr>
        <w:t>.</w:t>
      </w:r>
    </w:p>
    <w:p w:rsidR="001C08ED" w:rsidRPr="00693C34" w:rsidRDefault="007E46AA" w:rsidP="007E46AA">
      <w:pPr>
        <w:pStyle w:val="SingleTxtG"/>
      </w:pPr>
      <w:r>
        <w:rPr>
          <w:lang w:val="en-GB" w:eastAsia="en-GB"/>
        </w:rPr>
        <w:br w:type="page"/>
      </w:r>
      <w:r w:rsidR="001C08ED" w:rsidRPr="002D0E32">
        <w:rPr>
          <w:i/>
          <w:lang w:val="fr-FR" w:eastAsia="ar-SA"/>
        </w:rPr>
        <w:lastRenderedPageBreak/>
        <w:t>Insérer un nouveau paragraphe 2.7</w:t>
      </w:r>
      <w:r w:rsidR="001C08ED" w:rsidRPr="004D3F34">
        <w:rPr>
          <w:lang w:val="fr-FR" w:eastAsia="ar-SA"/>
        </w:rPr>
        <w:t xml:space="preserve">, </w:t>
      </w:r>
      <w:r w:rsidR="001C08ED" w:rsidRPr="00693C34">
        <w:rPr>
          <w:lang w:val="fr-FR" w:eastAsia="ar-SA"/>
        </w:rPr>
        <w:t>libellé comme suit:</w:t>
      </w:r>
    </w:p>
    <w:p w:rsidR="001C08ED" w:rsidRPr="00693C34" w:rsidRDefault="001C08ED" w:rsidP="001C08ED">
      <w:pPr>
        <w:pStyle w:val="SingleTxtG"/>
        <w:ind w:left="2268" w:hanging="1134"/>
        <w:rPr>
          <w:lang w:val="fr-FR" w:eastAsia="ar-SA"/>
        </w:rPr>
      </w:pPr>
      <w:r w:rsidRPr="00693C34">
        <w:rPr>
          <w:lang w:val="fr-FR" w:eastAsia="ar-SA"/>
        </w:rPr>
        <w:t>«2.7</w:t>
      </w:r>
      <w:r w:rsidRPr="00693C34">
        <w:rPr>
          <w:lang w:val="fr-FR" w:eastAsia="ar-SA"/>
        </w:rPr>
        <w:tab/>
        <w:t>Protections supplémentaires»</w:t>
      </w:r>
    </w:p>
    <w:p w:rsidR="001C08ED" w:rsidRPr="00693C34" w:rsidRDefault="001C08ED" w:rsidP="001C08ED">
      <w:pPr>
        <w:pStyle w:val="SingleTxtG"/>
        <w:rPr>
          <w:lang w:val="fr-FR" w:eastAsia="ar-SA"/>
        </w:rPr>
      </w:pPr>
      <w:r w:rsidRPr="002D0E32">
        <w:rPr>
          <w:i/>
          <w:lang w:val="fr-FR" w:eastAsia="ar-SA"/>
        </w:rPr>
        <w:t>Paragraphe 2.7</w:t>
      </w:r>
      <w:r w:rsidRPr="00693C34">
        <w:rPr>
          <w:lang w:val="fr-FR" w:eastAsia="ar-SA"/>
        </w:rPr>
        <w:t>, renuméroter 2.7.1</w:t>
      </w:r>
      <w:r w:rsidR="00D43A9D">
        <w:rPr>
          <w:lang w:val="fr-FR" w:eastAsia="ar-SA"/>
        </w:rPr>
        <w:t>.</w:t>
      </w:r>
    </w:p>
    <w:p w:rsidR="001C08ED" w:rsidRPr="00693C34" w:rsidRDefault="001C08ED" w:rsidP="001C08ED">
      <w:pPr>
        <w:pStyle w:val="SingleTxtG"/>
        <w:rPr>
          <w:lang w:val="fr-FR" w:eastAsia="ar-SA"/>
        </w:rPr>
      </w:pPr>
      <w:r w:rsidRPr="002D0E32">
        <w:rPr>
          <w:i/>
          <w:lang w:val="fr-FR" w:eastAsia="ar-SA"/>
        </w:rPr>
        <w:t>Insérer un nouveau paragraphe 2.7.2</w:t>
      </w:r>
      <w:r w:rsidRPr="00693C34">
        <w:rPr>
          <w:lang w:val="fr-FR" w:eastAsia="ar-SA"/>
        </w:rPr>
        <w:t>, libellé comme suit:</w:t>
      </w:r>
    </w:p>
    <w:p w:rsidR="001C08ED" w:rsidRPr="00693C34" w:rsidRDefault="001C08ED" w:rsidP="001C08ED">
      <w:pPr>
        <w:pStyle w:val="SingleTxtG"/>
        <w:ind w:left="2268" w:hanging="1134"/>
        <w:rPr>
          <w:bCs/>
          <w:lang w:eastAsia="ar-SA"/>
        </w:rPr>
      </w:pPr>
      <w:r>
        <w:rPr>
          <w:bCs/>
          <w:lang w:eastAsia="ar-SA"/>
        </w:rPr>
        <w:t>«2.7.2</w:t>
      </w:r>
      <w:r>
        <w:rPr>
          <w:bCs/>
          <w:lang w:eastAsia="ar-SA"/>
        </w:rPr>
        <w:tab/>
      </w:r>
      <w:r w:rsidR="00D43A9D">
        <w:rPr>
          <w:bCs/>
          <w:lang w:eastAsia="ar-SA"/>
        </w:rPr>
        <w:t>Par</w:t>
      </w:r>
      <w:r>
        <w:rPr>
          <w:bCs/>
          <w:lang w:eastAsia="ar-SA"/>
        </w:rPr>
        <w:t xml:space="preserve"> "</w:t>
      </w:r>
      <w:r w:rsidRPr="00693C34">
        <w:rPr>
          <w:bCs/>
          <w:lang w:eastAsia="ar-SA"/>
        </w:rPr>
        <w:t>système de verrouillage général</w:t>
      </w:r>
      <w:r>
        <w:rPr>
          <w:bCs/>
          <w:lang w:eastAsia="ar-SA"/>
        </w:rPr>
        <w:t>"</w:t>
      </w:r>
      <w:r w:rsidRPr="00693C34">
        <w:rPr>
          <w:bCs/>
          <w:lang w:eastAsia="ar-SA"/>
        </w:rPr>
        <w:t xml:space="preserve"> un système qui commande le blocage des poignées intérieures et de toute autre commande intérieure d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ouverture des portes du véhicule et dont la désactivation est le seul moyen de débloquer lesdites poignées ou commandes.».</w:t>
      </w:r>
    </w:p>
    <w:p w:rsidR="001C08ED" w:rsidRPr="001B72C9" w:rsidRDefault="001C08ED" w:rsidP="001C08ED">
      <w:pPr>
        <w:pStyle w:val="SingleTxtG"/>
        <w:rPr>
          <w:lang w:val="fr-FR" w:eastAsia="ar-SA"/>
        </w:rPr>
      </w:pPr>
      <w:r w:rsidRPr="002D0E32">
        <w:rPr>
          <w:i/>
          <w:lang w:val="fr-FR" w:eastAsia="ar-SA"/>
        </w:rPr>
        <w:t>Insérer un nouveau paragraphe 6.3.1.1</w:t>
      </w:r>
      <w:r w:rsidRPr="001B72C9">
        <w:rPr>
          <w:lang w:val="fr-FR" w:eastAsia="ar-SA"/>
        </w:rPr>
        <w:t xml:space="preserve">, </w:t>
      </w:r>
      <w:r>
        <w:rPr>
          <w:lang w:val="fr-FR" w:eastAsia="ar-SA"/>
        </w:rPr>
        <w:t>libellé comme suit</w:t>
      </w:r>
      <w:r w:rsidRPr="001B72C9">
        <w:rPr>
          <w:lang w:val="fr-FR" w:eastAsia="ar-SA"/>
        </w:rPr>
        <w:t>:</w:t>
      </w:r>
    </w:p>
    <w:p w:rsidR="001C08ED" w:rsidRPr="00693C34" w:rsidRDefault="001C08ED" w:rsidP="001C08ED">
      <w:pPr>
        <w:pStyle w:val="SingleTxtG"/>
        <w:ind w:left="2268" w:hanging="1134"/>
        <w:rPr>
          <w:bCs/>
          <w:lang w:val="fr-FR" w:eastAsia="ar-SA"/>
        </w:rPr>
      </w:pPr>
      <w:r w:rsidRPr="00693C34">
        <w:rPr>
          <w:bCs/>
          <w:lang w:val="fr-FR" w:eastAsia="ar-SA"/>
        </w:rPr>
        <w:t>«6.3.1.1</w:t>
      </w:r>
      <w:r>
        <w:rPr>
          <w:bCs/>
          <w:lang w:val="fr-FR" w:eastAsia="ar-SA"/>
        </w:rPr>
        <w:tab/>
      </w:r>
      <w:r w:rsidRPr="00693C34">
        <w:rPr>
          <w:bCs/>
          <w:lang w:val="fr-FR" w:eastAsia="ar-SA"/>
        </w:rPr>
        <w:t>Si un système de verrouillage général équipe un véhicule, il ne doit pouvoir être activé que si la clef de contact du moteur n</w:t>
      </w:r>
      <w:r>
        <w:rPr>
          <w:bCs/>
          <w:lang w:val="fr-FR" w:eastAsia="ar-SA"/>
        </w:rPr>
        <w:t>’</w:t>
      </w:r>
      <w:r w:rsidRPr="00693C34">
        <w:rPr>
          <w:bCs/>
          <w:lang w:val="fr-FR" w:eastAsia="ar-SA"/>
        </w:rPr>
        <w:t>est pas en position marche et son installation doit être associée à au moins l</w:t>
      </w:r>
      <w:r>
        <w:rPr>
          <w:bCs/>
          <w:lang w:val="fr-FR" w:eastAsia="ar-SA"/>
        </w:rPr>
        <w:t>’</w:t>
      </w:r>
      <w:r w:rsidRPr="00693C34">
        <w:rPr>
          <w:bCs/>
          <w:lang w:val="fr-FR" w:eastAsia="ar-SA"/>
        </w:rPr>
        <w:t>une des dispositions ci-après:</w:t>
      </w:r>
    </w:p>
    <w:p w:rsidR="001C08ED" w:rsidRPr="008B4489" w:rsidRDefault="001C08ED" w:rsidP="001C08ED">
      <w:pPr>
        <w:pStyle w:val="SingleTxtG"/>
        <w:tabs>
          <w:tab w:val="left" w:pos="2268"/>
        </w:tabs>
        <w:ind w:left="2835" w:hanging="1701"/>
        <w:rPr>
          <w:spacing w:val="-2"/>
          <w:lang w:val="fr-FR" w:eastAsia="ar-SA"/>
        </w:rPr>
      </w:pPr>
      <w:r>
        <w:rPr>
          <w:lang w:val="fr-FR" w:eastAsia="ar-SA"/>
        </w:rPr>
        <w:tab/>
        <w:t>a)</w:t>
      </w:r>
      <w:r>
        <w:rPr>
          <w:lang w:val="fr-FR" w:eastAsia="ar-SA"/>
        </w:rPr>
        <w:tab/>
      </w:r>
      <w:r w:rsidRPr="008B4489">
        <w:rPr>
          <w:spacing w:val="-2"/>
          <w:lang w:eastAsia="ar-SA"/>
        </w:rPr>
        <w:t>Présence dans le véhicule d</w:t>
      </w:r>
      <w:r>
        <w:rPr>
          <w:spacing w:val="-2"/>
          <w:lang w:eastAsia="ar-SA"/>
        </w:rPr>
        <w:t>’</w:t>
      </w:r>
      <w:r w:rsidRPr="008B4489">
        <w:rPr>
          <w:spacing w:val="-2"/>
          <w:lang w:eastAsia="ar-SA"/>
        </w:rPr>
        <w:t>un système d</w:t>
      </w:r>
      <w:r>
        <w:rPr>
          <w:spacing w:val="-2"/>
          <w:lang w:eastAsia="ar-SA"/>
        </w:rPr>
        <w:t>’</w:t>
      </w:r>
      <w:r w:rsidRPr="008B4489">
        <w:rPr>
          <w:spacing w:val="-2"/>
          <w:lang w:eastAsia="ar-SA"/>
        </w:rPr>
        <w:t>alarme avec détection à l</w:t>
      </w:r>
      <w:r>
        <w:rPr>
          <w:spacing w:val="-2"/>
          <w:lang w:eastAsia="ar-SA"/>
        </w:rPr>
        <w:t>’</w:t>
      </w:r>
      <w:r w:rsidRPr="008B4489">
        <w:rPr>
          <w:spacing w:val="-2"/>
          <w:lang w:eastAsia="ar-SA"/>
        </w:rPr>
        <w:t xml:space="preserve">intérieur conforme aux Règlements </w:t>
      </w:r>
      <w:r w:rsidRPr="008B4489">
        <w:rPr>
          <w:rFonts w:eastAsia="MS Mincho"/>
          <w:spacing w:val="-2"/>
          <w:lang w:eastAsia="ar-SA"/>
        </w:rPr>
        <w:t>n</w:t>
      </w:r>
      <w:r w:rsidRPr="008B4489">
        <w:rPr>
          <w:rFonts w:eastAsia="MS Mincho"/>
          <w:spacing w:val="-2"/>
          <w:vertAlign w:val="superscript"/>
          <w:lang w:eastAsia="ar-SA"/>
        </w:rPr>
        <w:t>o</w:t>
      </w:r>
      <w:r w:rsidRPr="008B4489">
        <w:rPr>
          <w:spacing w:val="-2"/>
          <w:lang w:eastAsia="ar-SA"/>
        </w:rPr>
        <w:t> 116 ou 97, ou de tout autre équipement capable de détecter le mouvement d</w:t>
      </w:r>
      <w:r>
        <w:rPr>
          <w:spacing w:val="-2"/>
          <w:lang w:eastAsia="ar-SA"/>
        </w:rPr>
        <w:t>’</w:t>
      </w:r>
      <w:r w:rsidRPr="008B4489">
        <w:rPr>
          <w:spacing w:val="-2"/>
          <w:lang w:eastAsia="ar-SA"/>
        </w:rPr>
        <w:t>un occupant</w:t>
      </w:r>
      <w:r w:rsidRPr="008B4489">
        <w:rPr>
          <w:spacing w:val="-2"/>
          <w:lang w:val="fr-FR" w:eastAsia="ar-SA"/>
        </w:rPr>
        <w:t xml:space="preserve">. </w:t>
      </w:r>
      <w:r w:rsidRPr="008B4489">
        <w:rPr>
          <w:spacing w:val="-2"/>
          <w:lang w:eastAsia="ar-SA"/>
        </w:rPr>
        <w:t>L</w:t>
      </w:r>
      <w:r>
        <w:rPr>
          <w:spacing w:val="-2"/>
          <w:lang w:eastAsia="ar-SA"/>
        </w:rPr>
        <w:t>’</w:t>
      </w:r>
      <w:r w:rsidRPr="008B4489">
        <w:rPr>
          <w:spacing w:val="-2"/>
          <w:lang w:eastAsia="ar-SA"/>
        </w:rPr>
        <w:t>activation du système de verrouillage général ne doit pas être possible si le mouvement d</w:t>
      </w:r>
      <w:r>
        <w:rPr>
          <w:spacing w:val="-2"/>
          <w:lang w:eastAsia="ar-SA"/>
        </w:rPr>
        <w:t>’</w:t>
      </w:r>
      <w:r w:rsidRPr="008B4489">
        <w:rPr>
          <w:spacing w:val="-2"/>
          <w:lang w:eastAsia="ar-SA"/>
        </w:rPr>
        <w:t>un occupant est détecté dans l</w:t>
      </w:r>
      <w:r>
        <w:rPr>
          <w:spacing w:val="-2"/>
          <w:lang w:eastAsia="ar-SA"/>
        </w:rPr>
        <w:t>’</w:t>
      </w:r>
      <w:r w:rsidRPr="008B4489">
        <w:rPr>
          <w:spacing w:val="-2"/>
          <w:lang w:eastAsia="ar-SA"/>
        </w:rPr>
        <w:t>habitacle</w:t>
      </w:r>
      <w:r w:rsidRPr="008B4489">
        <w:rPr>
          <w:spacing w:val="-2"/>
          <w:lang w:val="fr-FR" w:eastAsia="ar-SA"/>
        </w:rPr>
        <w:t>; ou</w:t>
      </w:r>
    </w:p>
    <w:p w:rsidR="001C08ED" w:rsidRPr="00A70626" w:rsidRDefault="001C08ED" w:rsidP="001C08ED">
      <w:pPr>
        <w:pStyle w:val="SingleTxtG"/>
        <w:tabs>
          <w:tab w:val="left" w:pos="2268"/>
        </w:tabs>
        <w:ind w:left="2835" w:hanging="1701"/>
        <w:rPr>
          <w:lang w:val="fr-FR" w:eastAsia="ar-SA"/>
        </w:rPr>
      </w:pPr>
      <w:r>
        <w:rPr>
          <w:bCs/>
          <w:lang w:val="fr-FR" w:eastAsia="ar-SA"/>
        </w:rPr>
        <w:tab/>
      </w:r>
      <w:r w:rsidRPr="00CC7B7C">
        <w:rPr>
          <w:bCs/>
          <w:lang w:val="fr-FR" w:eastAsia="ar-SA"/>
        </w:rPr>
        <w:t>b)</w:t>
      </w:r>
      <w:r w:rsidRPr="00CC7B7C">
        <w:rPr>
          <w:bCs/>
          <w:lang w:val="fr-FR" w:eastAsia="ar-SA"/>
        </w:rPr>
        <w:tab/>
        <w:t>Présence dans le véhicule d</w:t>
      </w:r>
      <w:r>
        <w:rPr>
          <w:bCs/>
          <w:lang w:val="fr-FR" w:eastAsia="ar-SA"/>
        </w:rPr>
        <w:t>’</w:t>
      </w:r>
      <w:r w:rsidRPr="00CC7B7C">
        <w:rPr>
          <w:bCs/>
          <w:lang w:val="fr-FR" w:eastAsia="ar-SA"/>
        </w:rPr>
        <w:t>un dispositif d</w:t>
      </w:r>
      <w:r>
        <w:rPr>
          <w:bCs/>
          <w:lang w:val="fr-FR" w:eastAsia="ar-SA"/>
        </w:rPr>
        <w:t>’</w:t>
      </w:r>
      <w:r w:rsidRPr="00CC7B7C">
        <w:rPr>
          <w:bCs/>
          <w:lang w:val="fr-FR" w:eastAsia="ar-SA"/>
        </w:rPr>
        <w:t>avertissement sonore (par exemple d</w:t>
      </w:r>
      <w:r>
        <w:rPr>
          <w:bCs/>
          <w:lang w:val="fr-FR" w:eastAsia="ar-SA"/>
        </w:rPr>
        <w:t>’</w:t>
      </w:r>
      <w:r w:rsidRPr="00CC7B7C">
        <w:rPr>
          <w:bCs/>
          <w:lang w:val="fr-FR" w:eastAsia="ar-SA"/>
        </w:rPr>
        <w:t>un klaxon) qui peut être activé depuis l</w:t>
      </w:r>
      <w:r>
        <w:rPr>
          <w:bCs/>
          <w:lang w:val="fr-FR" w:eastAsia="ar-SA"/>
        </w:rPr>
        <w:t>’</w:t>
      </w:r>
      <w:r w:rsidRPr="00CC7B7C">
        <w:rPr>
          <w:bCs/>
          <w:lang w:val="fr-FR" w:eastAsia="ar-SA"/>
        </w:rPr>
        <w:t>intérieur du véhicule lorsque le contact est coupé et que le système de verrouillage général est activé.</w:t>
      </w:r>
      <w:r w:rsidRPr="003B3C47">
        <w:rPr>
          <w:bCs/>
          <w:lang w:eastAsia="ar-SA"/>
        </w:rPr>
        <w:t>»</w:t>
      </w:r>
      <w:r w:rsidRPr="00CC7B7C">
        <w:rPr>
          <w:bCs/>
          <w:lang w:eastAsia="ar-SA"/>
        </w:rPr>
        <w:t>.</w:t>
      </w:r>
    </w:p>
    <w:p w:rsidR="001C08ED" w:rsidRPr="001B72C9" w:rsidRDefault="001C08ED" w:rsidP="001C08ED">
      <w:pPr>
        <w:pStyle w:val="SingleTxtG"/>
        <w:rPr>
          <w:lang w:val="fr-FR" w:eastAsia="ar-SA"/>
        </w:rPr>
      </w:pPr>
      <w:r w:rsidRPr="003756DE">
        <w:rPr>
          <w:i/>
          <w:lang w:val="fr-FR" w:eastAsia="ar-SA"/>
        </w:rPr>
        <w:t>Insérer de nouveaux paragraphes 13.7 à 13.9</w:t>
      </w:r>
      <w:r w:rsidRPr="001B72C9">
        <w:rPr>
          <w:lang w:val="fr-FR" w:eastAsia="ar-SA"/>
        </w:rPr>
        <w:t xml:space="preserve">, </w:t>
      </w:r>
      <w:r w:rsidRPr="007B6197">
        <w:rPr>
          <w:lang w:val="fr-FR" w:eastAsia="ar-SA"/>
        </w:rPr>
        <w:t>libellés comme suit</w:t>
      </w:r>
      <w:r w:rsidRPr="001B72C9">
        <w:rPr>
          <w:lang w:val="fr-FR" w:eastAsia="ar-SA"/>
        </w:rPr>
        <w:t>:</w:t>
      </w:r>
    </w:p>
    <w:p w:rsidR="001C08ED" w:rsidRPr="00693C34" w:rsidRDefault="001C08ED" w:rsidP="001C08ED">
      <w:pPr>
        <w:pStyle w:val="SingleTxtG"/>
        <w:ind w:left="2268" w:hanging="1134"/>
        <w:rPr>
          <w:bCs/>
          <w:lang w:val="fr-FR" w:eastAsia="ar-SA"/>
        </w:rPr>
      </w:pPr>
      <w:r w:rsidRPr="0014536C">
        <w:rPr>
          <w:bCs/>
          <w:lang w:val="fr-FR" w:eastAsia="ar-SA"/>
        </w:rPr>
        <w:t>«13.7</w:t>
      </w:r>
      <w:r w:rsidRPr="0014536C">
        <w:rPr>
          <w:bCs/>
          <w:lang w:val="fr-FR" w:eastAsia="ar-SA"/>
        </w:rPr>
        <w:tab/>
      </w:r>
      <w:r w:rsidRPr="00693C34">
        <w:rPr>
          <w:bCs/>
          <w:lang w:eastAsia="ar-SA"/>
        </w:rPr>
        <w:t>À compter de la date officielle d</w:t>
      </w:r>
      <w:r>
        <w:rPr>
          <w:bCs/>
          <w:lang w:eastAsia="ar-SA"/>
        </w:rPr>
        <w:t>’entrée en vigueur de la série </w:t>
      </w:r>
      <w:r w:rsidRPr="00693C34">
        <w:rPr>
          <w:bCs/>
          <w:lang w:eastAsia="ar-SA"/>
        </w:rPr>
        <w:t>04 d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amendements, aucune Partie contractante appliquant le présent Règlement ne devra refuser d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accorder ou de reconnaître une homologation de type en application du présent</w:t>
      </w:r>
      <w:r>
        <w:rPr>
          <w:bCs/>
          <w:lang w:eastAsia="ar-SA"/>
        </w:rPr>
        <w:t xml:space="preserve"> Règlement modifié par la série </w:t>
      </w:r>
      <w:r w:rsidRPr="00693C34">
        <w:rPr>
          <w:bCs/>
          <w:lang w:eastAsia="ar-SA"/>
        </w:rPr>
        <w:t>04 d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amendements</w:t>
      </w:r>
      <w:r w:rsidRPr="00693C34">
        <w:rPr>
          <w:bCs/>
          <w:lang w:val="fr-FR" w:eastAsia="ar-SA"/>
        </w:rPr>
        <w:t>.</w:t>
      </w:r>
    </w:p>
    <w:p w:rsidR="001C08ED" w:rsidRPr="00693C34" w:rsidRDefault="001C08ED" w:rsidP="001C08ED">
      <w:pPr>
        <w:pStyle w:val="SingleTxtG"/>
        <w:ind w:left="2268" w:hanging="1134"/>
        <w:rPr>
          <w:bCs/>
          <w:lang w:val="fr-FR" w:eastAsia="ar-SA"/>
        </w:rPr>
      </w:pPr>
      <w:r>
        <w:rPr>
          <w:bCs/>
          <w:lang w:val="fr-FR" w:eastAsia="ar-SA"/>
        </w:rPr>
        <w:t>13.8</w:t>
      </w:r>
      <w:r w:rsidRPr="0014536C">
        <w:rPr>
          <w:bCs/>
          <w:lang w:val="fr-FR" w:eastAsia="ar-SA"/>
        </w:rPr>
        <w:tab/>
      </w:r>
      <w:r w:rsidRPr="00693C34">
        <w:rPr>
          <w:bCs/>
          <w:lang w:val="fr-FR" w:eastAsia="ar-SA"/>
        </w:rPr>
        <w:t>À compter du 1</w:t>
      </w:r>
      <w:r w:rsidRPr="00693C34">
        <w:rPr>
          <w:bCs/>
          <w:vertAlign w:val="superscript"/>
          <w:lang w:val="fr-FR" w:eastAsia="ar-SA"/>
        </w:rPr>
        <w:t>er</w:t>
      </w:r>
      <w:r>
        <w:rPr>
          <w:bCs/>
          <w:lang w:val="fr-FR" w:eastAsia="ar-SA"/>
        </w:rPr>
        <w:t> </w:t>
      </w:r>
      <w:r w:rsidRPr="00693C34">
        <w:rPr>
          <w:bCs/>
          <w:lang w:val="fr-FR" w:eastAsia="ar-SA"/>
        </w:rPr>
        <w:t xml:space="preserve">septembre </w:t>
      </w:r>
      <w:r w:rsidRPr="0014536C">
        <w:rPr>
          <w:bCs/>
          <w:lang w:val="fr-FR" w:eastAsia="ar-SA"/>
        </w:rPr>
        <w:t>2016,</w:t>
      </w:r>
      <w:r w:rsidRPr="00693C34">
        <w:rPr>
          <w:bCs/>
          <w:lang w:val="fr-FR" w:eastAsia="ar-SA"/>
        </w:rPr>
        <w:t xml:space="preserve"> les Parties contractantes appliquant le présent Règlement ne devront délivrer des homologations que si le type de véhicule à homologuer satisfait aux prescriptions du présent</w:t>
      </w:r>
      <w:r>
        <w:rPr>
          <w:bCs/>
          <w:lang w:val="fr-FR" w:eastAsia="ar-SA"/>
        </w:rPr>
        <w:t xml:space="preserve"> Règlement modifié par la série </w:t>
      </w:r>
      <w:r w:rsidRPr="00693C34">
        <w:rPr>
          <w:bCs/>
          <w:lang w:val="fr-FR" w:eastAsia="ar-SA"/>
        </w:rPr>
        <w:t>04 d</w:t>
      </w:r>
      <w:r>
        <w:rPr>
          <w:bCs/>
          <w:lang w:val="fr-FR" w:eastAsia="ar-SA"/>
        </w:rPr>
        <w:t>’</w:t>
      </w:r>
      <w:r w:rsidRPr="00693C34">
        <w:rPr>
          <w:bCs/>
          <w:lang w:val="fr-FR" w:eastAsia="ar-SA"/>
        </w:rPr>
        <w:t>amendements.</w:t>
      </w:r>
    </w:p>
    <w:p w:rsidR="001C08ED" w:rsidRDefault="001C08ED" w:rsidP="001C08ED">
      <w:pPr>
        <w:pStyle w:val="SingleTxtG"/>
        <w:ind w:left="2268" w:hanging="1134"/>
        <w:rPr>
          <w:bCs/>
          <w:lang w:val="fr-FR" w:eastAsia="ar-SA"/>
        </w:rPr>
      </w:pPr>
      <w:r>
        <w:rPr>
          <w:bCs/>
          <w:lang w:val="fr-FR" w:eastAsia="ar-SA"/>
        </w:rPr>
        <w:t>13.9</w:t>
      </w:r>
      <w:r w:rsidRPr="0014536C">
        <w:rPr>
          <w:bCs/>
          <w:lang w:val="fr-FR" w:eastAsia="ar-SA"/>
        </w:rPr>
        <w:tab/>
      </w:r>
      <w:r w:rsidRPr="00693C34">
        <w:rPr>
          <w:bCs/>
          <w:lang w:eastAsia="ar-SA"/>
        </w:rPr>
        <w:t>Les Parties contractantes appliquant le présent Règlement ne pourront refuser d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accorder des extensions d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homologation pour des types de véhicules dont l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homologation a été accordée en vertu des précédentes séries d</w:t>
      </w:r>
      <w:r>
        <w:rPr>
          <w:bCs/>
          <w:lang w:eastAsia="ar-SA"/>
        </w:rPr>
        <w:t>’</w:t>
      </w:r>
      <w:r w:rsidRPr="00693C34">
        <w:rPr>
          <w:bCs/>
          <w:lang w:eastAsia="ar-SA"/>
        </w:rPr>
        <w:t>amendements au présent Règlement</w:t>
      </w:r>
      <w:r w:rsidRPr="00693C34">
        <w:rPr>
          <w:bCs/>
          <w:lang w:val="fr-FR" w:eastAsia="ar-SA"/>
        </w:rPr>
        <w:t>.».</w:t>
      </w:r>
    </w:p>
    <w:p w:rsidR="001C08ED" w:rsidRPr="00693C34" w:rsidRDefault="001C08ED" w:rsidP="001C08ED">
      <w:pPr>
        <w:pStyle w:val="SingleTxtG"/>
      </w:pPr>
      <w:r>
        <w:rPr>
          <w:bCs/>
          <w:lang w:val="fr-FR" w:eastAsia="ar-SA"/>
        </w:rPr>
        <w:br w:type="page"/>
      </w:r>
      <w:r w:rsidRPr="00693C34">
        <w:rPr>
          <w:i/>
        </w:rPr>
        <w:lastRenderedPageBreak/>
        <w:t>Annexe 2</w:t>
      </w:r>
      <w:r w:rsidRPr="00693C34">
        <w:t>, modifier comme suit:</w:t>
      </w:r>
    </w:p>
    <w:p w:rsidR="001C08ED" w:rsidRPr="00693C34" w:rsidRDefault="001C08ED" w:rsidP="001C08ED">
      <w:pPr>
        <w:pStyle w:val="HChG"/>
      </w:pPr>
      <w:r w:rsidRPr="00693C34">
        <w:t>«Annexe 2</w:t>
      </w:r>
    </w:p>
    <w:p w:rsidR="001C08ED" w:rsidRPr="00693C34" w:rsidRDefault="001C08ED" w:rsidP="001C08ED">
      <w:pPr>
        <w:pStyle w:val="HChG"/>
      </w:pPr>
      <w:r w:rsidRPr="0014536C">
        <w:tab/>
      </w:r>
      <w:r w:rsidRPr="0014536C">
        <w:tab/>
      </w:r>
      <w:r w:rsidRPr="00693C34">
        <w:t>Exemples de marques d</w:t>
      </w:r>
      <w:r>
        <w:t>’homologation</w:t>
      </w:r>
    </w:p>
    <w:p w:rsidR="001C08ED" w:rsidRPr="00693C34" w:rsidRDefault="001C08ED" w:rsidP="001C08ED">
      <w:pPr>
        <w:pStyle w:val="Heading1"/>
        <w:spacing w:after="120"/>
        <w:rPr>
          <w:b/>
        </w:rPr>
      </w:pPr>
      <w:r w:rsidRPr="00693C34">
        <w:rPr>
          <w:b/>
        </w:rPr>
        <w:t>Modèle A</w:t>
      </w:r>
      <w:r w:rsidRPr="00693C34">
        <w:rPr>
          <w:b/>
        </w:rPr>
        <w:br/>
      </w:r>
      <w:r>
        <w:t>(voir par. </w:t>
      </w:r>
      <w:r w:rsidRPr="00693C34">
        <w:t>4.4 du présent Règlement)</w:t>
      </w:r>
    </w:p>
    <w:p w:rsidR="001C08ED" w:rsidRPr="00693C34" w:rsidRDefault="00036741" w:rsidP="001C08ED">
      <w:pPr>
        <w:tabs>
          <w:tab w:val="left" w:pos="7560"/>
          <w:tab w:val="right" w:pos="9469"/>
        </w:tabs>
        <w:suppressAutoHyphens w:val="0"/>
        <w:spacing w:after="120"/>
        <w:ind w:left="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pt;height:90.6pt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C08ED" w:rsidRPr="00693C34" w:rsidRDefault="001C08ED" w:rsidP="001C08ED">
      <w:pPr>
        <w:pStyle w:val="SingleTxtG"/>
        <w:ind w:firstLine="567"/>
      </w:pPr>
      <w:r w:rsidRPr="00693C34">
        <w:t>La marque d</w:t>
      </w:r>
      <w:r>
        <w:t>’</w:t>
      </w:r>
      <w:r w:rsidRPr="00693C34">
        <w:t>homologation ci-dessus … Règlement</w:t>
      </w:r>
      <w:r>
        <w:t xml:space="preserve">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693C34">
        <w:t>11, sous le numéro d</w:t>
      </w:r>
      <w:r>
        <w:t>’homologation </w:t>
      </w:r>
      <w:r w:rsidRPr="00A66AAC">
        <w:t>0</w:t>
      </w:r>
      <w:r>
        <w:t>4</w:t>
      </w:r>
      <w:r w:rsidRPr="00A66AAC">
        <w:t>2439</w:t>
      </w:r>
      <w:r w:rsidRPr="00693C34">
        <w:t>…</w:t>
      </w:r>
    </w:p>
    <w:p w:rsidR="001C08ED" w:rsidRPr="00693C34" w:rsidRDefault="001C08ED" w:rsidP="001C08ED">
      <w:pPr>
        <w:pStyle w:val="Heading1"/>
        <w:spacing w:after="120"/>
        <w:rPr>
          <w:b/>
        </w:rPr>
      </w:pPr>
      <w:r w:rsidRPr="00693C34">
        <w:rPr>
          <w:b/>
        </w:rPr>
        <w:t>Modèle B</w:t>
      </w:r>
      <w:r w:rsidRPr="00693C34">
        <w:rPr>
          <w:b/>
        </w:rPr>
        <w:br/>
      </w:r>
      <w:r>
        <w:t>(voir par. </w:t>
      </w:r>
      <w:r w:rsidRPr="00693C34">
        <w:t>4.5 du présent Règlement)</w:t>
      </w:r>
    </w:p>
    <w:p w:rsidR="001C08ED" w:rsidRPr="00693C34" w:rsidRDefault="00036741" w:rsidP="001C08ED">
      <w:pPr>
        <w:ind w:left="1134"/>
      </w:pPr>
      <w:r>
        <w:pict>
          <v:shape id="_x0000_i1026" type="#_x0000_t75" style="width:366pt;height:89.4pt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C08ED" w:rsidRPr="00693C34" w:rsidRDefault="001C08ED" w:rsidP="001C08ED">
      <w:pPr>
        <w:pStyle w:val="SingleTxtG"/>
        <w:spacing w:before="120"/>
        <w:ind w:firstLine="567"/>
        <w:rPr>
          <w:lang w:val="fr-FR"/>
        </w:rPr>
      </w:pPr>
      <w:r w:rsidRPr="00693C34">
        <w:t>La marque d</w:t>
      </w:r>
      <w:r>
        <w:t>’</w:t>
      </w:r>
      <w:r w:rsidRPr="00693C34">
        <w:t>homologation ci-dessus … Règlement</w:t>
      </w:r>
      <w:r>
        <w:t xml:space="preserve">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693C34">
        <w:t>11 tel qu</w:t>
      </w:r>
      <w:r>
        <w:t xml:space="preserve">’amendé par la série 04 </w:t>
      </w:r>
      <w:r w:rsidRPr="00693C34">
        <w:t>d</w:t>
      </w:r>
      <w:r>
        <w:t>’</w:t>
      </w:r>
      <w:r w:rsidRPr="00693C34">
        <w:t>amendements</w:t>
      </w:r>
      <w:r w:rsidR="007E46AA">
        <w:t xml:space="preserve"> </w:t>
      </w:r>
      <w:r w:rsidRPr="00693C34">
        <w:t>…».</w:t>
      </w:r>
    </w:p>
    <w:p w:rsidR="001C08ED" w:rsidRPr="009C1F26" w:rsidRDefault="001C08ED" w:rsidP="001C08E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5F0207" w:rsidRPr="00DD1ED8" w:rsidRDefault="005F0207" w:rsidP="001C08ED">
      <w:pPr>
        <w:pStyle w:val="SingleTxtG"/>
        <w:rPr>
          <w:u w:val="single"/>
        </w:rPr>
      </w:pPr>
    </w:p>
    <w:sectPr w:rsidR="005F0207" w:rsidRPr="00DD1ED8" w:rsidSect="000314C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45" w:rsidRDefault="00A75C45"/>
  </w:endnote>
  <w:endnote w:type="continuationSeparator" w:id="0">
    <w:p w:rsidR="00A75C45" w:rsidRDefault="00A75C45">
      <w:pPr>
        <w:pStyle w:val="Footer"/>
      </w:pPr>
    </w:p>
  </w:endnote>
  <w:endnote w:type="continuationNotice" w:id="1">
    <w:p w:rsidR="00A75C45" w:rsidRPr="00C451B9" w:rsidRDefault="00A75C4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036741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036741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036741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036741" w:rsidP="00E97E2C">
    <w:pPr>
      <w:jc w:val="center"/>
      <w:rPr>
        <w:b/>
        <w:bCs/>
        <w:sz w:val="22"/>
      </w:rPr>
    </w:pPr>
    <w:r>
      <w:pict>
        <v:shape id="_x0000_i1027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45" w:rsidRPr="00D27D5E" w:rsidRDefault="00A75C4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5C45" w:rsidRPr="00D171D4" w:rsidRDefault="00A75C4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75C45" w:rsidRPr="00C451B9" w:rsidRDefault="00A75C4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0314C7" w:rsidRPr="00A92017">
      <w:t>/Add.10/Rev.</w:t>
    </w:r>
    <w:r w:rsidR="00A92017" w:rsidRPr="00A92017">
      <w:t>2</w:t>
    </w:r>
    <w:r w:rsidR="000314C7" w:rsidRPr="00A92017">
      <w:t>/Amend.1</w:t>
    </w:r>
    <w:r>
      <w:br/>
      <w:t>E/ECE/TRANS/505</w:t>
    </w:r>
    <w:r w:rsidR="000314C7" w:rsidRPr="00A92017">
      <w:t>/Add.10/Rev.</w:t>
    </w:r>
    <w:r w:rsidR="00A92017" w:rsidRPr="00A92017">
      <w:t>2</w:t>
    </w:r>
    <w:r w:rsidR="000314C7" w:rsidRPr="00A92017">
      <w:t>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E/ECE/324</w:t>
    </w:r>
    <w:r w:rsidR="000314C7" w:rsidRPr="00A92017">
      <w:t>/Add.10/Rev.</w:t>
    </w:r>
    <w:r w:rsidR="00A92017" w:rsidRPr="00A92017">
      <w:t>2</w:t>
    </w:r>
    <w:r w:rsidR="000314C7" w:rsidRPr="00A92017">
      <w:t>/Amend.1</w:t>
    </w:r>
    <w:r>
      <w:br/>
      <w:t>E/ECE/TRANS/505</w:t>
    </w:r>
    <w:r w:rsidR="000314C7" w:rsidRPr="00A92017">
      <w:t>/Add.10/Rev.</w:t>
    </w:r>
    <w:r w:rsidR="00A92017" w:rsidRPr="00A92017">
      <w:t>2</w:t>
    </w:r>
    <w:r w:rsidR="000314C7" w:rsidRPr="00A92017">
      <w:t>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6741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09B5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07AEB"/>
    <w:rsid w:val="00317E54"/>
    <w:rsid w:val="00322DF1"/>
    <w:rsid w:val="00324EBF"/>
    <w:rsid w:val="0032556C"/>
    <w:rsid w:val="00330508"/>
    <w:rsid w:val="00331A59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2DCF"/>
    <w:rsid w:val="005C549A"/>
    <w:rsid w:val="005D7719"/>
    <w:rsid w:val="005E1B9B"/>
    <w:rsid w:val="005E32D1"/>
    <w:rsid w:val="005E5D1F"/>
    <w:rsid w:val="005F0207"/>
    <w:rsid w:val="00610170"/>
    <w:rsid w:val="0061113B"/>
    <w:rsid w:val="00611D43"/>
    <w:rsid w:val="00612D48"/>
    <w:rsid w:val="00613A5E"/>
    <w:rsid w:val="00616B45"/>
    <w:rsid w:val="006241C6"/>
    <w:rsid w:val="0062730B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692F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E46AA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5C45"/>
    <w:rsid w:val="00A81F93"/>
    <w:rsid w:val="00A92017"/>
    <w:rsid w:val="00A9247E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05CB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01F4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A9D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20AD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3067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7E4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6AA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2015-06-05T09:46:00Z</cp:lastPrinted>
  <dcterms:created xsi:type="dcterms:W3CDTF">2015-06-15T09:28:00Z</dcterms:created>
  <dcterms:modified xsi:type="dcterms:W3CDTF">2015-06-22T09:40:00Z</dcterms:modified>
</cp:coreProperties>
</file>