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984" w:rsidRDefault="00BE1984" w:rsidP="001807C9">
      <w:pPr>
        <w:pStyle w:val="HChG"/>
        <w:jc w:val="center"/>
      </w:pPr>
      <w:r>
        <w:t>Comments on GRVA-07-06</w:t>
      </w:r>
    </w:p>
    <w:p w:rsidR="001807C9" w:rsidRPr="00785D22" w:rsidRDefault="001807C9" w:rsidP="001807C9">
      <w:pPr>
        <w:pStyle w:val="HChG"/>
        <w:jc w:val="center"/>
      </w:pPr>
      <w:r w:rsidRPr="00785D22">
        <w:t xml:space="preserve">Proposal for </w:t>
      </w:r>
      <w:r w:rsidR="00986E78" w:rsidRPr="00785D22">
        <w:t xml:space="preserve">a </w:t>
      </w:r>
      <w:r w:rsidR="00B4542F">
        <w:t>S</w:t>
      </w:r>
      <w:r w:rsidR="00986E78" w:rsidRPr="00785D22">
        <w:t xml:space="preserve">upplement </w:t>
      </w:r>
      <w:r w:rsidRPr="00785D22">
        <w:t xml:space="preserve">to </w:t>
      </w:r>
      <w:r w:rsidR="00970ADA" w:rsidRPr="00785D22">
        <w:t>UN R</w:t>
      </w:r>
      <w:r w:rsidR="00EC6792" w:rsidRPr="00785D22">
        <w:t>egulation</w:t>
      </w:r>
      <w:r w:rsidR="00986E78" w:rsidRPr="00785D22">
        <w:t xml:space="preserve"> No. [157] (ALKS)</w:t>
      </w:r>
    </w:p>
    <w:p w:rsidR="00970ADA" w:rsidRDefault="00970ADA" w:rsidP="00970ADA">
      <w:pPr>
        <w:spacing w:after="120" w:line="240" w:lineRule="auto"/>
        <w:ind w:left="1134" w:right="1134"/>
        <w:jc w:val="both"/>
        <w:rPr>
          <w:rFonts w:asciiTheme="majorBidi" w:hAnsiTheme="majorBidi" w:cstheme="majorBidi"/>
          <w:lang w:val="en-US"/>
        </w:rPr>
      </w:pPr>
      <w:r w:rsidRPr="00785D22">
        <w:rPr>
          <w:rFonts w:asciiTheme="majorBidi" w:hAnsiTheme="majorBidi" w:cstheme="majorBidi"/>
          <w:i/>
          <w:lang w:val="en-US"/>
        </w:rPr>
        <w:t xml:space="preserve">Note: </w:t>
      </w:r>
      <w:r w:rsidRPr="00785D22">
        <w:rPr>
          <w:rFonts w:asciiTheme="majorBidi" w:hAnsiTheme="majorBidi" w:cstheme="majorBidi"/>
          <w:lang w:val="en-US"/>
        </w:rPr>
        <w:t xml:space="preserve">the text </w:t>
      </w:r>
      <w:r w:rsidR="002F3867" w:rsidRPr="00785D22">
        <w:rPr>
          <w:rFonts w:asciiTheme="majorBidi" w:hAnsiTheme="majorBidi" w:cstheme="majorBidi"/>
          <w:lang w:val="en-US"/>
        </w:rPr>
        <w:t xml:space="preserve">of amendments </w:t>
      </w:r>
      <w:r w:rsidR="00986E78" w:rsidRPr="00785D22">
        <w:rPr>
          <w:rFonts w:asciiTheme="majorBidi" w:hAnsiTheme="majorBidi" w:cstheme="majorBidi"/>
          <w:lang w:val="en-US"/>
        </w:rPr>
        <w:t xml:space="preserve">was drafted by the experts from the </w:t>
      </w:r>
      <w:r w:rsidRPr="00785D22">
        <w:rPr>
          <w:rFonts w:asciiTheme="majorBidi" w:hAnsiTheme="majorBidi" w:cstheme="majorBidi"/>
          <w:lang w:val="en-US"/>
        </w:rPr>
        <w:t>EC</w:t>
      </w:r>
      <w:r w:rsidR="00986E78" w:rsidRPr="00785D22">
        <w:rPr>
          <w:rFonts w:asciiTheme="majorBidi" w:hAnsiTheme="majorBidi" w:cstheme="majorBidi"/>
          <w:lang w:val="en-US"/>
        </w:rPr>
        <w:t xml:space="preserve"> and </w:t>
      </w:r>
      <w:r w:rsidR="00E619AE" w:rsidRPr="00785D22">
        <w:rPr>
          <w:rFonts w:asciiTheme="majorBidi" w:hAnsiTheme="majorBidi" w:cstheme="majorBidi"/>
          <w:lang w:val="en-US"/>
        </w:rPr>
        <w:t>the Russian Federation</w:t>
      </w:r>
      <w:r w:rsidR="00986E78" w:rsidRPr="00785D22">
        <w:rPr>
          <w:rFonts w:asciiTheme="majorBidi" w:hAnsiTheme="majorBidi" w:cstheme="majorBidi"/>
          <w:lang w:val="en-US"/>
        </w:rPr>
        <w:t xml:space="preserve"> in response to the issues raised by the expert from the Russian Federation at the 6</w:t>
      </w:r>
      <w:r w:rsidR="00986E78" w:rsidRPr="00785D22">
        <w:rPr>
          <w:rFonts w:asciiTheme="majorBidi" w:hAnsiTheme="majorBidi" w:cstheme="majorBidi"/>
          <w:vertAlign w:val="superscript"/>
          <w:lang w:val="en-US"/>
        </w:rPr>
        <w:t>th</w:t>
      </w:r>
      <w:r w:rsidR="00986E78" w:rsidRPr="00785D22">
        <w:rPr>
          <w:rFonts w:asciiTheme="majorBidi" w:hAnsiTheme="majorBidi" w:cstheme="majorBidi"/>
          <w:lang w:val="en-US"/>
        </w:rPr>
        <w:t xml:space="preserve"> GRVA session. This version of the text was prepared by the expert from the </w:t>
      </w:r>
      <w:r w:rsidR="00EF5289" w:rsidRPr="00785D22">
        <w:rPr>
          <w:rFonts w:asciiTheme="majorBidi" w:hAnsiTheme="majorBidi" w:cstheme="majorBidi"/>
          <w:lang w:val="en-US"/>
        </w:rPr>
        <w:t xml:space="preserve">Russian Federation after the </w:t>
      </w:r>
      <w:proofErr w:type="spellStart"/>
      <w:r w:rsidR="00EF5289" w:rsidRPr="00785D22">
        <w:rPr>
          <w:rFonts w:asciiTheme="majorBidi" w:hAnsiTheme="majorBidi" w:cstheme="majorBidi"/>
          <w:lang w:val="en-US"/>
        </w:rPr>
        <w:t>Webex</w:t>
      </w:r>
      <w:proofErr w:type="spellEnd"/>
      <w:r w:rsidR="00EF5289" w:rsidRPr="00785D22">
        <w:rPr>
          <w:rFonts w:asciiTheme="majorBidi" w:hAnsiTheme="majorBidi" w:cstheme="majorBidi"/>
          <w:lang w:val="en-US"/>
        </w:rPr>
        <w:t xml:space="preserve"> meeting </w:t>
      </w:r>
      <w:r w:rsidR="00986E78" w:rsidRPr="00785D22">
        <w:rPr>
          <w:rFonts w:asciiTheme="majorBidi" w:hAnsiTheme="majorBidi" w:cstheme="majorBidi"/>
          <w:lang w:val="en-US"/>
        </w:rPr>
        <w:t xml:space="preserve">of the interested Contracting Parties hosted by the EC </w:t>
      </w:r>
      <w:r w:rsidR="00EF5289" w:rsidRPr="00785D22">
        <w:rPr>
          <w:rFonts w:asciiTheme="majorBidi" w:hAnsiTheme="majorBidi" w:cstheme="majorBidi"/>
          <w:lang w:val="en-US"/>
        </w:rPr>
        <w:t>on 28 July 2020.</w:t>
      </w:r>
      <w:bookmarkStart w:id="0" w:name="_GoBack"/>
      <w:bookmarkEnd w:id="0"/>
    </w:p>
    <w:p w:rsidR="00D83683" w:rsidRDefault="00D83683" w:rsidP="00970ADA">
      <w:pPr>
        <w:spacing w:after="120" w:line="240" w:lineRule="auto"/>
        <w:ind w:left="1134" w:right="1134"/>
        <w:jc w:val="both"/>
        <w:rPr>
          <w:rFonts w:asciiTheme="majorBidi" w:hAnsiTheme="majorBidi" w:cstheme="majorBidi"/>
          <w:i/>
          <w:lang w:val="en-US"/>
        </w:rPr>
      </w:pPr>
    </w:p>
    <w:p w:rsidR="00986E78" w:rsidRPr="00BE1984" w:rsidRDefault="00D83683" w:rsidP="00BE1984">
      <w:pPr>
        <w:spacing w:after="120" w:line="240" w:lineRule="auto"/>
        <w:ind w:left="1134" w:right="1134"/>
        <w:jc w:val="both"/>
        <w:rPr>
          <w:rFonts w:asciiTheme="majorBidi" w:hAnsiTheme="majorBidi" w:cstheme="majorBidi"/>
          <w:lang w:val="en-US"/>
        </w:rPr>
      </w:pPr>
      <w:r w:rsidRPr="00D83683">
        <w:rPr>
          <w:rFonts w:asciiTheme="majorBidi" w:hAnsiTheme="majorBidi" w:cstheme="majorBidi"/>
          <w:lang w:val="en-US"/>
        </w:rPr>
        <w:t xml:space="preserve">OICA/CLEPA responses to the amendments proposed by the Russian Federation can be found below in </w:t>
      </w:r>
      <w:r w:rsidRPr="00D83683">
        <w:rPr>
          <w:rFonts w:asciiTheme="majorBidi" w:hAnsiTheme="majorBidi" w:cstheme="majorBidi"/>
          <w:b/>
          <w:color w:val="0070C0"/>
          <w:lang w:val="en-US"/>
        </w:rPr>
        <w:t>blue</w:t>
      </w:r>
      <w:r w:rsidRPr="00D83683">
        <w:rPr>
          <w:rFonts w:asciiTheme="majorBidi" w:hAnsiTheme="majorBidi" w:cstheme="majorBidi"/>
          <w:lang w:val="en-US"/>
        </w:rPr>
        <w:t xml:space="preserve"> text. </w:t>
      </w:r>
    </w:p>
    <w:p w:rsidR="000C6927" w:rsidRPr="00785D22" w:rsidRDefault="00986E78" w:rsidP="001807C9">
      <w:pPr>
        <w:pStyle w:val="HChG"/>
      </w:pPr>
      <w:r w:rsidRPr="00785D22">
        <w:tab/>
      </w:r>
      <w:r w:rsidR="000C6927" w:rsidRPr="00785D22">
        <w:t>I.</w:t>
      </w:r>
      <w:r w:rsidR="000C6927" w:rsidRPr="00785D22">
        <w:tab/>
        <w:t>Proposal</w:t>
      </w:r>
    </w:p>
    <w:p w:rsidR="00463B82" w:rsidRPr="00785D22" w:rsidRDefault="007D4AE5" w:rsidP="004A5DB7">
      <w:pPr>
        <w:spacing w:after="120" w:line="240" w:lineRule="auto"/>
        <w:ind w:left="1134" w:right="1134"/>
        <w:jc w:val="both"/>
        <w:rPr>
          <w:rFonts w:asciiTheme="majorBidi" w:hAnsiTheme="majorBidi" w:cstheme="majorBidi"/>
          <w:i/>
          <w:lang w:val="sv-SE"/>
        </w:rPr>
      </w:pPr>
      <w:r w:rsidRPr="00785D22">
        <w:rPr>
          <w:rFonts w:asciiTheme="majorBidi" w:hAnsiTheme="majorBidi" w:cstheme="majorBidi"/>
          <w:i/>
          <w:lang w:val="sv-SE"/>
        </w:rPr>
        <w:t xml:space="preserve">Paragraph 5.2.5., </w:t>
      </w:r>
      <w:r w:rsidR="00EF659D" w:rsidRPr="00785D22">
        <w:rPr>
          <w:rFonts w:asciiTheme="majorBidi" w:hAnsiTheme="majorBidi" w:cstheme="majorBidi"/>
          <w:iCs/>
          <w:lang w:val="sv-SE"/>
        </w:rPr>
        <w:t xml:space="preserve">delete the </w:t>
      </w:r>
      <w:r w:rsidR="00EF659D" w:rsidRPr="00785D22">
        <w:rPr>
          <w:rFonts w:asciiTheme="majorBidi" w:hAnsiTheme="majorBidi" w:cstheme="majorBidi"/>
          <w:iCs/>
          <w:lang w:val="en-US"/>
        </w:rPr>
        <w:t>second subparagraph</w:t>
      </w:r>
      <w:r w:rsidRPr="00785D22">
        <w:rPr>
          <w:rFonts w:asciiTheme="majorBidi" w:hAnsiTheme="majorBidi" w:cstheme="majorBidi"/>
          <w:iCs/>
          <w:lang w:val="sv-SE"/>
        </w:rPr>
        <w:t>:</w:t>
      </w:r>
    </w:p>
    <w:p w:rsidR="007D4AE5" w:rsidRPr="00785D22" w:rsidRDefault="00F468CD" w:rsidP="007D4AE5">
      <w:pPr>
        <w:pStyle w:val="para"/>
        <w:adjustRightInd w:val="0"/>
        <w:snapToGrid w:val="0"/>
        <w:spacing w:line="240" w:lineRule="auto"/>
        <w:rPr>
          <w:bCs/>
        </w:rPr>
      </w:pPr>
      <w:r w:rsidRPr="00785D22">
        <w:rPr>
          <w:bCs/>
        </w:rPr>
        <w:t>“</w:t>
      </w:r>
      <w:r w:rsidR="007D4AE5" w:rsidRPr="00785D22">
        <w:rPr>
          <w:bCs/>
        </w:rPr>
        <w:t>5.2.5.</w:t>
      </w:r>
      <w:r w:rsidR="007D4AE5" w:rsidRPr="00785D22">
        <w:rPr>
          <w:bCs/>
        </w:rPr>
        <w:tab/>
        <w:t>The activated system shall detect the risk of collision in particular with another road user ahead or beside the vehicle, due to a decelerating lead vehicle, a cutting in vehicle or a suddenly appearing obstacle and shall automatically perform appropriate manoeuvres to minimize risks to safety of the vehicle occupants and other road users.</w:t>
      </w:r>
    </w:p>
    <w:p w:rsidR="00463B82" w:rsidRPr="00785D22" w:rsidRDefault="007D4AE5" w:rsidP="007D4AE5">
      <w:pPr>
        <w:spacing w:after="120" w:line="240" w:lineRule="auto"/>
        <w:ind w:left="2268" w:right="1134"/>
        <w:jc w:val="both"/>
        <w:rPr>
          <w:rFonts w:asciiTheme="majorBidi" w:hAnsiTheme="majorBidi" w:cstheme="majorBidi"/>
          <w:i/>
          <w:strike/>
          <w:lang w:val="sv-SE"/>
        </w:rPr>
      </w:pPr>
      <w:r w:rsidRPr="00785D22">
        <w:rPr>
          <w:bCs/>
          <w:strike/>
        </w:rPr>
        <w:t>For conditions not specified in paragraphs 5.2.4., 5.2.5. or its subparagraphs, t</w:t>
      </w:r>
      <w:r w:rsidRPr="00785D22">
        <w:rPr>
          <w:rFonts w:hint="eastAsia"/>
          <w:bCs/>
          <w:strike/>
        </w:rPr>
        <w:t xml:space="preserve">his shall be ensured </w:t>
      </w:r>
      <w:r w:rsidRPr="00785D22">
        <w:rPr>
          <w:bCs/>
          <w:strike/>
        </w:rPr>
        <w:t>at least to</w:t>
      </w:r>
      <w:r w:rsidRPr="00785D22">
        <w:rPr>
          <w:rFonts w:hint="eastAsia"/>
          <w:bCs/>
          <w:strike/>
        </w:rPr>
        <w:t xml:space="preserve"> the level </w:t>
      </w:r>
      <w:r w:rsidRPr="00785D22">
        <w:rPr>
          <w:bCs/>
          <w:strike/>
        </w:rPr>
        <w:t>at</w:t>
      </w:r>
      <w:r w:rsidRPr="00785D22">
        <w:rPr>
          <w:rFonts w:hint="eastAsia"/>
          <w:bCs/>
          <w:strike/>
        </w:rPr>
        <w:t xml:space="preserve"> which a </w:t>
      </w:r>
      <w:r w:rsidRPr="00785D22">
        <w:rPr>
          <w:bCs/>
          <w:strike/>
        </w:rPr>
        <w:t xml:space="preserve">competent and careful </w:t>
      </w:r>
      <w:r w:rsidRPr="00785D22">
        <w:rPr>
          <w:rFonts w:hint="eastAsia"/>
          <w:bCs/>
          <w:strike/>
        </w:rPr>
        <w:t xml:space="preserve">human driver could </w:t>
      </w:r>
      <w:r w:rsidRPr="00785D22">
        <w:rPr>
          <w:bCs/>
          <w:strike/>
        </w:rPr>
        <w:t>minimize the risks</w:t>
      </w:r>
      <w:r w:rsidRPr="00785D22">
        <w:rPr>
          <w:rFonts w:hint="eastAsia"/>
          <w:bCs/>
          <w:strike/>
        </w:rPr>
        <w:t>.</w:t>
      </w:r>
      <w:r w:rsidRPr="00785D22">
        <w:rPr>
          <w:bCs/>
          <w:strike/>
        </w:rPr>
        <w:t xml:space="preserve"> This shall be demonstrated in the assessment carried out under Annex 4</w:t>
      </w:r>
      <w:r w:rsidR="00F468CD" w:rsidRPr="00785D22">
        <w:rPr>
          <w:bCs/>
          <w:strike/>
        </w:rPr>
        <w:t>.</w:t>
      </w:r>
      <w:r w:rsidRPr="00785D22">
        <w:rPr>
          <w:bCs/>
          <w:strike/>
        </w:rPr>
        <w:t xml:space="preserve"> and by taking guidance from Appendix 3 to Annex 4</w:t>
      </w:r>
      <w:r w:rsidRPr="00785D22">
        <w:rPr>
          <w:b/>
          <w:strike/>
        </w:rPr>
        <w:t>.</w:t>
      </w:r>
      <w:r w:rsidR="00F468CD" w:rsidRPr="00785D22">
        <w:rPr>
          <w:b/>
        </w:rPr>
        <w:t>”</w:t>
      </w:r>
    </w:p>
    <w:p w:rsidR="00EF659D" w:rsidRPr="00785D22" w:rsidRDefault="00EF659D" w:rsidP="004A5DB7">
      <w:pPr>
        <w:spacing w:after="120" w:line="240" w:lineRule="auto"/>
        <w:ind w:left="1134" w:right="1134"/>
        <w:jc w:val="both"/>
        <w:rPr>
          <w:rFonts w:asciiTheme="majorBidi" w:hAnsiTheme="majorBidi" w:cstheme="majorBidi"/>
          <w:i/>
          <w:lang w:val="en-US"/>
        </w:rPr>
      </w:pPr>
      <w:r w:rsidRPr="00785D22">
        <w:rPr>
          <w:rFonts w:asciiTheme="majorBidi" w:hAnsiTheme="majorBidi" w:cstheme="majorBidi"/>
          <w:i/>
          <w:lang w:val="en-US"/>
        </w:rPr>
        <w:t>Add the new paragraph 5.</w:t>
      </w:r>
      <w:r w:rsidR="00C453AD" w:rsidRPr="00785D22">
        <w:rPr>
          <w:rFonts w:asciiTheme="majorBidi" w:hAnsiTheme="majorBidi" w:cstheme="majorBidi"/>
          <w:i/>
          <w:lang w:val="en-US"/>
        </w:rPr>
        <w:t>2.</w:t>
      </w:r>
      <w:r w:rsidRPr="00785D22">
        <w:rPr>
          <w:rFonts w:asciiTheme="majorBidi" w:hAnsiTheme="majorBidi" w:cstheme="majorBidi"/>
          <w:i/>
          <w:lang w:val="en-US"/>
        </w:rPr>
        <w:t xml:space="preserve">6. </w:t>
      </w:r>
      <w:r w:rsidRPr="00785D22">
        <w:rPr>
          <w:rFonts w:asciiTheme="majorBidi" w:hAnsiTheme="majorBidi" w:cstheme="majorBidi"/>
          <w:iCs/>
          <w:lang w:val="en-US"/>
        </w:rPr>
        <w:t>to read:</w:t>
      </w:r>
    </w:p>
    <w:p w:rsidR="00EF659D" w:rsidRDefault="00785D22" w:rsidP="00EF659D">
      <w:pPr>
        <w:pStyle w:val="para"/>
        <w:adjustRightInd w:val="0"/>
        <w:snapToGrid w:val="0"/>
        <w:spacing w:line="240" w:lineRule="auto"/>
        <w:rPr>
          <w:b/>
          <w:bCs/>
        </w:rPr>
      </w:pPr>
      <w:r>
        <w:rPr>
          <w:b/>
          <w:bCs/>
          <w:lang w:val="en-US"/>
        </w:rPr>
        <w:t>“</w:t>
      </w:r>
      <w:r w:rsidR="00EF659D" w:rsidRPr="00785D22">
        <w:rPr>
          <w:b/>
          <w:bCs/>
          <w:lang w:val="en-US"/>
        </w:rPr>
        <w:t>5.2.6.</w:t>
      </w:r>
      <w:r w:rsidR="00EF659D" w:rsidRPr="00785D22">
        <w:rPr>
          <w:b/>
          <w:bCs/>
          <w:lang w:val="en-US"/>
        </w:rPr>
        <w:tab/>
      </w:r>
      <w:r w:rsidR="00EF659D" w:rsidRPr="00785D22">
        <w:rPr>
          <w:b/>
          <w:bCs/>
        </w:rPr>
        <w:t xml:space="preserve">For conditions not specified in paragraphs 5.2.4., 5.2.5. or its subparagraphs, </w:t>
      </w:r>
      <w:r w:rsidR="00EF659D" w:rsidRPr="00785D22">
        <w:rPr>
          <w:b/>
          <w:bCs/>
          <w:lang w:val="en-US"/>
        </w:rPr>
        <w:t xml:space="preserve">the performance of the system </w:t>
      </w:r>
      <w:r w:rsidR="00EF659D" w:rsidRPr="00785D22">
        <w:rPr>
          <w:rFonts w:hint="eastAsia"/>
          <w:b/>
          <w:bCs/>
        </w:rPr>
        <w:t xml:space="preserve">shall be ensured </w:t>
      </w:r>
      <w:r w:rsidR="00EF659D" w:rsidRPr="00785D22">
        <w:rPr>
          <w:b/>
          <w:bCs/>
        </w:rPr>
        <w:t>at least to</w:t>
      </w:r>
      <w:r w:rsidR="00EF659D" w:rsidRPr="00785D22">
        <w:rPr>
          <w:rFonts w:hint="eastAsia"/>
          <w:b/>
          <w:bCs/>
        </w:rPr>
        <w:t xml:space="preserve"> the level </w:t>
      </w:r>
      <w:r w:rsidR="00EF659D" w:rsidRPr="00785D22">
        <w:rPr>
          <w:b/>
          <w:bCs/>
        </w:rPr>
        <w:t>at</w:t>
      </w:r>
      <w:r w:rsidR="00EF659D" w:rsidRPr="00785D22">
        <w:rPr>
          <w:rFonts w:hint="eastAsia"/>
          <w:b/>
          <w:bCs/>
        </w:rPr>
        <w:t xml:space="preserve"> which a </w:t>
      </w:r>
      <w:r w:rsidR="00EF659D" w:rsidRPr="00785D22">
        <w:rPr>
          <w:b/>
          <w:bCs/>
        </w:rPr>
        <w:t xml:space="preserve">competent and careful </w:t>
      </w:r>
      <w:r w:rsidR="00EF659D" w:rsidRPr="00785D22">
        <w:rPr>
          <w:rFonts w:hint="eastAsia"/>
          <w:b/>
          <w:bCs/>
        </w:rPr>
        <w:t xml:space="preserve">human driver could </w:t>
      </w:r>
      <w:r w:rsidR="00EF659D" w:rsidRPr="00785D22">
        <w:rPr>
          <w:b/>
          <w:bCs/>
        </w:rPr>
        <w:t>minimize the risks</w:t>
      </w:r>
      <w:r w:rsidR="00EF659D" w:rsidRPr="00785D22">
        <w:rPr>
          <w:rFonts w:hint="eastAsia"/>
          <w:b/>
          <w:bCs/>
        </w:rPr>
        <w:t>.</w:t>
      </w:r>
      <w:r w:rsidR="00EF659D" w:rsidRPr="00785D22">
        <w:rPr>
          <w:b/>
          <w:bCs/>
        </w:rPr>
        <w:t xml:space="preserve"> The attentive human driver performance model and related parameters in the traffic critical disturbance scenarios from Annex 3 may be taken as guidance. The capabilities of the system shall be demonstrated in the assessment carried out under Annex 4.</w:t>
      </w:r>
      <w:r>
        <w:rPr>
          <w:b/>
          <w:bCs/>
        </w:rPr>
        <w:t>”</w:t>
      </w:r>
    </w:p>
    <w:p w:rsidR="003A399E" w:rsidRPr="003A399E" w:rsidRDefault="00CB5C77" w:rsidP="003A399E">
      <w:pPr>
        <w:pStyle w:val="para"/>
        <w:numPr>
          <w:ilvl w:val="0"/>
          <w:numId w:val="20"/>
        </w:numPr>
        <w:adjustRightInd w:val="0"/>
        <w:snapToGrid w:val="0"/>
        <w:spacing w:line="240" w:lineRule="auto"/>
        <w:rPr>
          <w:b/>
          <w:bCs/>
          <w:color w:val="0070C0"/>
          <w:lang w:val="en-US"/>
        </w:rPr>
      </w:pPr>
      <w:r>
        <w:rPr>
          <w:b/>
          <w:bCs/>
          <w:color w:val="0070C0"/>
        </w:rPr>
        <w:t>OICA/CLEPA</w:t>
      </w:r>
      <w:r w:rsidR="003A399E" w:rsidRPr="003A399E">
        <w:rPr>
          <w:b/>
          <w:bCs/>
          <w:color w:val="0070C0"/>
        </w:rPr>
        <w:t xml:space="preserve">: </w:t>
      </w:r>
      <w:r>
        <w:rPr>
          <w:b/>
          <w:bCs/>
          <w:color w:val="0070C0"/>
        </w:rPr>
        <w:t xml:space="preserve">no objection. </w:t>
      </w:r>
    </w:p>
    <w:p w:rsidR="005F16ED" w:rsidRPr="00785D22" w:rsidRDefault="007D4AE5" w:rsidP="004A5DB7">
      <w:pPr>
        <w:spacing w:after="120" w:line="240" w:lineRule="auto"/>
        <w:ind w:left="1134" w:right="1134"/>
        <w:jc w:val="both"/>
        <w:rPr>
          <w:rFonts w:asciiTheme="majorBidi" w:hAnsiTheme="majorBidi" w:cstheme="majorBidi"/>
          <w:i/>
          <w:lang w:val="sv-SE"/>
        </w:rPr>
      </w:pPr>
      <w:r w:rsidRPr="00785D22">
        <w:rPr>
          <w:rFonts w:asciiTheme="majorBidi" w:hAnsiTheme="majorBidi" w:cstheme="majorBidi"/>
          <w:i/>
          <w:lang w:val="sv-SE"/>
        </w:rPr>
        <w:t>Annex 1.</w:t>
      </w:r>
    </w:p>
    <w:p w:rsidR="005F16ED" w:rsidRPr="00785D22" w:rsidRDefault="005F16ED" w:rsidP="004A5DB7">
      <w:pPr>
        <w:spacing w:after="120" w:line="240" w:lineRule="auto"/>
        <w:ind w:left="1134" w:right="1134"/>
        <w:jc w:val="both"/>
        <w:rPr>
          <w:rFonts w:asciiTheme="majorBidi" w:hAnsiTheme="majorBidi" w:cstheme="majorBidi"/>
          <w:iCs/>
          <w:lang w:val="sv-SE"/>
        </w:rPr>
      </w:pPr>
      <w:r w:rsidRPr="00785D22">
        <w:rPr>
          <w:rFonts w:asciiTheme="majorBidi" w:hAnsiTheme="majorBidi" w:cstheme="majorBidi"/>
          <w:i/>
          <w:lang w:val="sv-SE"/>
        </w:rPr>
        <w:t xml:space="preserve">Item 11.2., </w:t>
      </w:r>
      <w:r w:rsidRPr="00785D22">
        <w:rPr>
          <w:rFonts w:asciiTheme="majorBidi" w:hAnsiTheme="majorBidi" w:cstheme="majorBidi"/>
          <w:iCs/>
          <w:lang w:val="sv-SE"/>
        </w:rPr>
        <w:t>amend to read</w:t>
      </w:r>
      <w:r w:rsidR="00785D22">
        <w:rPr>
          <w:rFonts w:asciiTheme="majorBidi" w:hAnsiTheme="majorBidi" w:cstheme="majorBidi"/>
          <w:iCs/>
          <w:lang w:val="sv-SE"/>
        </w:rPr>
        <w:t>:</w:t>
      </w:r>
    </w:p>
    <w:p w:rsidR="005F16ED" w:rsidRPr="00785D22" w:rsidRDefault="00785D22" w:rsidP="005F16ED">
      <w:pPr>
        <w:pStyle w:val="SingleTxtG"/>
        <w:tabs>
          <w:tab w:val="left" w:pos="1701"/>
          <w:tab w:val="right" w:leader="dot" w:pos="8505"/>
        </w:tabs>
        <w:rPr>
          <w:b/>
        </w:rPr>
      </w:pPr>
      <w:r>
        <w:rPr>
          <w:bCs/>
        </w:rPr>
        <w:t>“</w:t>
      </w:r>
      <w:r w:rsidR="005F16ED" w:rsidRPr="00785D22">
        <w:rPr>
          <w:bCs/>
        </w:rPr>
        <w:t>11.2.</w:t>
      </w:r>
      <w:r w:rsidR="005F16ED" w:rsidRPr="00785D22">
        <w:rPr>
          <w:bCs/>
        </w:rPr>
        <w:tab/>
        <w:t xml:space="preserve">Information document: </w:t>
      </w:r>
      <w:r w:rsidR="005F16ED" w:rsidRPr="00785D22">
        <w:rPr>
          <w:b/>
        </w:rPr>
        <w:t>see Addendum 1</w:t>
      </w:r>
      <w:r w:rsidR="005F16ED" w:rsidRPr="00785D22">
        <w:rPr>
          <w:bCs/>
        </w:rPr>
        <w:t xml:space="preserve"> </w:t>
      </w:r>
      <w:r w:rsidR="005F16ED" w:rsidRPr="00785D22">
        <w:rPr>
          <w:bCs/>
          <w:strike/>
        </w:rPr>
        <w:t>form (Appendix 2 of Annex 4)</w:t>
      </w:r>
      <w:r w:rsidR="005F16ED" w:rsidRPr="00785D22">
        <w:tab/>
      </w:r>
      <w:r>
        <w:t>“</w:t>
      </w:r>
    </w:p>
    <w:p w:rsidR="007D4AE5" w:rsidRPr="00785D22" w:rsidRDefault="005F16ED" w:rsidP="004A5DB7">
      <w:pPr>
        <w:spacing w:after="120" w:line="240" w:lineRule="auto"/>
        <w:ind w:left="1134" w:right="1134"/>
        <w:jc w:val="both"/>
        <w:rPr>
          <w:rFonts w:asciiTheme="majorBidi" w:hAnsiTheme="majorBidi" w:cstheme="majorBidi"/>
          <w:i/>
          <w:lang w:val="sv-SE"/>
        </w:rPr>
      </w:pPr>
      <w:r w:rsidRPr="00785D22">
        <w:rPr>
          <w:rFonts w:asciiTheme="majorBidi" w:hAnsiTheme="majorBidi" w:cstheme="majorBidi"/>
          <w:i/>
          <w:lang w:val="sv-SE"/>
        </w:rPr>
        <w:t>A</w:t>
      </w:r>
      <w:r w:rsidR="007D4AE5" w:rsidRPr="00785D22">
        <w:rPr>
          <w:rFonts w:asciiTheme="majorBidi" w:hAnsiTheme="majorBidi" w:cstheme="majorBidi"/>
          <w:i/>
          <w:lang w:val="sv-SE"/>
        </w:rPr>
        <w:t xml:space="preserve">dd the following paragraps </w:t>
      </w:r>
      <w:r w:rsidR="00825177" w:rsidRPr="00785D22">
        <w:rPr>
          <w:rFonts w:asciiTheme="majorBidi" w:hAnsiTheme="majorBidi" w:cstheme="majorBidi"/>
          <w:i/>
          <w:lang w:val="sv-SE"/>
        </w:rPr>
        <w:t>after item 19.2.</w:t>
      </w:r>
      <w:r w:rsidR="007D4AE5" w:rsidRPr="00785D22">
        <w:rPr>
          <w:rFonts w:asciiTheme="majorBidi" w:hAnsiTheme="majorBidi" w:cstheme="majorBidi"/>
          <w:i/>
          <w:lang w:val="sv-SE"/>
        </w:rPr>
        <w:t>:</w:t>
      </w:r>
    </w:p>
    <w:p w:rsidR="00967213" w:rsidRPr="00785D22" w:rsidRDefault="00825177" w:rsidP="00967213">
      <w:pPr>
        <w:pStyle w:val="SingleTxtG"/>
        <w:tabs>
          <w:tab w:val="left" w:pos="1701"/>
          <w:tab w:val="right" w:leader="dot" w:pos="8505"/>
        </w:tabs>
        <w:ind w:left="1701" w:hanging="567"/>
      </w:pPr>
      <w:r w:rsidRPr="00785D22">
        <w:t>“</w:t>
      </w:r>
      <w:r w:rsidR="00967213" w:rsidRPr="00785D22">
        <w:t>19.2.</w:t>
      </w:r>
      <w:r w:rsidR="00967213" w:rsidRPr="00785D22">
        <w:tab/>
        <w:t>If applicable, list the relevant parameters that will allow the identification of those vehicles</w:t>
      </w:r>
      <w:r w:rsidR="00967213" w:rsidRPr="00785D22" w:rsidDel="00F46960">
        <w:t xml:space="preserve"> </w:t>
      </w:r>
      <w:r w:rsidR="00967213" w:rsidRPr="00785D22">
        <w:t>that can be updated with the software represented by the R</w:t>
      </w:r>
      <w:r w:rsidR="00967213" w:rsidRPr="00785D22">
        <w:rPr>
          <w:vertAlign w:val="subscript"/>
        </w:rPr>
        <w:t>15X</w:t>
      </w:r>
      <w:r w:rsidR="00967213" w:rsidRPr="00785D22">
        <w:t xml:space="preserve">SWIN under item 19.1.: </w:t>
      </w:r>
      <w:r w:rsidR="00967213" w:rsidRPr="00785D22">
        <w:tab/>
      </w:r>
      <w:r w:rsidR="00967213" w:rsidRPr="00785D22">
        <w:tab/>
      </w:r>
    </w:p>
    <w:p w:rsidR="000F2BBC" w:rsidRPr="00785D22" w:rsidRDefault="000F2BBC" w:rsidP="000F2BBC">
      <w:pPr>
        <w:pStyle w:val="SingleTxtG"/>
        <w:tabs>
          <w:tab w:val="left" w:pos="2410"/>
          <w:tab w:val="right" w:leader="dot" w:pos="8505"/>
        </w:tabs>
        <w:ind w:left="2410" w:hanging="1276"/>
        <w:rPr>
          <w:b/>
        </w:rPr>
      </w:pPr>
      <w:r w:rsidRPr="00785D22">
        <w:rPr>
          <w:b/>
        </w:rPr>
        <w:t>Addendum 1: Information document for automated lane keeping</w:t>
      </w:r>
      <w:r w:rsidRPr="00785D22" w:rsidDel="00781884">
        <w:rPr>
          <w:b/>
        </w:rPr>
        <w:t xml:space="preserve"> </w:t>
      </w:r>
      <w:r w:rsidRPr="00785D22">
        <w:rPr>
          <w:b/>
        </w:rPr>
        <w:t>systems (refer to Appendix 1).</w:t>
      </w:r>
      <w:r w:rsidRPr="00785D22">
        <w:t>”</w:t>
      </w:r>
    </w:p>
    <w:p w:rsidR="00967213" w:rsidRPr="00785D22" w:rsidRDefault="00967213" w:rsidP="00825177">
      <w:pPr>
        <w:pStyle w:val="SingleTxtG"/>
        <w:tabs>
          <w:tab w:val="left" w:pos="2410"/>
          <w:tab w:val="right" w:leader="dot" w:pos="8505"/>
        </w:tabs>
        <w:ind w:left="2410" w:hanging="1276"/>
        <w:rPr>
          <w:b/>
          <w:bCs/>
        </w:rPr>
      </w:pPr>
      <w:r w:rsidRPr="00785D22">
        <w:rPr>
          <w:b/>
        </w:rPr>
        <w:t xml:space="preserve">Addendum </w:t>
      </w:r>
      <w:r w:rsidR="000F2BBC" w:rsidRPr="00785D22">
        <w:rPr>
          <w:b/>
        </w:rPr>
        <w:t>2</w:t>
      </w:r>
      <w:r w:rsidRPr="00785D22">
        <w:rPr>
          <w:b/>
        </w:rPr>
        <w:t xml:space="preserve">: </w:t>
      </w:r>
      <w:r w:rsidR="00825177" w:rsidRPr="00785D22">
        <w:rPr>
          <w:b/>
        </w:rPr>
        <w:tab/>
      </w:r>
      <w:r w:rsidRPr="00785D22">
        <w:rPr>
          <w:b/>
          <w:bCs/>
        </w:rPr>
        <w:t xml:space="preserve">Contracting Parties where the </w:t>
      </w:r>
      <w:r w:rsidRPr="00785D22">
        <w:rPr>
          <w:b/>
        </w:rPr>
        <w:t>vehicle</w:t>
      </w:r>
      <w:r w:rsidRPr="00785D22">
        <w:rPr>
          <w:b/>
          <w:bCs/>
        </w:rPr>
        <w:t xml:space="preserve"> manufacturer has declared that the ALKS had been assessed to comply with local traffic rules</w:t>
      </w:r>
      <w:r w:rsidR="003311D5" w:rsidRPr="00785D22">
        <w:rPr>
          <w:b/>
          <w:bCs/>
        </w:rPr>
        <w:t xml:space="preserve"> </w:t>
      </w:r>
      <w:r w:rsidR="003311D5" w:rsidRPr="00785D22">
        <w:rPr>
          <w:b/>
        </w:rPr>
        <w:t xml:space="preserve">(refer to Appendix </w:t>
      </w:r>
      <w:r w:rsidR="000F2BBC" w:rsidRPr="00785D22">
        <w:rPr>
          <w:b/>
        </w:rPr>
        <w:t>2</w:t>
      </w:r>
      <w:r w:rsidR="003311D5" w:rsidRPr="00785D22">
        <w:rPr>
          <w:b/>
        </w:rPr>
        <w:t>).</w:t>
      </w:r>
      <w:r w:rsidR="00785D22">
        <w:rPr>
          <w:b/>
        </w:rPr>
        <w:t>”</w:t>
      </w:r>
    </w:p>
    <w:p w:rsidR="000F2BBC" w:rsidRPr="00785D22" w:rsidRDefault="000F2BBC" w:rsidP="004A5DB7">
      <w:pPr>
        <w:spacing w:after="120" w:line="240" w:lineRule="auto"/>
        <w:ind w:left="1134" w:right="1134"/>
        <w:jc w:val="both"/>
        <w:rPr>
          <w:rFonts w:asciiTheme="majorBidi" w:hAnsiTheme="majorBidi" w:cstheme="majorBidi"/>
          <w:i/>
        </w:rPr>
      </w:pPr>
      <w:r w:rsidRPr="00785D22">
        <w:rPr>
          <w:rFonts w:asciiTheme="majorBidi" w:hAnsiTheme="majorBidi" w:cstheme="majorBidi"/>
          <w:i/>
        </w:rPr>
        <w:t>Add Appendix 1 – the former Appendix 2 to Annex 4.</w:t>
      </w:r>
    </w:p>
    <w:p w:rsidR="00CB5C77" w:rsidRPr="003A399E" w:rsidRDefault="00CB5C77" w:rsidP="00CB5C77">
      <w:pPr>
        <w:pStyle w:val="para"/>
        <w:numPr>
          <w:ilvl w:val="0"/>
          <w:numId w:val="20"/>
        </w:numPr>
        <w:adjustRightInd w:val="0"/>
        <w:snapToGrid w:val="0"/>
        <w:spacing w:line="240" w:lineRule="auto"/>
        <w:rPr>
          <w:b/>
          <w:bCs/>
          <w:color w:val="0070C0"/>
          <w:lang w:val="en-US"/>
        </w:rPr>
      </w:pPr>
      <w:r>
        <w:rPr>
          <w:b/>
          <w:bCs/>
          <w:color w:val="0070C0"/>
        </w:rPr>
        <w:lastRenderedPageBreak/>
        <w:t>OICA/CLEPA</w:t>
      </w:r>
      <w:r w:rsidRPr="003A399E">
        <w:rPr>
          <w:b/>
          <w:bCs/>
          <w:color w:val="0070C0"/>
        </w:rPr>
        <w:t xml:space="preserve">: </w:t>
      </w:r>
      <w:r>
        <w:rPr>
          <w:b/>
          <w:bCs/>
          <w:color w:val="0070C0"/>
        </w:rPr>
        <w:t>no objection. The information document has always been referenced to in Annex 1 (Communication Form, 11.2.)</w:t>
      </w:r>
    </w:p>
    <w:p w:rsidR="007D4AE5" w:rsidRDefault="00825177" w:rsidP="004A5DB7">
      <w:pPr>
        <w:spacing w:after="120" w:line="240" w:lineRule="auto"/>
        <w:ind w:left="1134" w:right="1134"/>
        <w:jc w:val="both"/>
        <w:rPr>
          <w:rFonts w:asciiTheme="majorBidi" w:hAnsiTheme="majorBidi" w:cstheme="majorBidi"/>
        </w:rPr>
      </w:pPr>
      <w:r w:rsidRPr="00785D22">
        <w:rPr>
          <w:rFonts w:asciiTheme="majorBidi" w:hAnsiTheme="majorBidi" w:cstheme="majorBidi"/>
          <w:i/>
        </w:rPr>
        <w:t>Appendix</w:t>
      </w:r>
      <w:r w:rsidR="000F2BBC" w:rsidRPr="00785D22">
        <w:rPr>
          <w:rFonts w:asciiTheme="majorBidi" w:hAnsiTheme="majorBidi" w:cstheme="majorBidi"/>
          <w:i/>
        </w:rPr>
        <w:t xml:space="preserve"> (former) consider as Appendix 2.</w:t>
      </w:r>
      <w:r w:rsidRPr="00785D22">
        <w:rPr>
          <w:rFonts w:asciiTheme="majorBidi" w:hAnsiTheme="majorBidi" w:cstheme="majorBidi"/>
          <w:i/>
        </w:rPr>
        <w:t xml:space="preserve"> Header and the sentence before the table, </w:t>
      </w:r>
      <w:r w:rsidRPr="00785D22">
        <w:rPr>
          <w:rFonts w:asciiTheme="majorBidi" w:hAnsiTheme="majorBidi" w:cstheme="majorBidi"/>
        </w:rPr>
        <w:t>amend to read:</w:t>
      </w:r>
    </w:p>
    <w:p w:rsidR="00DE4B2A" w:rsidRPr="00785D22" w:rsidRDefault="00DE4B2A" w:rsidP="00DE4B2A">
      <w:pPr>
        <w:pStyle w:val="HChG"/>
      </w:pPr>
      <w:r w:rsidRPr="00CB5C77">
        <w:rPr>
          <w:lang w:val="en-US"/>
        </w:rPr>
        <w:tab/>
      </w:r>
      <w:r w:rsidRPr="00CB5C77">
        <w:rPr>
          <w:lang w:val="en-US"/>
        </w:rPr>
        <w:tab/>
      </w:r>
      <w:r w:rsidRPr="00785D22">
        <w:t xml:space="preserve">“Addendum </w:t>
      </w:r>
      <w:r w:rsidR="000F2BBC" w:rsidRPr="00785D22">
        <w:rPr>
          <w:u w:val="single"/>
        </w:rPr>
        <w:t>2</w:t>
      </w:r>
      <w:r w:rsidRPr="00785D22">
        <w:t xml:space="preserve"> to Type approval Communication No … </w:t>
      </w:r>
      <w:r w:rsidRPr="00785D22">
        <w:br/>
        <w:t xml:space="preserve">concerning the type approval of a vehicle type </w:t>
      </w:r>
      <w:proofErr w:type="gramStart"/>
      <w:r w:rsidRPr="00785D22">
        <w:t>with regard to</w:t>
      </w:r>
      <w:proofErr w:type="gramEnd"/>
      <w:r w:rsidRPr="00785D22">
        <w:t xml:space="preserve"> ALKS pursuant to Regulation No. [15</w:t>
      </w:r>
      <w:r w:rsidR="00785D22">
        <w:t>7</w:t>
      </w:r>
      <w:r w:rsidRPr="00785D22">
        <w:t>]</w:t>
      </w:r>
    </w:p>
    <w:p w:rsidR="00825177" w:rsidRPr="00785D22" w:rsidRDefault="00825177" w:rsidP="00825177">
      <w:pPr>
        <w:pStyle w:val="SingleTxtG"/>
        <w:tabs>
          <w:tab w:val="left" w:pos="1701"/>
          <w:tab w:val="right" w:leader="dot" w:pos="8505"/>
        </w:tabs>
        <w:ind w:left="1689" w:hanging="555"/>
        <w:rPr>
          <w:bCs/>
        </w:rPr>
      </w:pPr>
      <w:r w:rsidRPr="00785D22">
        <w:rPr>
          <w:bCs/>
        </w:rPr>
        <w:t>Additional information</w:t>
      </w:r>
    </w:p>
    <w:p w:rsidR="00825177" w:rsidRPr="00785D22" w:rsidRDefault="00825177" w:rsidP="00825177">
      <w:pPr>
        <w:pStyle w:val="SingleTxtG"/>
        <w:tabs>
          <w:tab w:val="left" w:pos="1701"/>
          <w:tab w:val="right" w:leader="dot" w:pos="8505"/>
        </w:tabs>
        <w:rPr>
          <w:bCs/>
        </w:rPr>
      </w:pPr>
      <w:r w:rsidRPr="00785D22">
        <w:rPr>
          <w:bCs/>
        </w:rPr>
        <w:t xml:space="preserve">Contracting </w:t>
      </w:r>
      <w:r w:rsidRPr="00785D22">
        <w:rPr>
          <w:b/>
          <w:bCs/>
        </w:rPr>
        <w:t>Parties</w:t>
      </w:r>
      <w:r w:rsidRPr="00785D22">
        <w:rPr>
          <w:bCs/>
        </w:rPr>
        <w:t xml:space="preserve"> </w:t>
      </w:r>
      <w:r w:rsidRPr="00785D22">
        <w:rPr>
          <w:bCs/>
          <w:strike/>
        </w:rPr>
        <w:t>Party</w:t>
      </w:r>
      <w:r w:rsidRPr="00785D22">
        <w:rPr>
          <w:bCs/>
        </w:rPr>
        <w:t xml:space="preserve"> </w:t>
      </w:r>
      <w:r w:rsidRPr="00785D22">
        <w:rPr>
          <w:bCs/>
          <w:strike/>
        </w:rPr>
        <w:t>regions</w:t>
      </w:r>
      <w:r w:rsidRPr="00785D22">
        <w:rPr>
          <w:bCs/>
        </w:rPr>
        <w:t xml:space="preserve"> where the </w:t>
      </w:r>
      <w:r w:rsidRPr="00785D22">
        <w:t>vehicle</w:t>
      </w:r>
      <w:r w:rsidRPr="00785D22">
        <w:rPr>
          <w:b/>
          <w:bCs/>
        </w:rPr>
        <w:t xml:space="preserve"> </w:t>
      </w:r>
      <w:r w:rsidRPr="00785D22">
        <w:rPr>
          <w:bCs/>
        </w:rPr>
        <w:t>manufacturer has declared that the ALKS had been assessed to comply with local traffic rules:</w:t>
      </w:r>
      <w:r w:rsidR="00DE4B2A" w:rsidRPr="00785D22">
        <w:rPr>
          <w:bCs/>
        </w:rPr>
        <w:t>”</w:t>
      </w:r>
    </w:p>
    <w:p w:rsidR="00CB5C77" w:rsidRPr="003A399E" w:rsidRDefault="00CB5C77" w:rsidP="00CB5C77">
      <w:pPr>
        <w:pStyle w:val="para"/>
        <w:numPr>
          <w:ilvl w:val="0"/>
          <w:numId w:val="20"/>
        </w:numPr>
        <w:adjustRightInd w:val="0"/>
        <w:snapToGrid w:val="0"/>
        <w:spacing w:line="240" w:lineRule="auto"/>
        <w:rPr>
          <w:b/>
          <w:bCs/>
          <w:color w:val="0070C0"/>
          <w:lang w:val="en-US"/>
        </w:rPr>
      </w:pPr>
      <w:r>
        <w:rPr>
          <w:b/>
          <w:bCs/>
          <w:color w:val="0070C0"/>
        </w:rPr>
        <w:t>OICA/CLEPA</w:t>
      </w:r>
      <w:r w:rsidRPr="003A399E">
        <w:rPr>
          <w:b/>
          <w:bCs/>
          <w:color w:val="0070C0"/>
        </w:rPr>
        <w:t xml:space="preserve">: </w:t>
      </w:r>
      <w:r>
        <w:rPr>
          <w:b/>
          <w:bCs/>
          <w:color w:val="0070C0"/>
        </w:rPr>
        <w:t xml:space="preserve">no objection. </w:t>
      </w:r>
    </w:p>
    <w:p w:rsidR="00D85339" w:rsidRDefault="00D85339" w:rsidP="004A5DB7">
      <w:pPr>
        <w:spacing w:after="120" w:line="240" w:lineRule="auto"/>
        <w:ind w:left="1134" w:right="1134"/>
        <w:jc w:val="both"/>
        <w:rPr>
          <w:rFonts w:asciiTheme="majorBidi" w:hAnsiTheme="majorBidi" w:cstheme="majorBidi"/>
          <w:i/>
          <w:lang w:val="en-US"/>
        </w:rPr>
      </w:pPr>
      <w:proofErr w:type="gramStart"/>
      <w:r w:rsidRPr="00785D22">
        <w:rPr>
          <w:rFonts w:asciiTheme="majorBidi" w:hAnsiTheme="majorBidi" w:cstheme="majorBidi"/>
          <w:i/>
          <w:lang w:val="en-US"/>
        </w:rPr>
        <w:t>Annex 3,</w:t>
      </w:r>
      <w:proofErr w:type="gramEnd"/>
      <w:r w:rsidRPr="00785D22">
        <w:rPr>
          <w:rFonts w:asciiTheme="majorBidi" w:hAnsiTheme="majorBidi" w:cstheme="majorBidi"/>
          <w:i/>
          <w:lang w:val="en-US"/>
        </w:rPr>
        <w:t xml:space="preserve"> add the content of the former Appendix 3 to Annex 4.</w:t>
      </w:r>
    </w:p>
    <w:p w:rsidR="00CB5C77" w:rsidRPr="003A399E" w:rsidRDefault="00CB5C77" w:rsidP="00CB5C77">
      <w:pPr>
        <w:pStyle w:val="para"/>
        <w:numPr>
          <w:ilvl w:val="0"/>
          <w:numId w:val="20"/>
        </w:numPr>
        <w:adjustRightInd w:val="0"/>
        <w:snapToGrid w:val="0"/>
        <w:spacing w:line="240" w:lineRule="auto"/>
        <w:rPr>
          <w:b/>
          <w:bCs/>
          <w:color w:val="0070C0"/>
          <w:lang w:val="en-US"/>
        </w:rPr>
      </w:pPr>
      <w:r>
        <w:rPr>
          <w:b/>
          <w:bCs/>
          <w:color w:val="0070C0"/>
        </w:rPr>
        <w:t>OICA/CLEPA</w:t>
      </w:r>
      <w:r w:rsidRPr="003A399E">
        <w:rPr>
          <w:b/>
          <w:bCs/>
          <w:color w:val="0070C0"/>
        </w:rPr>
        <w:t xml:space="preserve">: </w:t>
      </w:r>
      <w:r>
        <w:rPr>
          <w:b/>
          <w:bCs/>
          <w:color w:val="0070C0"/>
        </w:rPr>
        <w:t xml:space="preserve">no objection. </w:t>
      </w:r>
    </w:p>
    <w:p w:rsidR="007D4AE5" w:rsidRPr="00785D22" w:rsidRDefault="00DE4B2A" w:rsidP="004A5DB7">
      <w:pPr>
        <w:spacing w:after="120" w:line="240" w:lineRule="auto"/>
        <w:ind w:left="1134" w:right="1134"/>
        <w:jc w:val="both"/>
        <w:rPr>
          <w:rFonts w:asciiTheme="majorBidi" w:hAnsiTheme="majorBidi" w:cstheme="majorBidi"/>
          <w:i/>
        </w:rPr>
      </w:pPr>
      <w:r w:rsidRPr="00785D22">
        <w:rPr>
          <w:rFonts w:asciiTheme="majorBidi" w:hAnsiTheme="majorBidi" w:cstheme="majorBidi"/>
          <w:i/>
        </w:rPr>
        <w:t>Annex 4:</w:t>
      </w:r>
    </w:p>
    <w:p w:rsidR="00DE4B2A" w:rsidRPr="00785D22" w:rsidRDefault="00DE4B2A" w:rsidP="004A5DB7">
      <w:pPr>
        <w:spacing w:after="120" w:line="240" w:lineRule="auto"/>
        <w:ind w:left="1134" w:right="1134"/>
        <w:jc w:val="both"/>
        <w:rPr>
          <w:rFonts w:asciiTheme="majorBidi" w:hAnsiTheme="majorBidi" w:cstheme="majorBidi"/>
          <w:i/>
        </w:rPr>
      </w:pPr>
      <w:r w:rsidRPr="00785D22">
        <w:rPr>
          <w:rFonts w:asciiTheme="majorBidi" w:hAnsiTheme="majorBidi" w:cstheme="majorBidi"/>
          <w:i/>
        </w:rPr>
        <w:t>Paragraph 1</w:t>
      </w:r>
      <w:r w:rsidR="0020295F" w:rsidRPr="00785D22">
        <w:rPr>
          <w:rFonts w:asciiTheme="majorBidi" w:hAnsiTheme="majorBidi" w:cstheme="majorBidi"/>
          <w:i/>
        </w:rPr>
        <w:t>.</w:t>
      </w:r>
      <w:r w:rsidRPr="00785D22">
        <w:rPr>
          <w:rFonts w:asciiTheme="majorBidi" w:hAnsiTheme="majorBidi" w:cstheme="majorBidi"/>
          <w:i/>
        </w:rPr>
        <w:t xml:space="preserve">, </w:t>
      </w:r>
      <w:r w:rsidRPr="00785D22">
        <w:rPr>
          <w:rFonts w:asciiTheme="majorBidi" w:hAnsiTheme="majorBidi" w:cstheme="majorBidi"/>
        </w:rPr>
        <w:t>amend to read:</w:t>
      </w:r>
    </w:p>
    <w:p w:rsidR="000A568E" w:rsidRPr="00785D22" w:rsidRDefault="00703405" w:rsidP="000A568E">
      <w:pPr>
        <w:spacing w:after="120"/>
        <w:ind w:left="2268" w:right="1134"/>
        <w:jc w:val="both"/>
      </w:pPr>
      <w:r w:rsidRPr="00785D22">
        <w:rPr>
          <w:b/>
          <w:lang w:val="en-US"/>
        </w:rPr>
        <w:t>“</w:t>
      </w:r>
      <w:r w:rsidR="000A568E" w:rsidRPr="00785D22">
        <w:rPr>
          <w:b/>
          <w:lang w:val="en-US"/>
        </w:rPr>
        <w:t>The requirements of t</w:t>
      </w:r>
      <w:r w:rsidR="000A568E" w:rsidRPr="00785D22">
        <w:rPr>
          <w:b/>
        </w:rPr>
        <w:t>his</w:t>
      </w:r>
      <w:r w:rsidR="000A568E" w:rsidRPr="00785D22">
        <w:t xml:space="preserve"> Annex </w:t>
      </w:r>
      <w:r w:rsidR="000A568E" w:rsidRPr="00785D22">
        <w:rPr>
          <w:strike/>
        </w:rPr>
        <w:t>is</w:t>
      </w:r>
      <w:r w:rsidR="000A568E" w:rsidRPr="00785D22">
        <w:t xml:space="preserve"> </w:t>
      </w:r>
      <w:r w:rsidR="000A568E" w:rsidRPr="00785D22">
        <w:rPr>
          <w:b/>
        </w:rPr>
        <w:t>are</w:t>
      </w:r>
      <w:r w:rsidR="000A568E" w:rsidRPr="00785D22">
        <w:t xml:space="preserve"> intended to ensure that an acceptable thorough consideration of functional and operational safety for the automated system that provides the function(s) regulated by the ALKS Regulation has been performed by the manufacturer during the design and development processes and will continue to be done throughout the vehicle type lifecycle </w:t>
      </w:r>
      <w:r w:rsidR="000A568E" w:rsidRPr="00785D22">
        <w:rPr>
          <w:lang w:val="en-US"/>
        </w:rPr>
        <w:t>(design, development, production, field operation, decommissioning)</w:t>
      </w:r>
      <w:r w:rsidR="000A568E" w:rsidRPr="00785D22">
        <w:t xml:space="preserve">. </w:t>
      </w:r>
    </w:p>
    <w:p w:rsidR="000A568E" w:rsidRPr="00785D22" w:rsidRDefault="000A568E" w:rsidP="00832601">
      <w:pPr>
        <w:keepLines/>
        <w:spacing w:after="120"/>
        <w:ind w:left="2268" w:right="1134"/>
        <w:jc w:val="both"/>
      </w:pPr>
      <w:r w:rsidRPr="00785D22">
        <w:rPr>
          <w:b/>
        </w:rPr>
        <w:t>The requirements cover</w:t>
      </w:r>
      <w:r w:rsidRPr="00785D22">
        <w:t xml:space="preserve"> </w:t>
      </w:r>
      <w:r w:rsidRPr="00785D22">
        <w:rPr>
          <w:strike/>
        </w:rPr>
        <w:t>It covers</w:t>
      </w:r>
      <w:r w:rsidRPr="00785D22">
        <w:t xml:space="preserve"> the documentation which must be disclosed by the manufacturer to the type-approval authority or the technical Service acting on its behalf (hereafter referred </w:t>
      </w:r>
      <w:r w:rsidRPr="00785D22">
        <w:rPr>
          <w:b/>
        </w:rPr>
        <w:t>to</w:t>
      </w:r>
      <w:r w:rsidRPr="00785D22">
        <w:t xml:space="preserve"> as type-approval authority), for type approval purposes </w:t>
      </w:r>
      <w:r w:rsidRPr="00785D22">
        <w:rPr>
          <w:b/>
        </w:rPr>
        <w:t>and verification to be carried out by the type-approval authority</w:t>
      </w:r>
      <w:r w:rsidRPr="00785D22">
        <w:t xml:space="preserve">. </w:t>
      </w:r>
    </w:p>
    <w:p w:rsidR="000A568E" w:rsidRDefault="000A568E" w:rsidP="000A568E">
      <w:pPr>
        <w:spacing w:after="120"/>
        <w:ind w:left="2268" w:right="1134"/>
        <w:jc w:val="both"/>
      </w:pPr>
      <w:r w:rsidRPr="00785D22">
        <w:t xml:space="preserve">This documentation shall demonstrate that automated lane-keeping system meets the performance requirements specified in </w:t>
      </w:r>
      <w:r w:rsidRPr="00785D22">
        <w:rPr>
          <w:b/>
        </w:rPr>
        <w:t>paragraphs 5</w:t>
      </w:r>
      <w:r w:rsidR="005D2507" w:rsidRPr="00785D22">
        <w:rPr>
          <w:b/>
        </w:rPr>
        <w:t>.</w:t>
      </w:r>
      <w:r w:rsidRPr="00785D22">
        <w:rPr>
          <w:b/>
        </w:rPr>
        <w:t>, 6</w:t>
      </w:r>
      <w:r w:rsidR="005D2507" w:rsidRPr="00785D22">
        <w:rPr>
          <w:b/>
        </w:rPr>
        <w:t>.</w:t>
      </w:r>
      <w:r w:rsidRPr="00785D22">
        <w:rPr>
          <w:b/>
        </w:rPr>
        <w:t>, 7</w:t>
      </w:r>
      <w:r w:rsidR="005D2507" w:rsidRPr="00785D22">
        <w:rPr>
          <w:b/>
        </w:rPr>
        <w:t>.</w:t>
      </w:r>
      <w:r w:rsidRPr="00785D22">
        <w:rPr>
          <w:b/>
        </w:rPr>
        <w:t xml:space="preserve"> and 8</w:t>
      </w:r>
      <w:r w:rsidR="005D2507" w:rsidRPr="00785D22">
        <w:rPr>
          <w:b/>
        </w:rPr>
        <w:t>.</w:t>
      </w:r>
      <w:r w:rsidRPr="00785D22">
        <w:t xml:space="preserve"> </w:t>
      </w:r>
      <w:r w:rsidRPr="00785D22">
        <w:rPr>
          <w:b/>
          <w:bCs/>
        </w:rPr>
        <w:t>of</w:t>
      </w:r>
      <w:r w:rsidRPr="00785D22">
        <w:t xml:space="preserve"> this UN Regulation, </w:t>
      </w:r>
      <w:r w:rsidRPr="00785D22">
        <w:rPr>
          <w:strike/>
        </w:rPr>
        <w:t>that</w:t>
      </w:r>
      <w:r w:rsidRPr="00785D22">
        <w:t xml:space="preserve"> </w:t>
      </w:r>
      <w:r w:rsidRPr="00785D22">
        <w:rPr>
          <w:strike/>
        </w:rPr>
        <w:t>it</w:t>
      </w:r>
      <w:r w:rsidRPr="00785D22">
        <w:t xml:space="preserve"> </w:t>
      </w:r>
      <w:r w:rsidR="002F3867" w:rsidRPr="00785D22">
        <w:rPr>
          <w:b/>
          <w:bCs/>
        </w:rPr>
        <w:t xml:space="preserve">as that </w:t>
      </w:r>
      <w:r w:rsidR="007C54D6" w:rsidRPr="00785D22">
        <w:rPr>
          <w:b/>
          <w:bCs/>
        </w:rPr>
        <w:t>system</w:t>
      </w:r>
      <w:r w:rsidR="002F3867" w:rsidRPr="00785D22">
        <w:t xml:space="preserve"> </w:t>
      </w:r>
      <w:r w:rsidRPr="00785D22">
        <w:t>is designed and developed to operate in such a way that it is free of unreasonable safety risks to the driver, passengers, and other road users. ...”</w:t>
      </w:r>
    </w:p>
    <w:p w:rsidR="00CB5C77" w:rsidRPr="003A399E" w:rsidRDefault="00CB5C77" w:rsidP="00CB5C77">
      <w:pPr>
        <w:pStyle w:val="para"/>
        <w:numPr>
          <w:ilvl w:val="0"/>
          <w:numId w:val="20"/>
        </w:numPr>
        <w:adjustRightInd w:val="0"/>
        <w:snapToGrid w:val="0"/>
        <w:spacing w:line="240" w:lineRule="auto"/>
        <w:rPr>
          <w:b/>
          <w:bCs/>
          <w:color w:val="0070C0"/>
          <w:lang w:val="en-US"/>
        </w:rPr>
      </w:pPr>
      <w:r>
        <w:rPr>
          <w:b/>
          <w:bCs/>
          <w:color w:val="0070C0"/>
        </w:rPr>
        <w:t>OICA/CLEPA</w:t>
      </w:r>
      <w:r w:rsidRPr="003A399E">
        <w:rPr>
          <w:b/>
          <w:bCs/>
          <w:color w:val="0070C0"/>
        </w:rPr>
        <w:t xml:space="preserve">: </w:t>
      </w:r>
      <w:r>
        <w:rPr>
          <w:b/>
          <w:bCs/>
          <w:color w:val="0070C0"/>
        </w:rPr>
        <w:t xml:space="preserve">no objection. </w:t>
      </w:r>
    </w:p>
    <w:p w:rsidR="000C6927" w:rsidRPr="00785D22" w:rsidRDefault="00144CE0" w:rsidP="004A5DB7">
      <w:pPr>
        <w:spacing w:after="120" w:line="240" w:lineRule="auto"/>
        <w:ind w:left="1134" w:right="1134"/>
        <w:jc w:val="both"/>
        <w:rPr>
          <w:rFonts w:asciiTheme="majorBidi" w:hAnsiTheme="majorBidi" w:cstheme="majorBidi"/>
          <w:i/>
        </w:rPr>
      </w:pPr>
      <w:r w:rsidRPr="00785D22">
        <w:rPr>
          <w:rFonts w:asciiTheme="majorBidi" w:hAnsiTheme="majorBidi" w:cstheme="majorBidi"/>
          <w:i/>
          <w:lang w:val="sv-SE"/>
        </w:rPr>
        <w:t xml:space="preserve">Paragraph 2.1., amend to read: </w:t>
      </w:r>
    </w:p>
    <w:p w:rsidR="00144CE0" w:rsidRDefault="000A3D0C" w:rsidP="00144CE0">
      <w:pPr>
        <w:keepNext/>
        <w:keepLines/>
        <w:spacing w:after="120"/>
        <w:ind w:left="2268" w:right="1134" w:hanging="1134"/>
        <w:jc w:val="both"/>
        <w:rPr>
          <w:lang w:val="en-US"/>
        </w:rPr>
      </w:pPr>
      <w:r w:rsidRPr="00785D22">
        <w:rPr>
          <w:rFonts w:asciiTheme="majorBidi" w:hAnsiTheme="majorBidi" w:cstheme="majorBidi"/>
        </w:rPr>
        <w:t>“</w:t>
      </w:r>
      <w:r w:rsidR="00144CE0" w:rsidRPr="00785D22">
        <w:rPr>
          <w:lang w:val="en-US"/>
        </w:rPr>
        <w:t>2.1.</w:t>
      </w:r>
      <w:r w:rsidR="00144CE0" w:rsidRPr="00785D22">
        <w:rPr>
          <w:lang w:val="en-US"/>
        </w:rPr>
        <w:tab/>
        <w:t>"The system" means a "</w:t>
      </w:r>
      <w:r w:rsidR="00144CE0" w:rsidRPr="00785D22">
        <w:rPr>
          <w:i/>
          <w:lang w:val="en-US"/>
        </w:rPr>
        <w:t xml:space="preserve">Higher-Level Electronic Control" system and its electronic control system(s) </w:t>
      </w:r>
      <w:r w:rsidR="00144CE0" w:rsidRPr="00785D22">
        <w:rPr>
          <w:lang w:val="en-US"/>
        </w:rPr>
        <w:t xml:space="preserve">that provide the automated </w:t>
      </w:r>
      <w:r w:rsidR="00144CE0" w:rsidRPr="00785D22">
        <w:rPr>
          <w:strike/>
          <w:lang w:val="en-US"/>
        </w:rPr>
        <w:t>driving</w:t>
      </w:r>
      <w:r w:rsidR="00144CE0" w:rsidRPr="00785D22">
        <w:rPr>
          <w:lang w:val="en-US"/>
        </w:rPr>
        <w:t xml:space="preserve"> </w:t>
      </w:r>
      <w:r w:rsidR="00144CE0" w:rsidRPr="00785D22">
        <w:rPr>
          <w:b/>
          <w:lang w:val="en-US"/>
        </w:rPr>
        <w:t>lane</w:t>
      </w:r>
      <w:r w:rsidR="00703405" w:rsidRPr="00785D22">
        <w:rPr>
          <w:b/>
          <w:lang w:val="en-US"/>
        </w:rPr>
        <w:t>-</w:t>
      </w:r>
      <w:r w:rsidR="00144CE0" w:rsidRPr="00785D22">
        <w:rPr>
          <w:b/>
          <w:lang w:val="en-US"/>
        </w:rPr>
        <w:t>keeping</w:t>
      </w:r>
      <w:r w:rsidR="00144CE0" w:rsidRPr="00785D22">
        <w:rPr>
          <w:lang w:val="en-US"/>
        </w:rPr>
        <w:t xml:space="preserve"> function. This also includes any transmission links to or from other systems that are outside the scope of this Regulation that acts on the automated lane keeping function.</w:t>
      </w:r>
      <w:r w:rsidR="007911D5" w:rsidRPr="00785D22">
        <w:rPr>
          <w:lang w:val="en-US"/>
        </w:rPr>
        <w:t>”</w:t>
      </w:r>
    </w:p>
    <w:p w:rsidR="00CF06FC" w:rsidRPr="00075ACB" w:rsidRDefault="00CB5C77" w:rsidP="00075ACB">
      <w:pPr>
        <w:pStyle w:val="para"/>
        <w:numPr>
          <w:ilvl w:val="0"/>
          <w:numId w:val="20"/>
        </w:numPr>
        <w:adjustRightInd w:val="0"/>
        <w:snapToGrid w:val="0"/>
        <w:spacing w:line="240" w:lineRule="auto"/>
        <w:rPr>
          <w:b/>
          <w:bCs/>
          <w:color w:val="0070C0"/>
          <w:lang w:val="en-US"/>
        </w:rPr>
      </w:pPr>
      <w:r>
        <w:rPr>
          <w:b/>
          <w:bCs/>
          <w:color w:val="0070C0"/>
        </w:rPr>
        <w:t>OICA/CLEPA</w:t>
      </w:r>
      <w:r w:rsidRPr="003A399E">
        <w:rPr>
          <w:b/>
          <w:bCs/>
          <w:color w:val="0070C0"/>
        </w:rPr>
        <w:t xml:space="preserve">: </w:t>
      </w:r>
      <w:r>
        <w:rPr>
          <w:b/>
          <w:bCs/>
          <w:color w:val="0070C0"/>
        </w:rPr>
        <w:t xml:space="preserve">would propose to return to the original wording of “automated driving system” and “automated driving function” throughout the entire </w:t>
      </w:r>
      <w:r w:rsidR="000054FE">
        <w:rPr>
          <w:b/>
          <w:bCs/>
          <w:color w:val="0070C0"/>
        </w:rPr>
        <w:t>Annex 4</w:t>
      </w:r>
      <w:r>
        <w:rPr>
          <w:b/>
          <w:bCs/>
          <w:color w:val="0070C0"/>
        </w:rPr>
        <w:t xml:space="preserve">. Currently there is an inconsistent use of “automated driving function” and “automated lane keeping system” and there are other </w:t>
      </w:r>
      <w:r w:rsidR="00B9257B">
        <w:rPr>
          <w:b/>
          <w:bCs/>
          <w:color w:val="0070C0"/>
        </w:rPr>
        <w:t>occurrences</w:t>
      </w:r>
      <w:r>
        <w:rPr>
          <w:b/>
          <w:bCs/>
          <w:color w:val="0070C0"/>
        </w:rPr>
        <w:t xml:space="preserve"> of “automated driving function” other than par. 2.1. Under the light of including lane changes as well</w:t>
      </w:r>
      <w:r w:rsidR="00075ACB">
        <w:rPr>
          <w:b/>
          <w:bCs/>
          <w:color w:val="0070C0"/>
        </w:rPr>
        <w:t xml:space="preserve">, “automated driving function” and “automated driving system” might in the end be the most consistent wording. </w:t>
      </w:r>
    </w:p>
    <w:p w:rsidR="00D85339" w:rsidRPr="00785D22" w:rsidRDefault="00D85339" w:rsidP="00703405">
      <w:pPr>
        <w:spacing w:after="120" w:line="240" w:lineRule="auto"/>
        <w:ind w:left="1134" w:right="1134"/>
        <w:jc w:val="both"/>
        <w:rPr>
          <w:rFonts w:asciiTheme="majorBidi" w:hAnsiTheme="majorBidi" w:cstheme="majorBidi"/>
          <w:i/>
          <w:lang w:val="sv-SE"/>
        </w:rPr>
      </w:pPr>
      <w:r w:rsidRPr="00785D22">
        <w:rPr>
          <w:rFonts w:asciiTheme="majorBidi" w:hAnsiTheme="majorBidi" w:cstheme="majorBidi"/>
          <w:i/>
          <w:lang w:val="sv-SE"/>
        </w:rPr>
        <w:t xml:space="preserve">Paragraph 3.1.1. (a), </w:t>
      </w:r>
      <w:r w:rsidRPr="00785D22">
        <w:rPr>
          <w:rFonts w:asciiTheme="majorBidi" w:hAnsiTheme="majorBidi" w:cstheme="majorBidi"/>
          <w:iCs/>
          <w:lang w:val="sv-SE"/>
        </w:rPr>
        <w:t>amend to read:</w:t>
      </w:r>
    </w:p>
    <w:p w:rsidR="00D85339" w:rsidRPr="00785D22" w:rsidRDefault="008F32DD" w:rsidP="00D85339">
      <w:pPr>
        <w:spacing w:after="120"/>
        <w:ind w:left="2268" w:right="1134" w:hanging="1134"/>
        <w:jc w:val="both"/>
        <w:rPr>
          <w:rFonts w:eastAsia="SimSun"/>
          <w:lang w:val="en-US"/>
        </w:rPr>
      </w:pPr>
      <w:r w:rsidRPr="00785D22">
        <w:rPr>
          <w:lang w:val="en-US"/>
        </w:rPr>
        <w:t>“</w:t>
      </w:r>
      <w:r w:rsidR="00D85339" w:rsidRPr="00785D22">
        <w:rPr>
          <w:lang w:val="en-US"/>
        </w:rPr>
        <w:t>3.1.1.</w:t>
      </w:r>
      <w:r w:rsidR="00D85339" w:rsidRPr="00785D22">
        <w:rPr>
          <w:lang w:val="en-US"/>
        </w:rPr>
        <w:tab/>
        <w:t>Documentation shall be made available in three parts:</w:t>
      </w:r>
    </w:p>
    <w:p w:rsidR="00D85339" w:rsidRPr="00004999" w:rsidRDefault="00D85339" w:rsidP="00004999">
      <w:pPr>
        <w:pStyle w:val="ListParagraph"/>
        <w:numPr>
          <w:ilvl w:val="0"/>
          <w:numId w:val="21"/>
        </w:numPr>
        <w:spacing w:after="120"/>
        <w:ind w:right="1134"/>
        <w:jc w:val="both"/>
        <w:rPr>
          <w:lang w:val="en-US"/>
        </w:rPr>
      </w:pPr>
      <w:r w:rsidRPr="00004999">
        <w:rPr>
          <w:lang w:val="en-US"/>
        </w:rPr>
        <w:lastRenderedPageBreak/>
        <w:t xml:space="preserve">Application for type approval: The information document which is submitted to the type approval authority at the time of type approval application shall contain brief information on the items listed in </w:t>
      </w:r>
      <w:r w:rsidRPr="00004999">
        <w:rPr>
          <w:strike/>
          <w:lang w:val="en-US"/>
        </w:rPr>
        <w:t>Appendix 2</w:t>
      </w:r>
      <w:r w:rsidRPr="00004999">
        <w:rPr>
          <w:lang w:val="en-US"/>
        </w:rPr>
        <w:t xml:space="preserve"> </w:t>
      </w:r>
      <w:r w:rsidRPr="00004999">
        <w:rPr>
          <w:b/>
          <w:bCs/>
          <w:lang w:val="en-US"/>
        </w:rPr>
        <w:t xml:space="preserve">Appendix 1 to Annex </w:t>
      </w:r>
      <w:r w:rsidRPr="00004999">
        <w:rPr>
          <w:b/>
          <w:bCs/>
          <w:strike/>
          <w:color w:val="0070C0"/>
          <w:lang w:val="en-US"/>
        </w:rPr>
        <w:t>2</w:t>
      </w:r>
      <w:r w:rsidR="00004999" w:rsidRPr="00004999">
        <w:rPr>
          <w:b/>
          <w:bCs/>
          <w:color w:val="0070C0"/>
          <w:lang w:val="en-US"/>
        </w:rPr>
        <w:t>1</w:t>
      </w:r>
      <w:r w:rsidRPr="00004999">
        <w:rPr>
          <w:lang w:val="en-US"/>
        </w:rPr>
        <w:t>. It will become part of the approval.</w:t>
      </w:r>
      <w:r w:rsidR="008F32DD" w:rsidRPr="00004999">
        <w:rPr>
          <w:lang w:val="en-US"/>
        </w:rPr>
        <w:t>”</w:t>
      </w:r>
      <w:r w:rsidRPr="00004999">
        <w:rPr>
          <w:lang w:val="en-US"/>
        </w:rPr>
        <w:t xml:space="preserve"> </w:t>
      </w:r>
    </w:p>
    <w:p w:rsidR="00004999" w:rsidRPr="00075ACB" w:rsidRDefault="00075ACB" w:rsidP="00004999">
      <w:pPr>
        <w:pStyle w:val="para"/>
        <w:numPr>
          <w:ilvl w:val="0"/>
          <w:numId w:val="20"/>
        </w:numPr>
        <w:adjustRightInd w:val="0"/>
        <w:snapToGrid w:val="0"/>
        <w:spacing w:line="240" w:lineRule="auto"/>
        <w:rPr>
          <w:b/>
          <w:bCs/>
          <w:color w:val="0070C0"/>
          <w:lang w:val="en-US"/>
        </w:rPr>
      </w:pPr>
      <w:r w:rsidRPr="00075ACB">
        <w:rPr>
          <w:b/>
          <w:bCs/>
          <w:color w:val="0070C0"/>
          <w:lang w:val="en-US"/>
        </w:rPr>
        <w:t xml:space="preserve">OICA/CLEPA: According to the proposed new structure of the Annexes, this should refer to </w:t>
      </w:r>
      <w:r>
        <w:rPr>
          <w:b/>
          <w:bCs/>
          <w:color w:val="0070C0"/>
          <w:lang w:val="en-US"/>
        </w:rPr>
        <w:t xml:space="preserve">the Information Document of </w:t>
      </w:r>
      <w:r w:rsidRPr="00075ACB">
        <w:rPr>
          <w:b/>
          <w:bCs/>
          <w:color w:val="0070C0"/>
          <w:lang w:val="en-US"/>
        </w:rPr>
        <w:t>Annex</w:t>
      </w:r>
      <w:r>
        <w:rPr>
          <w:b/>
          <w:bCs/>
          <w:color w:val="0070C0"/>
          <w:lang w:val="en-US"/>
        </w:rPr>
        <w:t xml:space="preserve"> 1. </w:t>
      </w:r>
    </w:p>
    <w:p w:rsidR="00004999" w:rsidRPr="00075ACB" w:rsidRDefault="00004999" w:rsidP="00004999">
      <w:pPr>
        <w:spacing w:after="120"/>
        <w:ind w:right="1134"/>
        <w:jc w:val="both"/>
        <w:rPr>
          <w:lang w:val="en-US"/>
        </w:rPr>
      </w:pPr>
    </w:p>
    <w:p w:rsidR="00D85339" w:rsidRPr="00785D22" w:rsidRDefault="002E4C11" w:rsidP="00703405">
      <w:pPr>
        <w:spacing w:after="120" w:line="240" w:lineRule="auto"/>
        <w:ind w:left="1134" w:right="1134"/>
        <w:jc w:val="both"/>
        <w:rPr>
          <w:rFonts w:asciiTheme="majorBidi" w:hAnsiTheme="majorBidi" w:cstheme="majorBidi"/>
          <w:i/>
          <w:lang w:val="sv-SE"/>
        </w:rPr>
      </w:pPr>
      <w:r w:rsidRPr="00785D22">
        <w:rPr>
          <w:rFonts w:asciiTheme="majorBidi" w:hAnsiTheme="majorBidi" w:cstheme="majorBidi"/>
          <w:i/>
          <w:lang w:val="sv-SE"/>
        </w:rPr>
        <w:t xml:space="preserve">Add new paragraph 4.0. </w:t>
      </w:r>
      <w:r w:rsidRPr="00785D22">
        <w:rPr>
          <w:rFonts w:asciiTheme="majorBidi" w:hAnsiTheme="majorBidi" w:cstheme="majorBidi"/>
          <w:iCs/>
          <w:lang w:val="sv-SE"/>
        </w:rPr>
        <w:t>to read:</w:t>
      </w:r>
    </w:p>
    <w:p w:rsidR="002E4C11" w:rsidRDefault="008F32DD" w:rsidP="002E4C11">
      <w:pPr>
        <w:pStyle w:val="para"/>
        <w:rPr>
          <w:b/>
          <w:bCs/>
          <w:lang w:val="en-US"/>
        </w:rPr>
      </w:pPr>
      <w:r w:rsidRPr="00785D22">
        <w:rPr>
          <w:b/>
          <w:bCs/>
        </w:rPr>
        <w:t>“</w:t>
      </w:r>
      <w:r w:rsidR="002E4C11" w:rsidRPr="00785D22">
        <w:rPr>
          <w:b/>
          <w:bCs/>
        </w:rPr>
        <w:t>4.0.</w:t>
      </w:r>
      <w:r w:rsidR="002E4C11" w:rsidRPr="00785D22">
        <w:rPr>
          <w:b/>
          <w:bCs/>
        </w:rPr>
        <w:tab/>
      </w:r>
      <w:proofErr w:type="gramStart"/>
      <w:r w:rsidR="002E4C11" w:rsidRPr="00785D22">
        <w:rPr>
          <w:b/>
          <w:bCs/>
          <w:lang w:val="en-US"/>
        </w:rPr>
        <w:t>Taking into account</w:t>
      </w:r>
      <w:proofErr w:type="gramEnd"/>
      <w:r w:rsidR="002E4C11" w:rsidRPr="00785D22">
        <w:rPr>
          <w:b/>
          <w:bCs/>
          <w:lang w:val="en-US"/>
        </w:rPr>
        <w:t xml:space="preserve"> the results of the analysis of the manufacturer’s documentation package referred to in paragraph 3, the Type Approval Authority shall request the tests to be performed or witnessed by the Technical Service to check specific points arisen from the audit evaluation.</w:t>
      </w:r>
      <w:r w:rsidRPr="00785D22">
        <w:rPr>
          <w:b/>
          <w:bCs/>
          <w:lang w:val="en-US"/>
        </w:rPr>
        <w:t>”</w:t>
      </w:r>
      <w:r w:rsidR="002E4C11" w:rsidRPr="00785D22">
        <w:rPr>
          <w:b/>
          <w:bCs/>
          <w:lang w:val="en-US"/>
        </w:rPr>
        <w:t xml:space="preserve"> </w:t>
      </w:r>
      <w:r w:rsidR="002E4C11" w:rsidRPr="00785D22">
        <w:rPr>
          <w:b/>
          <w:bCs/>
          <w:lang w:val="en-US"/>
        </w:rPr>
        <w:tab/>
      </w:r>
    </w:p>
    <w:p w:rsidR="00075ACB" w:rsidRPr="003A399E" w:rsidRDefault="00075ACB" w:rsidP="00075ACB">
      <w:pPr>
        <w:pStyle w:val="para"/>
        <w:numPr>
          <w:ilvl w:val="0"/>
          <w:numId w:val="20"/>
        </w:numPr>
        <w:adjustRightInd w:val="0"/>
        <w:snapToGrid w:val="0"/>
        <w:spacing w:line="240" w:lineRule="auto"/>
        <w:rPr>
          <w:b/>
          <w:bCs/>
          <w:color w:val="0070C0"/>
          <w:lang w:val="en-US"/>
        </w:rPr>
      </w:pPr>
      <w:r>
        <w:rPr>
          <w:b/>
          <w:bCs/>
          <w:color w:val="0070C0"/>
        </w:rPr>
        <w:t>OICA/CLEPA</w:t>
      </w:r>
      <w:r w:rsidRPr="003A399E">
        <w:rPr>
          <w:b/>
          <w:bCs/>
          <w:color w:val="0070C0"/>
        </w:rPr>
        <w:t xml:space="preserve">: </w:t>
      </w:r>
      <w:r>
        <w:rPr>
          <w:b/>
          <w:bCs/>
          <w:color w:val="0070C0"/>
        </w:rPr>
        <w:t xml:space="preserve">no objection. </w:t>
      </w:r>
    </w:p>
    <w:p w:rsidR="00C16905" w:rsidRPr="004C45A0" w:rsidRDefault="00C16905" w:rsidP="002E4C11">
      <w:pPr>
        <w:pStyle w:val="para"/>
        <w:rPr>
          <w:b/>
          <w:bCs/>
          <w:lang w:val="en-US"/>
        </w:rPr>
      </w:pPr>
    </w:p>
    <w:p w:rsidR="00703405" w:rsidRPr="00785D22" w:rsidRDefault="00703405" w:rsidP="00703405">
      <w:pPr>
        <w:spacing w:after="120" w:line="240" w:lineRule="auto"/>
        <w:ind w:left="1134" w:right="1134"/>
        <w:jc w:val="both"/>
        <w:rPr>
          <w:rFonts w:asciiTheme="majorBidi" w:hAnsiTheme="majorBidi" w:cstheme="majorBidi"/>
          <w:i/>
        </w:rPr>
      </w:pPr>
      <w:r w:rsidRPr="00785D22">
        <w:rPr>
          <w:rFonts w:asciiTheme="majorBidi" w:hAnsiTheme="majorBidi" w:cstheme="majorBidi"/>
          <w:i/>
          <w:lang w:val="sv-SE"/>
        </w:rPr>
        <w:t xml:space="preserve">Paragraph 4.1.1., amend to read: </w:t>
      </w:r>
    </w:p>
    <w:p w:rsidR="00703405" w:rsidRPr="00785D22" w:rsidRDefault="00703405" w:rsidP="00703405">
      <w:pPr>
        <w:spacing w:after="120"/>
        <w:ind w:left="2268" w:right="1134" w:hanging="1134"/>
        <w:jc w:val="both"/>
      </w:pPr>
      <w:r w:rsidRPr="00785D22">
        <w:t>“4.1.1.</w:t>
      </w:r>
      <w:r w:rsidRPr="00785D22">
        <w:tab/>
        <w:t xml:space="preserve">Verification of the function of "The System" </w:t>
      </w:r>
    </w:p>
    <w:p w:rsidR="00703405" w:rsidRPr="00785D22" w:rsidRDefault="00703405" w:rsidP="00703405">
      <w:pPr>
        <w:pStyle w:val="SingleTxtG"/>
        <w:ind w:left="2268" w:hanging="1134"/>
      </w:pPr>
      <w:r w:rsidRPr="00785D22">
        <w:tab/>
        <w:t>...</w:t>
      </w:r>
    </w:p>
    <w:p w:rsidR="00703405" w:rsidRPr="00785D22" w:rsidRDefault="00703405" w:rsidP="00703405">
      <w:pPr>
        <w:pStyle w:val="SingleTxtG"/>
        <w:ind w:left="2268"/>
        <w:rPr>
          <w:strike/>
        </w:rPr>
      </w:pPr>
      <w:r w:rsidRPr="00785D22">
        <w:rPr>
          <w:strike/>
        </w:rPr>
        <w:t xml:space="preserve">Tests according to this Annex shall </w:t>
      </w:r>
      <w:proofErr w:type="gramStart"/>
      <w:r w:rsidRPr="00785D22">
        <w:rPr>
          <w:strike/>
        </w:rPr>
        <w:t>take into account</w:t>
      </w:r>
      <w:proofErr w:type="gramEnd"/>
      <w:r w:rsidRPr="00785D22">
        <w:rPr>
          <w:strike/>
        </w:rPr>
        <w:t xml:space="preserve"> tests already conducted in Annex 5 of this Regulation. </w:t>
      </w:r>
    </w:p>
    <w:p w:rsidR="008F32DD" w:rsidRDefault="008F32DD" w:rsidP="008F32DD">
      <w:pPr>
        <w:pStyle w:val="SingleTxtG"/>
        <w:ind w:left="2268" w:hanging="1134"/>
        <w:rPr>
          <w:b/>
          <w:bCs/>
          <w:lang w:val="en-US"/>
        </w:rPr>
      </w:pPr>
      <w:r w:rsidRPr="00785D22">
        <w:rPr>
          <w:lang w:val="en-US"/>
        </w:rPr>
        <w:tab/>
      </w:r>
      <w:r w:rsidRPr="00785D22">
        <w:rPr>
          <w:b/>
          <w:bCs/>
          <w:lang w:val="en-US"/>
        </w:rPr>
        <w:t>These tests can be based on scenarios listed in Annex 5 and/or on additional scenarios not covered by Annex 5.”</w:t>
      </w:r>
    </w:p>
    <w:p w:rsidR="00075ACB" w:rsidRPr="003A399E" w:rsidRDefault="00075ACB" w:rsidP="00075ACB">
      <w:pPr>
        <w:pStyle w:val="para"/>
        <w:numPr>
          <w:ilvl w:val="0"/>
          <w:numId w:val="20"/>
        </w:numPr>
        <w:adjustRightInd w:val="0"/>
        <w:snapToGrid w:val="0"/>
        <w:spacing w:line="240" w:lineRule="auto"/>
        <w:rPr>
          <w:b/>
          <w:bCs/>
          <w:color w:val="0070C0"/>
          <w:lang w:val="en-US"/>
        </w:rPr>
      </w:pPr>
      <w:r>
        <w:rPr>
          <w:b/>
          <w:bCs/>
          <w:color w:val="0070C0"/>
        </w:rPr>
        <w:t>OICA/CLEPA</w:t>
      </w:r>
      <w:r w:rsidRPr="003A399E">
        <w:rPr>
          <w:b/>
          <w:bCs/>
          <w:color w:val="0070C0"/>
        </w:rPr>
        <w:t xml:space="preserve">: </w:t>
      </w:r>
      <w:r>
        <w:rPr>
          <w:b/>
          <w:bCs/>
          <w:color w:val="0070C0"/>
        </w:rPr>
        <w:t xml:space="preserve">no objection. </w:t>
      </w:r>
    </w:p>
    <w:p w:rsidR="00414028" w:rsidRPr="00785D22" w:rsidRDefault="00414028" w:rsidP="00703405">
      <w:pPr>
        <w:spacing w:after="120" w:line="240" w:lineRule="auto"/>
        <w:ind w:left="1134" w:right="1134"/>
        <w:jc w:val="both"/>
        <w:rPr>
          <w:rFonts w:asciiTheme="majorBidi" w:hAnsiTheme="majorBidi" w:cstheme="majorBidi"/>
          <w:i/>
          <w:lang w:val="sv-SE"/>
        </w:rPr>
      </w:pPr>
      <w:r w:rsidRPr="00785D22">
        <w:rPr>
          <w:rFonts w:asciiTheme="majorBidi" w:hAnsiTheme="majorBidi" w:cstheme="majorBidi"/>
          <w:i/>
          <w:lang w:val="sv-SE"/>
        </w:rPr>
        <w:t xml:space="preserve">Paragraph 4.1.1.1., </w:t>
      </w:r>
      <w:r w:rsidRPr="00785D22">
        <w:rPr>
          <w:rFonts w:asciiTheme="majorBidi" w:hAnsiTheme="majorBidi" w:cstheme="majorBidi"/>
          <w:iCs/>
          <w:lang w:val="sv-SE"/>
        </w:rPr>
        <w:t>amend to read:</w:t>
      </w:r>
    </w:p>
    <w:p w:rsidR="00414028" w:rsidRDefault="00785D22" w:rsidP="00414028">
      <w:pPr>
        <w:pStyle w:val="para"/>
      </w:pPr>
      <w:r>
        <w:t>“</w:t>
      </w:r>
      <w:r w:rsidR="00414028" w:rsidRPr="00785D22">
        <w:t>4.1.1.1.</w:t>
      </w:r>
      <w:r w:rsidR="00414028" w:rsidRPr="00785D22">
        <w:tab/>
        <w:t xml:space="preserve">The </w:t>
      </w:r>
      <w:r w:rsidR="00414028" w:rsidRPr="00785D22">
        <w:rPr>
          <w:strike/>
        </w:rPr>
        <w:t>verification</w:t>
      </w:r>
      <w:r w:rsidR="00414028" w:rsidRPr="00785D22">
        <w:t xml:space="preserve"> </w:t>
      </w:r>
      <w:r w:rsidR="00414028" w:rsidRPr="00785D22">
        <w:rPr>
          <w:b/>
          <w:bCs/>
        </w:rPr>
        <w:t>test</w:t>
      </w:r>
      <w:r w:rsidR="00414028" w:rsidRPr="00785D22">
        <w:t xml:space="preserve"> results shall correspond with the description, including the control strategies, provided by the manufacturer in paragraph 3.2. and shall comply with the requirements of this </w:t>
      </w:r>
      <w:r>
        <w:t>R</w:t>
      </w:r>
      <w:r w:rsidR="00414028" w:rsidRPr="00785D22">
        <w:t>egulation.</w:t>
      </w:r>
      <w:r>
        <w:t>”</w:t>
      </w:r>
    </w:p>
    <w:p w:rsidR="00075ACB" w:rsidRPr="003A399E" w:rsidRDefault="00075ACB" w:rsidP="00075ACB">
      <w:pPr>
        <w:pStyle w:val="para"/>
        <w:numPr>
          <w:ilvl w:val="0"/>
          <w:numId w:val="20"/>
        </w:numPr>
        <w:adjustRightInd w:val="0"/>
        <w:snapToGrid w:val="0"/>
        <w:spacing w:line="240" w:lineRule="auto"/>
        <w:rPr>
          <w:b/>
          <w:bCs/>
          <w:color w:val="0070C0"/>
          <w:lang w:val="en-US"/>
        </w:rPr>
      </w:pPr>
      <w:r>
        <w:rPr>
          <w:b/>
          <w:bCs/>
          <w:color w:val="0070C0"/>
        </w:rPr>
        <w:t>OICA/CLEPA</w:t>
      </w:r>
      <w:r w:rsidRPr="003A399E">
        <w:rPr>
          <w:b/>
          <w:bCs/>
          <w:color w:val="0070C0"/>
        </w:rPr>
        <w:t xml:space="preserve">: </w:t>
      </w:r>
      <w:r>
        <w:rPr>
          <w:b/>
          <w:bCs/>
          <w:color w:val="0070C0"/>
        </w:rPr>
        <w:t xml:space="preserve">no objection. </w:t>
      </w:r>
    </w:p>
    <w:p w:rsidR="00703405" w:rsidRPr="00785D22" w:rsidRDefault="00703405" w:rsidP="00703405">
      <w:pPr>
        <w:spacing w:after="120" w:line="240" w:lineRule="auto"/>
        <w:ind w:left="1134" w:right="1134"/>
        <w:jc w:val="both"/>
        <w:rPr>
          <w:rFonts w:asciiTheme="majorBidi" w:hAnsiTheme="majorBidi" w:cstheme="majorBidi"/>
          <w:i/>
          <w:lang w:val="sv-SE"/>
        </w:rPr>
      </w:pPr>
      <w:r w:rsidRPr="00785D22">
        <w:rPr>
          <w:rFonts w:asciiTheme="majorBidi" w:hAnsiTheme="majorBidi" w:cstheme="majorBidi"/>
          <w:i/>
          <w:lang w:val="sv-SE"/>
        </w:rPr>
        <w:t xml:space="preserve">Paragraph 4.2., amend to read: </w:t>
      </w:r>
    </w:p>
    <w:p w:rsidR="00703405" w:rsidRDefault="00703405" w:rsidP="00703405">
      <w:pPr>
        <w:spacing w:after="120"/>
        <w:ind w:left="2268" w:right="1134" w:hanging="1162"/>
        <w:jc w:val="both"/>
        <w:rPr>
          <w:b/>
          <w:lang w:val="en-US"/>
        </w:rPr>
      </w:pPr>
      <w:r w:rsidRPr="00785D22">
        <w:t>“4.2.</w:t>
      </w:r>
      <w:r w:rsidRPr="00785D22">
        <w:tab/>
      </w:r>
      <w:r w:rsidRPr="00785D22">
        <w:rPr>
          <w:lang w:val="en-US"/>
        </w:rPr>
        <w:t xml:space="preserve">Simulation tool and mathematical models for verification of the safety concept may be used in accordance with Schedule 8 of Revision 3 of the 1958 Agreement, </w:t>
      </w:r>
      <w:proofErr w:type="gramStart"/>
      <w:r w:rsidRPr="00785D22">
        <w:rPr>
          <w:lang w:val="en-US"/>
        </w:rPr>
        <w:t>in particular for</w:t>
      </w:r>
      <w:proofErr w:type="gramEnd"/>
      <w:r w:rsidRPr="00785D22">
        <w:rPr>
          <w:lang w:val="en-US"/>
        </w:rPr>
        <w:t xml:space="preserve"> scenarios that are difficult on a test track or in real driving conditions. Manufacturers shall demonstrate the scope of the simulation tool, its validity for the scenario concerned as well as the validation performed for the simulation tool chain (correlation of the outcome with physical tests). </w:t>
      </w:r>
      <w:r w:rsidRPr="00785D22">
        <w:rPr>
          <w:b/>
          <w:lang w:val="en-US"/>
        </w:rPr>
        <w:t>Simulation shall not substitute physical tests in Annex 5 to this UN Regulation.”</w:t>
      </w:r>
    </w:p>
    <w:p w:rsidR="00075ACB" w:rsidRPr="003A399E" w:rsidRDefault="00075ACB" w:rsidP="00075ACB">
      <w:pPr>
        <w:pStyle w:val="para"/>
        <w:numPr>
          <w:ilvl w:val="0"/>
          <w:numId w:val="20"/>
        </w:numPr>
        <w:adjustRightInd w:val="0"/>
        <w:snapToGrid w:val="0"/>
        <w:spacing w:line="240" w:lineRule="auto"/>
        <w:rPr>
          <w:b/>
          <w:bCs/>
          <w:color w:val="0070C0"/>
          <w:lang w:val="en-US"/>
        </w:rPr>
      </w:pPr>
      <w:r>
        <w:rPr>
          <w:b/>
          <w:bCs/>
          <w:color w:val="0070C0"/>
        </w:rPr>
        <w:t>OICA/CLEPA</w:t>
      </w:r>
      <w:r w:rsidRPr="003A399E">
        <w:rPr>
          <w:b/>
          <w:bCs/>
          <w:color w:val="0070C0"/>
        </w:rPr>
        <w:t xml:space="preserve">: </w:t>
      </w:r>
      <w:r>
        <w:rPr>
          <w:b/>
          <w:bCs/>
          <w:color w:val="0070C0"/>
        </w:rPr>
        <w:t xml:space="preserve">no objection. </w:t>
      </w:r>
    </w:p>
    <w:p w:rsidR="007911D5" w:rsidRPr="00785D22" w:rsidRDefault="007911D5" w:rsidP="007911D5">
      <w:pPr>
        <w:spacing w:after="120" w:line="240" w:lineRule="auto"/>
        <w:ind w:left="1134" w:right="1134"/>
        <w:jc w:val="both"/>
        <w:rPr>
          <w:rFonts w:asciiTheme="majorBidi" w:hAnsiTheme="majorBidi" w:cstheme="majorBidi"/>
          <w:i/>
        </w:rPr>
      </w:pPr>
      <w:r w:rsidRPr="00785D22">
        <w:rPr>
          <w:rFonts w:asciiTheme="majorBidi" w:hAnsiTheme="majorBidi" w:cstheme="majorBidi"/>
          <w:i/>
          <w:lang w:val="sv-SE"/>
        </w:rPr>
        <w:t xml:space="preserve">Paragraph 6., </w:t>
      </w:r>
      <w:r w:rsidR="008C2382" w:rsidRPr="00785D22">
        <w:rPr>
          <w:rFonts w:asciiTheme="majorBidi" w:hAnsiTheme="majorBidi" w:cstheme="majorBidi"/>
          <w:iCs/>
          <w:lang w:val="sv-SE"/>
        </w:rPr>
        <w:t>delete</w:t>
      </w:r>
      <w:r w:rsidRPr="00785D22">
        <w:rPr>
          <w:rFonts w:asciiTheme="majorBidi" w:hAnsiTheme="majorBidi" w:cstheme="majorBidi"/>
          <w:iCs/>
          <w:lang w:val="sv-SE"/>
        </w:rPr>
        <w:t>:</w:t>
      </w:r>
      <w:r w:rsidRPr="00785D22">
        <w:rPr>
          <w:rFonts w:asciiTheme="majorBidi" w:hAnsiTheme="majorBidi" w:cstheme="majorBidi"/>
          <w:i/>
          <w:lang w:val="sv-SE"/>
        </w:rPr>
        <w:t xml:space="preserve"> </w:t>
      </w:r>
    </w:p>
    <w:p w:rsidR="008C2382" w:rsidRPr="00785D22" w:rsidRDefault="008C2382" w:rsidP="008C2382">
      <w:pPr>
        <w:pStyle w:val="HChG"/>
        <w:ind w:left="2268"/>
        <w:rPr>
          <w:strike/>
          <w:lang w:val="en-US"/>
        </w:rPr>
      </w:pPr>
      <w:r w:rsidRPr="00785D22">
        <w:rPr>
          <w:lang w:val="en-US"/>
        </w:rPr>
        <w:t xml:space="preserve">“6. </w:t>
      </w:r>
      <w:r w:rsidRPr="00785D22">
        <w:rPr>
          <w:lang w:val="en-US"/>
        </w:rPr>
        <w:tab/>
      </w:r>
      <w:r w:rsidR="009547DF" w:rsidRPr="00785D22">
        <w:rPr>
          <w:lang w:val="en-US"/>
        </w:rPr>
        <w:t xml:space="preserve">Reserved </w:t>
      </w:r>
      <w:r w:rsidRPr="00785D22">
        <w:rPr>
          <w:strike/>
          <w:lang w:val="en-US"/>
        </w:rPr>
        <w:t>Communication to other Type Approval Authorities (Appendix 2) containing:</w:t>
      </w:r>
    </w:p>
    <w:p w:rsidR="008C2382" w:rsidRPr="00785D22" w:rsidRDefault="008C2382" w:rsidP="008C2382">
      <w:pPr>
        <w:pStyle w:val="para"/>
        <w:ind w:left="2835" w:hanging="567"/>
        <w:rPr>
          <w:strike/>
          <w:lang w:val="en-US"/>
        </w:rPr>
      </w:pPr>
      <w:r w:rsidRPr="00785D22">
        <w:rPr>
          <w:strike/>
          <w:lang w:val="en-US"/>
        </w:rPr>
        <w:t>(a)</w:t>
      </w:r>
      <w:r w:rsidRPr="00785D22">
        <w:rPr>
          <w:strike/>
          <w:lang w:val="en-US"/>
        </w:rPr>
        <w:tab/>
        <w:t xml:space="preserve">Description of the ODD and the high-level functional architecture focusing on the functions available to the driver, vehicle occupants and other road users. </w:t>
      </w:r>
    </w:p>
    <w:p w:rsidR="008C2382" w:rsidRPr="00785D22" w:rsidRDefault="008C2382" w:rsidP="008C2382">
      <w:pPr>
        <w:pStyle w:val="para"/>
        <w:ind w:left="2835" w:hanging="567"/>
        <w:rPr>
          <w:strike/>
          <w:lang w:val="en-US"/>
        </w:rPr>
      </w:pPr>
      <w:r w:rsidRPr="00785D22">
        <w:rPr>
          <w:strike/>
          <w:lang w:val="en-US"/>
        </w:rPr>
        <w:t>(b)</w:t>
      </w:r>
      <w:r w:rsidRPr="00785D22">
        <w:rPr>
          <w:strike/>
          <w:lang w:val="en-US"/>
        </w:rPr>
        <w:tab/>
        <w:t>Test results during the verification process by the type approval authorities.”</w:t>
      </w:r>
    </w:p>
    <w:p w:rsidR="009547DF" w:rsidRDefault="009547DF" w:rsidP="00102C6E">
      <w:pPr>
        <w:keepNext/>
        <w:spacing w:after="120" w:line="240" w:lineRule="auto"/>
        <w:ind w:left="1134" w:right="1134"/>
        <w:jc w:val="both"/>
        <w:rPr>
          <w:rFonts w:asciiTheme="majorBidi" w:hAnsiTheme="majorBidi" w:cstheme="majorBidi"/>
          <w:iCs/>
          <w:lang w:val="sv-SE"/>
        </w:rPr>
      </w:pPr>
      <w:r w:rsidRPr="00785D22">
        <w:rPr>
          <w:rFonts w:asciiTheme="majorBidi" w:hAnsiTheme="majorBidi" w:cstheme="majorBidi"/>
          <w:i/>
          <w:lang w:val="sv-SE"/>
        </w:rPr>
        <w:t xml:space="preserve">Appendix 2 to Annex 4: </w:t>
      </w:r>
      <w:r w:rsidRPr="00785D22">
        <w:rPr>
          <w:rFonts w:asciiTheme="majorBidi" w:hAnsiTheme="majorBidi" w:cstheme="majorBidi"/>
          <w:iCs/>
          <w:lang w:val="sv-SE"/>
        </w:rPr>
        <w:t>move to Annex 1 as Appendix 1 to Annex 1.</w:t>
      </w:r>
    </w:p>
    <w:p w:rsidR="00075ACB" w:rsidRPr="003A399E" w:rsidRDefault="00075ACB" w:rsidP="00075ACB">
      <w:pPr>
        <w:pStyle w:val="para"/>
        <w:numPr>
          <w:ilvl w:val="0"/>
          <w:numId w:val="20"/>
        </w:numPr>
        <w:adjustRightInd w:val="0"/>
        <w:snapToGrid w:val="0"/>
        <w:spacing w:line="240" w:lineRule="auto"/>
        <w:rPr>
          <w:b/>
          <w:bCs/>
          <w:color w:val="0070C0"/>
          <w:lang w:val="en-US"/>
        </w:rPr>
      </w:pPr>
      <w:r>
        <w:rPr>
          <w:b/>
          <w:bCs/>
          <w:color w:val="0070C0"/>
        </w:rPr>
        <w:t>OICA/CLEPA</w:t>
      </w:r>
      <w:r w:rsidRPr="003A399E">
        <w:rPr>
          <w:b/>
          <w:bCs/>
          <w:color w:val="0070C0"/>
        </w:rPr>
        <w:t xml:space="preserve">: </w:t>
      </w:r>
      <w:r>
        <w:rPr>
          <w:b/>
          <w:bCs/>
          <w:color w:val="0070C0"/>
        </w:rPr>
        <w:t xml:space="preserve">no objection. </w:t>
      </w:r>
    </w:p>
    <w:p w:rsidR="00872838" w:rsidRPr="00785D22" w:rsidRDefault="00872838" w:rsidP="00102C6E">
      <w:pPr>
        <w:keepNext/>
        <w:spacing w:after="120" w:line="240" w:lineRule="auto"/>
        <w:ind w:left="1134" w:right="1134"/>
        <w:jc w:val="both"/>
        <w:rPr>
          <w:rFonts w:asciiTheme="majorBidi" w:hAnsiTheme="majorBidi" w:cstheme="majorBidi"/>
          <w:i/>
          <w:lang w:val="sv-SE"/>
        </w:rPr>
      </w:pPr>
      <w:r w:rsidRPr="00785D22">
        <w:rPr>
          <w:rFonts w:asciiTheme="majorBidi" w:hAnsiTheme="majorBidi" w:cstheme="majorBidi"/>
          <w:i/>
          <w:lang w:val="sv-SE"/>
        </w:rPr>
        <w:t xml:space="preserve">Appendix 2 </w:t>
      </w:r>
      <w:r w:rsidR="009547DF" w:rsidRPr="00785D22">
        <w:rPr>
          <w:rFonts w:asciiTheme="majorBidi" w:hAnsiTheme="majorBidi" w:cstheme="majorBidi"/>
          <w:i/>
          <w:lang w:val="sv-SE"/>
        </w:rPr>
        <w:t xml:space="preserve">(former) </w:t>
      </w:r>
      <w:r w:rsidRPr="00785D22">
        <w:rPr>
          <w:rFonts w:asciiTheme="majorBidi" w:hAnsiTheme="majorBidi" w:cstheme="majorBidi"/>
          <w:i/>
          <w:lang w:val="sv-SE"/>
        </w:rPr>
        <w:t xml:space="preserve">to Annex </w:t>
      </w:r>
      <w:r w:rsidR="0020295F" w:rsidRPr="00785D22">
        <w:rPr>
          <w:rFonts w:asciiTheme="majorBidi" w:hAnsiTheme="majorBidi" w:cstheme="majorBidi"/>
          <w:i/>
          <w:lang w:val="sv-SE"/>
        </w:rPr>
        <w:t>4:</w:t>
      </w:r>
    </w:p>
    <w:p w:rsidR="00872838" w:rsidRPr="00785D22" w:rsidRDefault="00872838" w:rsidP="009749F9">
      <w:pPr>
        <w:keepNext/>
        <w:spacing w:after="120" w:line="240" w:lineRule="auto"/>
        <w:ind w:left="1134" w:right="1134"/>
        <w:jc w:val="both"/>
        <w:rPr>
          <w:rFonts w:asciiTheme="majorBidi" w:hAnsiTheme="majorBidi" w:cstheme="majorBidi"/>
          <w:i/>
        </w:rPr>
      </w:pPr>
      <w:r w:rsidRPr="00785D22">
        <w:rPr>
          <w:rFonts w:asciiTheme="majorBidi" w:hAnsiTheme="majorBidi" w:cstheme="majorBidi"/>
          <w:i/>
          <w:lang w:val="sv-SE"/>
        </w:rPr>
        <w:t xml:space="preserve">Paragraph 7., amend to read: </w:t>
      </w:r>
    </w:p>
    <w:p w:rsidR="00872838" w:rsidRPr="00785D22" w:rsidRDefault="00872838" w:rsidP="00872838">
      <w:pPr>
        <w:spacing w:after="120"/>
        <w:ind w:left="1701" w:right="1134" w:hanging="567"/>
        <w:contextualSpacing/>
        <w:jc w:val="both"/>
        <w:rPr>
          <w:b/>
        </w:rPr>
      </w:pPr>
      <w:r w:rsidRPr="00785D22">
        <w:rPr>
          <w:b/>
        </w:rPr>
        <w:t>“7.</w:t>
      </w:r>
      <w:r w:rsidRPr="00785D22">
        <w:rPr>
          <w:b/>
        </w:rPr>
        <w:tab/>
        <w:t>Reserved</w:t>
      </w:r>
    </w:p>
    <w:p w:rsidR="00872838" w:rsidRPr="00785D22" w:rsidRDefault="00872838" w:rsidP="00872838">
      <w:pPr>
        <w:spacing w:after="120"/>
        <w:ind w:left="1701" w:right="1134" w:hanging="567"/>
        <w:contextualSpacing/>
        <w:jc w:val="both"/>
        <w:rPr>
          <w:b/>
          <w:strike/>
        </w:rPr>
      </w:pPr>
      <w:r w:rsidRPr="00785D22">
        <w:rPr>
          <w:b/>
          <w:strike/>
        </w:rPr>
        <w:t>7.</w:t>
      </w:r>
      <w:r w:rsidRPr="00785D22">
        <w:rPr>
          <w:b/>
          <w:strike/>
        </w:rPr>
        <w:tab/>
        <w:t>Verification and test by the authorities</w:t>
      </w:r>
    </w:p>
    <w:p w:rsidR="00872838" w:rsidRPr="00785D22" w:rsidRDefault="00872838" w:rsidP="00872838">
      <w:pPr>
        <w:tabs>
          <w:tab w:val="left" w:leader="dot" w:pos="8505"/>
        </w:tabs>
        <w:spacing w:after="120" w:line="280" w:lineRule="atLeast"/>
        <w:ind w:left="1701" w:right="1134" w:hanging="567"/>
        <w:rPr>
          <w:strike/>
        </w:rPr>
      </w:pPr>
      <w:r w:rsidRPr="00785D22">
        <w:rPr>
          <w:strike/>
        </w:rPr>
        <w:t>7.1.</w:t>
      </w:r>
      <w:r w:rsidRPr="00785D22">
        <w:rPr>
          <w:strike/>
        </w:rPr>
        <w:tab/>
        <w:t>Verification of the basic function of "The System"</w:t>
      </w:r>
      <w:r w:rsidRPr="00785D22">
        <w:rPr>
          <w:strike/>
        </w:rPr>
        <w:tab/>
      </w:r>
    </w:p>
    <w:p w:rsidR="00872838" w:rsidRPr="00785D22" w:rsidRDefault="00872838" w:rsidP="00872838">
      <w:pPr>
        <w:tabs>
          <w:tab w:val="left" w:leader="dot" w:pos="8505"/>
        </w:tabs>
        <w:spacing w:after="120" w:line="280" w:lineRule="atLeast"/>
        <w:ind w:left="1701" w:right="1134" w:hanging="567"/>
        <w:rPr>
          <w:strike/>
        </w:rPr>
      </w:pPr>
      <w:r w:rsidRPr="00785D22">
        <w:rPr>
          <w:strike/>
        </w:rPr>
        <w:t>7.2.</w:t>
      </w:r>
      <w:r w:rsidRPr="00785D22">
        <w:rPr>
          <w:strike/>
        </w:rPr>
        <w:tab/>
        <w:t>Examples for checking the system reaction under the influence of a failure or an operational disturbance, emergency conditions and boundary conditions</w:t>
      </w:r>
      <w:r w:rsidRPr="00785D22">
        <w:rPr>
          <w:strike/>
        </w:rPr>
        <w:tab/>
        <w:t>“</w:t>
      </w:r>
    </w:p>
    <w:p w:rsidR="00075ACB" w:rsidRPr="003A399E" w:rsidRDefault="00075ACB" w:rsidP="00075ACB">
      <w:pPr>
        <w:pStyle w:val="para"/>
        <w:numPr>
          <w:ilvl w:val="0"/>
          <w:numId w:val="20"/>
        </w:numPr>
        <w:adjustRightInd w:val="0"/>
        <w:snapToGrid w:val="0"/>
        <w:spacing w:line="240" w:lineRule="auto"/>
        <w:rPr>
          <w:b/>
          <w:bCs/>
          <w:color w:val="0070C0"/>
          <w:lang w:val="en-US"/>
        </w:rPr>
      </w:pPr>
      <w:r>
        <w:rPr>
          <w:b/>
          <w:bCs/>
          <w:color w:val="0070C0"/>
        </w:rPr>
        <w:t>OICA/CLEPA</w:t>
      </w:r>
      <w:r w:rsidRPr="003A399E">
        <w:rPr>
          <w:b/>
          <w:bCs/>
          <w:color w:val="0070C0"/>
        </w:rPr>
        <w:t xml:space="preserve">: </w:t>
      </w:r>
      <w:r>
        <w:rPr>
          <w:b/>
          <w:bCs/>
          <w:color w:val="0070C0"/>
        </w:rPr>
        <w:t xml:space="preserve">no objection. </w:t>
      </w:r>
    </w:p>
    <w:p w:rsidR="009547DF" w:rsidRDefault="009547DF" w:rsidP="0020295F">
      <w:pPr>
        <w:spacing w:after="120" w:line="240" w:lineRule="auto"/>
        <w:ind w:left="1134" w:right="1134"/>
        <w:jc w:val="both"/>
        <w:rPr>
          <w:rFonts w:asciiTheme="majorBidi" w:hAnsiTheme="majorBidi" w:cstheme="majorBidi"/>
          <w:iCs/>
          <w:lang w:val="sv-SE"/>
        </w:rPr>
      </w:pPr>
      <w:r w:rsidRPr="00785D22">
        <w:rPr>
          <w:rFonts w:asciiTheme="majorBidi" w:hAnsiTheme="majorBidi" w:cstheme="majorBidi"/>
          <w:i/>
          <w:lang w:val="sv-SE"/>
        </w:rPr>
        <w:t xml:space="preserve">Appendix 3 to Annex 4: </w:t>
      </w:r>
      <w:r w:rsidRPr="00785D22">
        <w:rPr>
          <w:rFonts w:asciiTheme="majorBidi" w:hAnsiTheme="majorBidi" w:cstheme="majorBidi"/>
          <w:iCs/>
          <w:lang w:val="sv-SE"/>
        </w:rPr>
        <w:t>move to Annex 3.</w:t>
      </w:r>
    </w:p>
    <w:p w:rsidR="00075ACB" w:rsidRPr="003A399E" w:rsidRDefault="00075ACB" w:rsidP="00075ACB">
      <w:pPr>
        <w:pStyle w:val="para"/>
        <w:numPr>
          <w:ilvl w:val="0"/>
          <w:numId w:val="20"/>
        </w:numPr>
        <w:adjustRightInd w:val="0"/>
        <w:snapToGrid w:val="0"/>
        <w:spacing w:line="240" w:lineRule="auto"/>
        <w:rPr>
          <w:b/>
          <w:bCs/>
          <w:color w:val="0070C0"/>
          <w:lang w:val="en-US"/>
        </w:rPr>
      </w:pPr>
      <w:r>
        <w:rPr>
          <w:b/>
          <w:bCs/>
          <w:color w:val="0070C0"/>
        </w:rPr>
        <w:t>OICA/CLEPA</w:t>
      </w:r>
      <w:r w:rsidRPr="003A399E">
        <w:rPr>
          <w:b/>
          <w:bCs/>
          <w:color w:val="0070C0"/>
        </w:rPr>
        <w:t xml:space="preserve">: </w:t>
      </w:r>
      <w:r>
        <w:rPr>
          <w:b/>
          <w:bCs/>
          <w:color w:val="0070C0"/>
        </w:rPr>
        <w:t xml:space="preserve">no objection. </w:t>
      </w:r>
    </w:p>
    <w:p w:rsidR="0020295F" w:rsidRPr="00785D22" w:rsidRDefault="0020295F" w:rsidP="0020295F">
      <w:pPr>
        <w:spacing w:after="120" w:line="240" w:lineRule="auto"/>
        <w:ind w:left="1134" w:right="1134"/>
        <w:jc w:val="both"/>
        <w:rPr>
          <w:rFonts w:asciiTheme="majorBidi" w:hAnsiTheme="majorBidi" w:cstheme="majorBidi"/>
          <w:i/>
        </w:rPr>
      </w:pPr>
      <w:r w:rsidRPr="00785D22">
        <w:rPr>
          <w:rFonts w:asciiTheme="majorBidi" w:hAnsiTheme="majorBidi" w:cstheme="majorBidi"/>
          <w:i/>
        </w:rPr>
        <w:t>Annex 5:</w:t>
      </w:r>
    </w:p>
    <w:p w:rsidR="0020295F" w:rsidRPr="00785D22" w:rsidRDefault="0020295F" w:rsidP="0020295F">
      <w:pPr>
        <w:spacing w:after="120" w:line="240" w:lineRule="auto"/>
        <w:ind w:left="1134" w:right="1134"/>
        <w:jc w:val="both"/>
        <w:rPr>
          <w:rFonts w:asciiTheme="majorBidi" w:hAnsiTheme="majorBidi" w:cstheme="majorBidi"/>
        </w:rPr>
      </w:pPr>
      <w:r w:rsidRPr="00785D22">
        <w:rPr>
          <w:rFonts w:asciiTheme="majorBidi" w:hAnsiTheme="majorBidi" w:cstheme="majorBidi"/>
          <w:i/>
        </w:rPr>
        <w:t xml:space="preserve">Paragraph 1., </w:t>
      </w:r>
      <w:r w:rsidRPr="00785D22">
        <w:rPr>
          <w:rFonts w:asciiTheme="majorBidi" w:hAnsiTheme="majorBidi" w:cstheme="majorBidi"/>
        </w:rPr>
        <w:t>amend to read:</w:t>
      </w:r>
    </w:p>
    <w:p w:rsidR="00A16984" w:rsidRPr="00785D22" w:rsidRDefault="00785D22" w:rsidP="00A16984">
      <w:pPr>
        <w:tabs>
          <w:tab w:val="left" w:leader="dot" w:pos="8080"/>
        </w:tabs>
        <w:spacing w:after="120" w:line="240" w:lineRule="auto"/>
        <w:ind w:left="2268" w:right="1134"/>
        <w:jc w:val="both"/>
        <w:rPr>
          <w:b/>
          <w:bCs/>
        </w:rPr>
      </w:pPr>
      <w:r w:rsidRPr="00785D22">
        <w:t>“</w:t>
      </w:r>
      <w:r w:rsidR="00A16984" w:rsidRPr="00785D22">
        <w:t xml:space="preserve">This annex defines tests with the purpose to verify the technical requirements on ALKS. </w:t>
      </w:r>
      <w:r w:rsidR="00A16984" w:rsidRPr="00785D22">
        <w:rPr>
          <w:b/>
          <w:bCs/>
          <w:lang w:val="en-US"/>
        </w:rPr>
        <w:t xml:space="preserve">All tests from this Annex </w:t>
      </w:r>
      <w:proofErr w:type="gramStart"/>
      <w:r w:rsidR="00A16984" w:rsidRPr="00785D22">
        <w:rPr>
          <w:b/>
          <w:bCs/>
          <w:lang w:val="en-US"/>
        </w:rPr>
        <w:t>have to</w:t>
      </w:r>
      <w:proofErr w:type="gramEnd"/>
      <w:r w:rsidR="00A16984" w:rsidRPr="00785D22">
        <w:rPr>
          <w:b/>
          <w:bCs/>
          <w:lang w:val="en-US"/>
        </w:rPr>
        <w:t xml:space="preserve"> be performed or witnessed by the Technical Service during the approval process.</w:t>
      </w:r>
    </w:p>
    <w:p w:rsidR="0020295F" w:rsidRDefault="00A16984" w:rsidP="00A16984">
      <w:pPr>
        <w:tabs>
          <w:tab w:val="left" w:leader="dot" w:pos="8080"/>
        </w:tabs>
        <w:spacing w:after="120" w:line="240" w:lineRule="auto"/>
        <w:ind w:left="2268" w:right="1134"/>
        <w:jc w:val="both"/>
      </w:pPr>
      <w:r w:rsidRPr="00785D22">
        <w:t xml:space="preserve">Until such time that specific test provisions have been agreed, the </w:t>
      </w:r>
      <w:r w:rsidRPr="00785D22">
        <w:rPr>
          <w:strike/>
        </w:rPr>
        <w:t xml:space="preserve">Technical Service shall ensure that the ALKS is subject to at least the tests outlined in Annex 5.  The </w:t>
      </w:r>
      <w:r w:rsidRPr="00785D22">
        <w:t>specific test parameters for each test shall be selected by the Technical Service and shall be recorded in the test report in such a manner that allows traceability and repeatability of the test setup</w:t>
      </w:r>
      <w:r w:rsidR="0020295F" w:rsidRPr="00785D22">
        <w:t>. ...”</w:t>
      </w:r>
    </w:p>
    <w:p w:rsidR="00075ACB" w:rsidRPr="003A399E" w:rsidRDefault="00075ACB" w:rsidP="00075ACB">
      <w:pPr>
        <w:pStyle w:val="para"/>
        <w:numPr>
          <w:ilvl w:val="0"/>
          <w:numId w:val="20"/>
        </w:numPr>
        <w:adjustRightInd w:val="0"/>
        <w:snapToGrid w:val="0"/>
        <w:spacing w:line="240" w:lineRule="auto"/>
        <w:rPr>
          <w:b/>
          <w:bCs/>
          <w:color w:val="0070C0"/>
          <w:lang w:val="en-US"/>
        </w:rPr>
      </w:pPr>
      <w:r>
        <w:rPr>
          <w:b/>
          <w:bCs/>
          <w:color w:val="0070C0"/>
        </w:rPr>
        <w:t>OICA/CLEPA</w:t>
      </w:r>
      <w:r w:rsidRPr="003A399E">
        <w:rPr>
          <w:b/>
          <w:bCs/>
          <w:color w:val="0070C0"/>
        </w:rPr>
        <w:t xml:space="preserve">: </w:t>
      </w:r>
      <w:r>
        <w:rPr>
          <w:b/>
          <w:bCs/>
          <w:color w:val="0070C0"/>
        </w:rPr>
        <w:t xml:space="preserve">Since Annex 5 covers different types of scenarios, some of which cannot be confirmed easily by physical tests, e.g. those scenarios listed under par. 5.3. to include in the opening paragraph that all tests </w:t>
      </w:r>
      <w:proofErr w:type="gramStart"/>
      <w:r>
        <w:rPr>
          <w:b/>
          <w:bCs/>
          <w:color w:val="0070C0"/>
        </w:rPr>
        <w:t>have to</w:t>
      </w:r>
      <w:proofErr w:type="gramEnd"/>
      <w:r>
        <w:rPr>
          <w:b/>
          <w:bCs/>
          <w:color w:val="0070C0"/>
        </w:rPr>
        <w:t xml:space="preserve"> be performed at the time of type approval might be too general. We therefore suggest </w:t>
      </w:r>
      <w:proofErr w:type="gramStart"/>
      <w:r>
        <w:rPr>
          <w:b/>
          <w:bCs/>
          <w:color w:val="0070C0"/>
        </w:rPr>
        <w:t>to include</w:t>
      </w:r>
      <w:proofErr w:type="gramEnd"/>
      <w:r>
        <w:rPr>
          <w:b/>
          <w:bCs/>
          <w:color w:val="0070C0"/>
        </w:rPr>
        <w:t xml:space="preserve"> this clarification into the individual subsections 4., 5.2 and 5.3. as proposed in GRVA-07-21.</w:t>
      </w:r>
    </w:p>
    <w:p w:rsidR="0020295F" w:rsidRPr="00785D22" w:rsidRDefault="0020295F" w:rsidP="0020295F">
      <w:pPr>
        <w:spacing w:after="120" w:line="240" w:lineRule="auto"/>
        <w:ind w:left="1134" w:right="1134"/>
        <w:jc w:val="both"/>
        <w:rPr>
          <w:rFonts w:asciiTheme="majorBidi" w:hAnsiTheme="majorBidi" w:cstheme="majorBidi"/>
        </w:rPr>
      </w:pPr>
      <w:r w:rsidRPr="00785D22">
        <w:rPr>
          <w:rFonts w:asciiTheme="majorBidi" w:hAnsiTheme="majorBidi" w:cstheme="majorBidi"/>
          <w:i/>
        </w:rPr>
        <w:t xml:space="preserve">Paragraph </w:t>
      </w:r>
      <w:r w:rsidR="00EC68A9" w:rsidRPr="00785D22">
        <w:rPr>
          <w:rFonts w:asciiTheme="majorBidi" w:hAnsiTheme="majorBidi" w:cstheme="majorBidi"/>
          <w:i/>
        </w:rPr>
        <w:t>5.2.</w:t>
      </w:r>
      <w:r w:rsidRPr="00785D22">
        <w:rPr>
          <w:rFonts w:asciiTheme="majorBidi" w:hAnsiTheme="majorBidi" w:cstheme="majorBidi"/>
          <w:i/>
        </w:rPr>
        <w:t xml:space="preserve">, </w:t>
      </w:r>
      <w:r w:rsidRPr="00785D22">
        <w:rPr>
          <w:rFonts w:asciiTheme="majorBidi" w:hAnsiTheme="majorBidi" w:cstheme="majorBidi"/>
        </w:rPr>
        <w:t>amend to read:</w:t>
      </w:r>
    </w:p>
    <w:p w:rsidR="00A16984" w:rsidRDefault="00EC68A9" w:rsidP="00EC68A9">
      <w:pPr>
        <w:pStyle w:val="para"/>
        <w:spacing w:line="240" w:lineRule="auto"/>
        <w:rPr>
          <w:b/>
          <w:bCs/>
        </w:rPr>
      </w:pPr>
      <w:r w:rsidRPr="00785D22">
        <w:t xml:space="preserve">“5.2. </w:t>
      </w:r>
      <w:r w:rsidRPr="00785D22">
        <w:tab/>
      </w:r>
      <w:r w:rsidR="00A16984" w:rsidRPr="00785D22">
        <w:tab/>
        <w:t xml:space="preserve">Compliance with the following provisions shall be demonstrated by the manufacturer </w:t>
      </w:r>
      <w:r w:rsidR="00A16984" w:rsidRPr="00785D22">
        <w:rPr>
          <w:b/>
          <w:bCs/>
        </w:rPr>
        <w:t xml:space="preserve">as part of the </w:t>
      </w:r>
      <w:r w:rsidR="00A16984" w:rsidRPr="004C45A0">
        <w:rPr>
          <w:b/>
          <w:bCs/>
          <w:strike/>
        </w:rPr>
        <w:t>audit</w:t>
      </w:r>
      <w:r w:rsidR="00A16984" w:rsidRPr="00785D22">
        <w:rPr>
          <w:b/>
          <w:bCs/>
        </w:rPr>
        <w:t xml:space="preserve"> </w:t>
      </w:r>
      <w:r w:rsidR="004C45A0" w:rsidRPr="004C45A0">
        <w:rPr>
          <w:b/>
          <w:bCs/>
          <w:color w:val="0070C0"/>
        </w:rPr>
        <w:t>assessment</w:t>
      </w:r>
      <w:r w:rsidR="004C45A0">
        <w:rPr>
          <w:b/>
          <w:bCs/>
        </w:rPr>
        <w:t xml:space="preserve"> </w:t>
      </w:r>
      <w:r w:rsidR="00A16984" w:rsidRPr="00785D22">
        <w:rPr>
          <w:b/>
          <w:bCs/>
        </w:rPr>
        <w:t>under Annex 4</w:t>
      </w:r>
      <w:r w:rsidR="00A16984" w:rsidRPr="00785D22">
        <w:t xml:space="preserve"> and </w:t>
      </w:r>
      <w:r w:rsidR="00A16984" w:rsidRPr="00785D22">
        <w:rPr>
          <w:strike/>
        </w:rPr>
        <w:t>assessed</w:t>
      </w:r>
      <w:r w:rsidR="00A16984" w:rsidRPr="00785D22">
        <w:t xml:space="preserve"> </w:t>
      </w:r>
      <w:r w:rsidR="00A16984" w:rsidRPr="00785D22">
        <w:rPr>
          <w:b/>
          <w:bCs/>
        </w:rPr>
        <w:t>be verified</w:t>
      </w:r>
      <w:r w:rsidR="00A16984" w:rsidRPr="00785D22">
        <w:t xml:space="preserve"> by the Technical Service </w:t>
      </w:r>
      <w:r w:rsidR="00A16984" w:rsidRPr="00785D22">
        <w:rPr>
          <w:strike/>
        </w:rPr>
        <w:t>at the time of type approval</w:t>
      </w:r>
      <w:r w:rsidR="00A16984" w:rsidRPr="00785D22">
        <w:t xml:space="preserve"> </w:t>
      </w:r>
      <w:r w:rsidR="00A16984" w:rsidRPr="00785D22">
        <w:rPr>
          <w:b/>
          <w:bCs/>
        </w:rPr>
        <w:t>as part of the tests under section 4. and section 5.4. of this Annex.”</w:t>
      </w:r>
    </w:p>
    <w:p w:rsidR="004C45A0" w:rsidRDefault="00075ACB" w:rsidP="00075ACB">
      <w:pPr>
        <w:pStyle w:val="para"/>
        <w:numPr>
          <w:ilvl w:val="0"/>
          <w:numId w:val="20"/>
        </w:numPr>
        <w:adjustRightInd w:val="0"/>
        <w:snapToGrid w:val="0"/>
        <w:spacing w:line="240" w:lineRule="auto"/>
        <w:rPr>
          <w:b/>
          <w:bCs/>
          <w:color w:val="0070C0"/>
          <w:lang w:val="en-US"/>
        </w:rPr>
      </w:pPr>
      <w:r>
        <w:rPr>
          <w:b/>
          <w:bCs/>
          <w:color w:val="0070C0"/>
        </w:rPr>
        <w:t>OICA/CLEPA</w:t>
      </w:r>
      <w:r w:rsidRPr="003A399E">
        <w:rPr>
          <w:b/>
          <w:bCs/>
          <w:color w:val="0070C0"/>
        </w:rPr>
        <w:t xml:space="preserve">: </w:t>
      </w:r>
      <w:r>
        <w:rPr>
          <w:b/>
          <w:bCs/>
          <w:color w:val="0070C0"/>
        </w:rPr>
        <w:t xml:space="preserve">in principle no objection. </w:t>
      </w:r>
      <w:proofErr w:type="gramStart"/>
      <w:r>
        <w:rPr>
          <w:b/>
          <w:bCs/>
          <w:color w:val="0070C0"/>
          <w:lang w:val="en-US"/>
        </w:rPr>
        <w:t>Alternatively</w:t>
      </w:r>
      <w:proofErr w:type="gramEnd"/>
      <w:r>
        <w:rPr>
          <w:b/>
          <w:bCs/>
          <w:color w:val="0070C0"/>
          <w:lang w:val="en-US"/>
        </w:rPr>
        <w:t xml:space="preserve"> the wording from GRVA-07-21 could be used</w:t>
      </w:r>
      <w:r w:rsidR="00BF4F7C">
        <w:rPr>
          <w:b/>
          <w:bCs/>
          <w:color w:val="0070C0"/>
          <w:lang w:val="en-US"/>
        </w:rPr>
        <w:t>:</w:t>
      </w:r>
      <w:r>
        <w:rPr>
          <w:b/>
          <w:bCs/>
          <w:color w:val="0070C0"/>
          <w:lang w:val="en-US"/>
        </w:rPr>
        <w:t xml:space="preserve"> </w:t>
      </w:r>
    </w:p>
    <w:p w:rsidR="00075ACB" w:rsidRPr="00075ACB" w:rsidRDefault="00075ACB" w:rsidP="00075ACB">
      <w:pPr>
        <w:pStyle w:val="para"/>
        <w:adjustRightInd w:val="0"/>
        <w:snapToGrid w:val="0"/>
        <w:spacing w:line="240" w:lineRule="auto"/>
        <w:ind w:hanging="774"/>
        <w:rPr>
          <w:b/>
          <w:bCs/>
          <w:color w:val="0070C0"/>
          <w:lang w:val="en-US"/>
        </w:rPr>
      </w:pPr>
      <w:r>
        <w:rPr>
          <w:b/>
          <w:bCs/>
          <w:color w:val="0070C0"/>
          <w:lang w:val="en-US"/>
        </w:rPr>
        <w:t>“</w:t>
      </w:r>
      <w:r w:rsidRPr="00075ACB">
        <w:rPr>
          <w:b/>
          <w:bCs/>
          <w:color w:val="0070C0"/>
          <w:lang w:val="en-US"/>
        </w:rPr>
        <w:t xml:space="preserve">5.2.  </w:t>
      </w:r>
      <w:r>
        <w:rPr>
          <w:b/>
          <w:bCs/>
          <w:color w:val="0070C0"/>
          <w:lang w:val="en-US"/>
        </w:rPr>
        <w:tab/>
      </w:r>
      <w:r w:rsidRPr="00075ACB">
        <w:rPr>
          <w:b/>
          <w:bCs/>
          <w:color w:val="0070C0"/>
          <w:lang w:val="en-US"/>
        </w:rPr>
        <w:t>Compliance with the following provisions shall be demonstrated to the Technical Service by the manufacturer</w:t>
      </w:r>
      <w:r w:rsidR="00464BF6">
        <w:rPr>
          <w:b/>
          <w:bCs/>
          <w:color w:val="0070C0"/>
          <w:lang w:val="en-US"/>
        </w:rPr>
        <w:t xml:space="preserve"> preferably with a test </w:t>
      </w:r>
      <w:proofErr w:type="gramStart"/>
      <w:r w:rsidR="00464BF6">
        <w:rPr>
          <w:b/>
          <w:bCs/>
          <w:color w:val="0070C0"/>
          <w:lang w:val="en-US"/>
        </w:rPr>
        <w:t>vehicle,  and</w:t>
      </w:r>
      <w:proofErr w:type="gramEnd"/>
      <w:r w:rsidR="00464BF6">
        <w:rPr>
          <w:b/>
          <w:bCs/>
          <w:color w:val="0070C0"/>
          <w:lang w:val="en-US"/>
        </w:rPr>
        <w:t xml:space="preserve"> t</w:t>
      </w:r>
      <w:r w:rsidRPr="00075ACB">
        <w:rPr>
          <w:b/>
          <w:bCs/>
          <w:color w:val="0070C0"/>
          <w:lang w:val="en-US"/>
        </w:rPr>
        <w:t>he assessment by the Technical Service at the time of type approval shall be based on physical experience whenever necessary</w:t>
      </w:r>
      <w:r>
        <w:rPr>
          <w:b/>
          <w:bCs/>
          <w:color w:val="0070C0"/>
          <w:lang w:val="en-US"/>
        </w:rPr>
        <w:t>.”</w:t>
      </w:r>
    </w:p>
    <w:p w:rsidR="004C45A0" w:rsidRPr="00075ACB" w:rsidRDefault="004C45A0" w:rsidP="00EC68A9">
      <w:pPr>
        <w:pStyle w:val="para"/>
        <w:spacing w:line="240" w:lineRule="auto"/>
        <w:rPr>
          <w:b/>
          <w:bCs/>
          <w:lang w:val="en-US"/>
        </w:rPr>
      </w:pPr>
    </w:p>
    <w:p w:rsidR="00C652C3" w:rsidRPr="00075ACB" w:rsidRDefault="00C652C3" w:rsidP="00EC68A9">
      <w:pPr>
        <w:pStyle w:val="para"/>
        <w:spacing w:line="240" w:lineRule="auto"/>
        <w:rPr>
          <w:lang w:val="en-US"/>
        </w:rPr>
      </w:pPr>
    </w:p>
    <w:p w:rsidR="000C6927" w:rsidRPr="00785D22" w:rsidRDefault="000C6927" w:rsidP="000036ED">
      <w:pPr>
        <w:keepNext/>
        <w:keepLines/>
        <w:spacing w:after="120"/>
        <w:ind w:right="1134"/>
        <w:jc w:val="both"/>
        <w:rPr>
          <w:b/>
          <w:sz w:val="28"/>
        </w:rPr>
      </w:pPr>
      <w:r w:rsidRPr="00075ACB">
        <w:rPr>
          <w:lang w:val="en-US"/>
        </w:rPr>
        <w:tab/>
      </w:r>
      <w:r w:rsidRPr="00785D22">
        <w:rPr>
          <w:b/>
          <w:sz w:val="28"/>
        </w:rPr>
        <w:t>II.</w:t>
      </w:r>
      <w:r w:rsidRPr="00785D22">
        <w:rPr>
          <w:b/>
          <w:sz w:val="28"/>
        </w:rPr>
        <w:tab/>
        <w:t>Justification</w:t>
      </w:r>
    </w:p>
    <w:p w:rsidR="007D4AE5" w:rsidRPr="00785D22" w:rsidRDefault="007D4AE5" w:rsidP="007D4AE5">
      <w:pPr>
        <w:spacing w:after="120" w:line="240" w:lineRule="auto"/>
        <w:ind w:left="1134" w:right="1134"/>
        <w:jc w:val="both"/>
        <w:rPr>
          <w:rFonts w:asciiTheme="majorBidi" w:hAnsiTheme="majorBidi" w:cstheme="majorBidi"/>
          <w:i/>
          <w:lang w:val="sv-SE"/>
        </w:rPr>
      </w:pPr>
      <w:r w:rsidRPr="00785D22">
        <w:rPr>
          <w:rFonts w:asciiTheme="majorBidi" w:hAnsiTheme="majorBidi" w:cstheme="majorBidi"/>
          <w:i/>
          <w:lang w:val="sv-SE"/>
        </w:rPr>
        <w:t>Paragraph</w:t>
      </w:r>
      <w:r w:rsidR="00C453AD" w:rsidRPr="00785D22">
        <w:rPr>
          <w:rFonts w:asciiTheme="majorBidi" w:hAnsiTheme="majorBidi" w:cstheme="majorBidi"/>
          <w:i/>
          <w:lang w:val="sv-SE"/>
        </w:rPr>
        <w:t>s</w:t>
      </w:r>
      <w:r w:rsidRPr="00785D22">
        <w:rPr>
          <w:rFonts w:asciiTheme="majorBidi" w:hAnsiTheme="majorBidi" w:cstheme="majorBidi"/>
          <w:i/>
          <w:lang w:val="sv-SE"/>
        </w:rPr>
        <w:t xml:space="preserve"> 5.2.5.</w:t>
      </w:r>
      <w:r w:rsidR="00C453AD" w:rsidRPr="00785D22">
        <w:rPr>
          <w:rFonts w:asciiTheme="majorBidi" w:hAnsiTheme="majorBidi" w:cstheme="majorBidi"/>
          <w:i/>
          <w:lang w:val="sv-SE"/>
        </w:rPr>
        <w:t>, 5.2.6.</w:t>
      </w:r>
    </w:p>
    <w:p w:rsidR="00C453AD" w:rsidRPr="00785D22" w:rsidRDefault="00C453AD" w:rsidP="007D4AE5">
      <w:pPr>
        <w:spacing w:after="120" w:line="240" w:lineRule="auto"/>
        <w:ind w:left="1134" w:right="1134"/>
        <w:jc w:val="both"/>
        <w:rPr>
          <w:rFonts w:asciiTheme="majorBidi" w:hAnsiTheme="majorBidi" w:cstheme="majorBidi"/>
          <w:lang w:val="en-US"/>
        </w:rPr>
      </w:pPr>
      <w:r w:rsidRPr="00785D22">
        <w:rPr>
          <w:rFonts w:asciiTheme="majorBidi" w:hAnsiTheme="majorBidi" w:cstheme="majorBidi"/>
          <w:lang w:val="sv-SE"/>
        </w:rPr>
        <w:t>The second subparagraph of paragraph 5.2.5 was moved to the new paragraph 5.2.6.</w:t>
      </w:r>
      <w:r w:rsidRPr="00785D22">
        <w:rPr>
          <w:rFonts w:asciiTheme="majorBidi" w:hAnsiTheme="majorBidi" w:cstheme="majorBidi"/>
          <w:lang w:val="en-US"/>
        </w:rPr>
        <w:t xml:space="preserve"> as it has generalizing meaning. Appendix 3 to Annex 4 is considered to become a separate Annex 3. The content of Annex 3 is described in paragraph 5.2.6. more precisely.</w:t>
      </w:r>
    </w:p>
    <w:p w:rsidR="007D4AE5" w:rsidRPr="00785D22" w:rsidRDefault="00825177" w:rsidP="00825177">
      <w:pPr>
        <w:spacing w:after="120" w:line="240" w:lineRule="auto"/>
        <w:ind w:left="1134" w:right="1134"/>
        <w:jc w:val="both"/>
        <w:rPr>
          <w:rFonts w:asciiTheme="majorBidi" w:hAnsiTheme="majorBidi" w:cstheme="majorBidi"/>
          <w:i/>
          <w:lang w:val="sv-SE"/>
        </w:rPr>
      </w:pPr>
      <w:r w:rsidRPr="00785D22">
        <w:rPr>
          <w:rFonts w:asciiTheme="majorBidi" w:hAnsiTheme="majorBidi" w:cstheme="majorBidi"/>
          <w:i/>
          <w:lang w:val="sv-SE"/>
        </w:rPr>
        <w:t>Annex 1.</w:t>
      </w:r>
    </w:p>
    <w:p w:rsidR="000F2BBC" w:rsidRPr="00785D22" w:rsidRDefault="00825177" w:rsidP="00825177">
      <w:pPr>
        <w:spacing w:after="120" w:line="240" w:lineRule="auto"/>
        <w:ind w:left="1134" w:right="1134"/>
        <w:jc w:val="both"/>
        <w:rPr>
          <w:lang w:val="en-US"/>
        </w:rPr>
      </w:pPr>
      <w:r w:rsidRPr="00785D22">
        <w:t>There are t</w:t>
      </w:r>
      <w:r w:rsidR="000F2BBC" w:rsidRPr="00785D22">
        <w:t>w</w:t>
      </w:r>
      <w:r w:rsidRPr="00785D22">
        <w:t xml:space="preserve">o addenda to the Communication on type-approval. </w:t>
      </w:r>
      <w:r w:rsidR="000F2BBC" w:rsidRPr="00785D22">
        <w:rPr>
          <w:lang w:val="en-US"/>
        </w:rPr>
        <w:t xml:space="preserve">To regularize the content of the Communication, the </w:t>
      </w:r>
      <w:r w:rsidR="005B12FE" w:rsidRPr="00785D22">
        <w:rPr>
          <w:lang w:val="en-US"/>
        </w:rPr>
        <w:t>form of the information document of Appendix 2 to Annex 4 was moved to Annex 1 and became Appendix 1 to Annex 1. The reference to this Appendix in item 11.2. was amended respectively. The Appendix without number to Annex 1 became Appendix 2. The reference to the data in these Appendices was added after item 19.2.</w:t>
      </w:r>
    </w:p>
    <w:p w:rsidR="00DE4B2A" w:rsidRPr="00785D22" w:rsidRDefault="00DE4B2A" w:rsidP="00825177">
      <w:pPr>
        <w:spacing w:after="120" w:line="240" w:lineRule="auto"/>
        <w:ind w:left="1134" w:right="1134"/>
        <w:jc w:val="both"/>
        <w:rPr>
          <w:rFonts w:asciiTheme="majorBidi" w:hAnsiTheme="majorBidi" w:cstheme="majorBidi"/>
          <w:i/>
        </w:rPr>
      </w:pPr>
      <w:r w:rsidRPr="00785D22">
        <w:rPr>
          <w:rFonts w:asciiTheme="majorBidi" w:hAnsiTheme="majorBidi" w:cstheme="majorBidi"/>
          <w:i/>
        </w:rPr>
        <w:t>Annex 1, Appendix</w:t>
      </w:r>
      <w:r w:rsidR="005B12FE" w:rsidRPr="00785D22">
        <w:rPr>
          <w:rFonts w:asciiTheme="majorBidi" w:hAnsiTheme="majorBidi" w:cstheme="majorBidi"/>
          <w:i/>
        </w:rPr>
        <w:t xml:space="preserve"> (former)</w:t>
      </w:r>
      <w:r w:rsidRPr="00785D22">
        <w:rPr>
          <w:rFonts w:asciiTheme="majorBidi" w:hAnsiTheme="majorBidi" w:cstheme="majorBidi"/>
          <w:i/>
        </w:rPr>
        <w:t>, Header and the sentence before the table</w:t>
      </w:r>
      <w:r w:rsidR="005B12FE" w:rsidRPr="00785D22">
        <w:rPr>
          <w:rFonts w:asciiTheme="majorBidi" w:hAnsiTheme="majorBidi" w:cstheme="majorBidi"/>
          <w:i/>
        </w:rPr>
        <w:t>.</w:t>
      </w:r>
    </w:p>
    <w:p w:rsidR="00DE4B2A" w:rsidRPr="00785D22" w:rsidRDefault="00DE4B2A" w:rsidP="00825177">
      <w:pPr>
        <w:spacing w:after="120" w:line="240" w:lineRule="auto"/>
        <w:ind w:left="1134" w:right="1134"/>
        <w:jc w:val="both"/>
        <w:rPr>
          <w:rFonts w:asciiTheme="majorBidi" w:hAnsiTheme="majorBidi" w:cstheme="majorBidi"/>
        </w:rPr>
      </w:pPr>
      <w:r w:rsidRPr="00785D22">
        <w:rPr>
          <w:rFonts w:asciiTheme="majorBidi" w:hAnsiTheme="majorBidi" w:cstheme="majorBidi"/>
        </w:rPr>
        <w:t>“</w:t>
      </w:r>
      <w:r w:rsidR="005B12FE" w:rsidRPr="00785D22">
        <w:rPr>
          <w:rFonts w:asciiTheme="majorBidi" w:hAnsiTheme="majorBidi" w:cstheme="majorBidi"/>
        </w:rPr>
        <w:t>2</w:t>
      </w:r>
      <w:r w:rsidRPr="00785D22">
        <w:rPr>
          <w:rFonts w:asciiTheme="majorBidi" w:hAnsiTheme="majorBidi" w:cstheme="majorBidi"/>
        </w:rPr>
        <w:t>” is added after “Addendum” as there are two addenda</w:t>
      </w:r>
      <w:r w:rsidR="005B12FE" w:rsidRPr="00785D22">
        <w:rPr>
          <w:rFonts w:asciiTheme="majorBidi" w:hAnsiTheme="majorBidi" w:cstheme="majorBidi"/>
        </w:rPr>
        <w:t xml:space="preserve"> and this one became the 2</w:t>
      </w:r>
      <w:r w:rsidR="005B12FE" w:rsidRPr="00785D22">
        <w:rPr>
          <w:rFonts w:asciiTheme="majorBidi" w:hAnsiTheme="majorBidi" w:cstheme="majorBidi"/>
          <w:vertAlign w:val="superscript"/>
        </w:rPr>
        <w:t>nd</w:t>
      </w:r>
      <w:r w:rsidRPr="00785D22">
        <w:rPr>
          <w:rFonts w:asciiTheme="majorBidi" w:hAnsiTheme="majorBidi" w:cstheme="majorBidi"/>
        </w:rPr>
        <w:t>.</w:t>
      </w:r>
    </w:p>
    <w:p w:rsidR="00DE4B2A" w:rsidRPr="00785D22" w:rsidRDefault="00DE4B2A" w:rsidP="00825177">
      <w:pPr>
        <w:spacing w:after="120" w:line="240" w:lineRule="auto"/>
        <w:ind w:left="1134" w:right="1134"/>
        <w:jc w:val="both"/>
        <w:rPr>
          <w:rFonts w:asciiTheme="majorBidi" w:hAnsiTheme="majorBidi" w:cstheme="majorBidi"/>
        </w:rPr>
      </w:pPr>
      <w:r w:rsidRPr="00785D22">
        <w:rPr>
          <w:rFonts w:asciiTheme="majorBidi" w:hAnsiTheme="majorBidi" w:cstheme="majorBidi"/>
        </w:rPr>
        <w:t>In the table, the entire countries are mentioned, not the country regions.</w:t>
      </w:r>
    </w:p>
    <w:p w:rsidR="00DE4B2A" w:rsidRPr="00785D22" w:rsidRDefault="000A568E" w:rsidP="00825177">
      <w:pPr>
        <w:spacing w:after="120" w:line="240" w:lineRule="auto"/>
        <w:ind w:left="1134" w:right="1134"/>
        <w:jc w:val="both"/>
        <w:rPr>
          <w:rFonts w:asciiTheme="majorBidi" w:hAnsiTheme="majorBidi" w:cstheme="majorBidi"/>
          <w:i/>
        </w:rPr>
      </w:pPr>
      <w:r w:rsidRPr="00785D22">
        <w:rPr>
          <w:rFonts w:asciiTheme="majorBidi" w:hAnsiTheme="majorBidi" w:cstheme="majorBidi"/>
          <w:i/>
        </w:rPr>
        <w:t>Annex 4.</w:t>
      </w:r>
    </w:p>
    <w:p w:rsidR="000A568E" w:rsidRPr="00785D22" w:rsidRDefault="000A568E" w:rsidP="00825177">
      <w:pPr>
        <w:spacing w:after="120" w:line="240" w:lineRule="auto"/>
        <w:ind w:left="1134" w:right="1134"/>
        <w:jc w:val="both"/>
        <w:rPr>
          <w:rFonts w:asciiTheme="majorBidi" w:hAnsiTheme="majorBidi" w:cstheme="majorBidi"/>
          <w:i/>
        </w:rPr>
      </w:pPr>
      <w:r w:rsidRPr="00785D22">
        <w:rPr>
          <w:rFonts w:asciiTheme="majorBidi" w:hAnsiTheme="majorBidi" w:cstheme="majorBidi"/>
          <w:i/>
        </w:rPr>
        <w:t>Paragraph 1.</w:t>
      </w:r>
    </w:p>
    <w:p w:rsidR="000A568E" w:rsidRPr="00785D22" w:rsidRDefault="000A568E" w:rsidP="00825177">
      <w:pPr>
        <w:spacing w:after="120" w:line="240" w:lineRule="auto"/>
        <w:ind w:left="1134" w:right="1134"/>
        <w:jc w:val="both"/>
        <w:rPr>
          <w:rFonts w:asciiTheme="majorBidi" w:hAnsiTheme="majorBidi" w:cstheme="majorBidi"/>
        </w:rPr>
      </w:pPr>
      <w:r w:rsidRPr="00785D22">
        <w:rPr>
          <w:rFonts w:asciiTheme="majorBidi" w:hAnsiTheme="majorBidi" w:cstheme="majorBidi"/>
        </w:rPr>
        <w:t>The reference is made to the requirements of the Annex as they include requirements for documentation and to the verification conducted by the type-approval authority.</w:t>
      </w:r>
    </w:p>
    <w:p w:rsidR="007C54D6" w:rsidRPr="00785D22" w:rsidRDefault="000A568E" w:rsidP="00825177">
      <w:pPr>
        <w:spacing w:after="120" w:line="240" w:lineRule="auto"/>
        <w:ind w:left="1134" w:right="1134"/>
        <w:jc w:val="both"/>
        <w:rPr>
          <w:rFonts w:asciiTheme="majorBidi" w:hAnsiTheme="majorBidi" w:cstheme="majorBidi"/>
        </w:rPr>
      </w:pPr>
      <w:r w:rsidRPr="00785D22">
        <w:rPr>
          <w:rFonts w:asciiTheme="majorBidi" w:hAnsiTheme="majorBidi" w:cstheme="majorBidi"/>
        </w:rPr>
        <w:t>The link is provided to the specific provisions of the core text of the UN Regulation.</w:t>
      </w:r>
      <w:r w:rsidR="007C54D6" w:rsidRPr="00785D22">
        <w:rPr>
          <w:rFonts w:asciiTheme="majorBidi" w:hAnsiTheme="majorBidi" w:cstheme="majorBidi"/>
        </w:rPr>
        <w:t xml:space="preserve"> The text is amended to clarify that manufacturers shall submit evidence of compliance with those provisions.</w:t>
      </w:r>
    </w:p>
    <w:p w:rsidR="00DE4B2A" w:rsidRPr="00785D22" w:rsidRDefault="000044A9" w:rsidP="00825177">
      <w:pPr>
        <w:spacing w:after="120" w:line="240" w:lineRule="auto"/>
        <w:ind w:left="1134" w:right="1134"/>
        <w:jc w:val="both"/>
        <w:rPr>
          <w:i/>
        </w:rPr>
      </w:pPr>
      <w:r w:rsidRPr="00785D22">
        <w:rPr>
          <w:i/>
        </w:rPr>
        <w:t>Paragraph 2.1.</w:t>
      </w:r>
    </w:p>
    <w:p w:rsidR="000044A9" w:rsidRPr="00785D22" w:rsidRDefault="00703405" w:rsidP="00825177">
      <w:pPr>
        <w:spacing w:after="120" w:line="240" w:lineRule="auto"/>
        <w:ind w:left="1134" w:right="1134"/>
        <w:jc w:val="both"/>
        <w:rPr>
          <w:lang w:val="en-US"/>
        </w:rPr>
      </w:pPr>
      <w:r w:rsidRPr="00785D22">
        <w:t xml:space="preserve">Clarification is added to ensure that “the system” referred to in Annex 4 is that </w:t>
      </w:r>
      <w:r w:rsidRPr="00785D22">
        <w:rPr>
          <w:lang w:val="en-US"/>
        </w:rPr>
        <w:t>providing the automated lane-keeping function.</w:t>
      </w:r>
    </w:p>
    <w:p w:rsidR="00D85339" w:rsidRPr="00785D22" w:rsidRDefault="00D85339" w:rsidP="00825177">
      <w:pPr>
        <w:spacing w:after="120" w:line="240" w:lineRule="auto"/>
        <w:ind w:left="1134" w:right="1134"/>
        <w:jc w:val="both"/>
        <w:rPr>
          <w:rFonts w:asciiTheme="majorBidi" w:hAnsiTheme="majorBidi" w:cstheme="majorBidi"/>
          <w:i/>
          <w:lang w:val="sv-SE"/>
        </w:rPr>
      </w:pPr>
      <w:r w:rsidRPr="00785D22">
        <w:rPr>
          <w:rFonts w:asciiTheme="majorBidi" w:hAnsiTheme="majorBidi" w:cstheme="majorBidi"/>
          <w:i/>
          <w:lang w:val="sv-SE"/>
        </w:rPr>
        <w:t>Paragraph 3.1.1. (a).</w:t>
      </w:r>
    </w:p>
    <w:p w:rsidR="00D85339" w:rsidRPr="00785D22" w:rsidRDefault="00D85339" w:rsidP="00825177">
      <w:pPr>
        <w:spacing w:after="120" w:line="240" w:lineRule="auto"/>
        <w:ind w:left="1134" w:right="1134"/>
        <w:jc w:val="both"/>
        <w:rPr>
          <w:rFonts w:asciiTheme="majorBidi" w:hAnsiTheme="majorBidi" w:cstheme="majorBidi"/>
          <w:iCs/>
          <w:lang w:val="sv-SE"/>
        </w:rPr>
      </w:pPr>
      <w:r w:rsidRPr="00785D22">
        <w:rPr>
          <w:rFonts w:asciiTheme="majorBidi" w:hAnsiTheme="majorBidi" w:cstheme="majorBidi"/>
          <w:iCs/>
          <w:lang w:val="sv-SE"/>
        </w:rPr>
        <w:t>Correction of the reference as Appendix 2 was moved to Annex 1.</w:t>
      </w:r>
    </w:p>
    <w:p w:rsidR="008F32DD" w:rsidRPr="00785D22" w:rsidRDefault="008F32DD" w:rsidP="00825177">
      <w:pPr>
        <w:spacing w:after="120" w:line="240" w:lineRule="auto"/>
        <w:ind w:left="1134" w:right="1134"/>
        <w:jc w:val="both"/>
        <w:rPr>
          <w:rFonts w:asciiTheme="majorBidi" w:hAnsiTheme="majorBidi" w:cstheme="majorBidi"/>
          <w:i/>
          <w:lang w:val="sv-SE"/>
        </w:rPr>
      </w:pPr>
      <w:r w:rsidRPr="00785D22">
        <w:rPr>
          <w:rFonts w:asciiTheme="majorBidi" w:hAnsiTheme="majorBidi" w:cstheme="majorBidi"/>
          <w:i/>
          <w:lang w:val="sv-SE"/>
        </w:rPr>
        <w:t>Paragraph</w:t>
      </w:r>
      <w:r w:rsidR="008D14A0" w:rsidRPr="00785D22">
        <w:rPr>
          <w:rFonts w:asciiTheme="majorBidi" w:hAnsiTheme="majorBidi" w:cstheme="majorBidi"/>
          <w:i/>
          <w:lang w:val="sv-SE"/>
        </w:rPr>
        <w:t>s</w:t>
      </w:r>
      <w:r w:rsidRPr="00785D22">
        <w:rPr>
          <w:rFonts w:asciiTheme="majorBidi" w:hAnsiTheme="majorBidi" w:cstheme="majorBidi"/>
          <w:i/>
          <w:lang w:val="sv-SE"/>
        </w:rPr>
        <w:t xml:space="preserve"> 4.0.</w:t>
      </w:r>
      <w:r w:rsidR="008D14A0" w:rsidRPr="00785D22">
        <w:rPr>
          <w:rFonts w:asciiTheme="majorBidi" w:hAnsiTheme="majorBidi" w:cstheme="majorBidi"/>
          <w:i/>
          <w:lang w:val="sv-SE"/>
        </w:rPr>
        <w:t>, 4.1.1.</w:t>
      </w:r>
    </w:p>
    <w:p w:rsidR="008F32DD" w:rsidRPr="00785D22" w:rsidRDefault="008F32DD" w:rsidP="00825177">
      <w:pPr>
        <w:spacing w:after="120" w:line="240" w:lineRule="auto"/>
        <w:ind w:left="1134" w:right="1134"/>
        <w:jc w:val="both"/>
        <w:rPr>
          <w:rFonts w:asciiTheme="majorBidi" w:hAnsiTheme="majorBidi" w:cstheme="majorBidi"/>
          <w:iCs/>
          <w:lang w:val="sv-SE"/>
        </w:rPr>
      </w:pPr>
      <w:r w:rsidRPr="00785D22">
        <w:rPr>
          <w:rFonts w:asciiTheme="majorBidi" w:hAnsiTheme="majorBidi" w:cstheme="majorBidi"/>
          <w:iCs/>
          <w:lang w:val="sv-SE"/>
        </w:rPr>
        <w:t>Clarification on performing the tests emphasising the role of the approval authority.</w:t>
      </w:r>
    </w:p>
    <w:p w:rsidR="00703405" w:rsidRPr="00785D22" w:rsidRDefault="00703405" w:rsidP="00825177">
      <w:pPr>
        <w:spacing w:after="120" w:line="240" w:lineRule="auto"/>
        <w:ind w:left="1134" w:right="1134"/>
        <w:jc w:val="both"/>
        <w:rPr>
          <w:rFonts w:asciiTheme="majorBidi" w:hAnsiTheme="majorBidi" w:cstheme="majorBidi"/>
          <w:i/>
          <w:lang w:val="sv-SE"/>
        </w:rPr>
      </w:pPr>
      <w:r w:rsidRPr="00785D22">
        <w:rPr>
          <w:rFonts w:asciiTheme="majorBidi" w:hAnsiTheme="majorBidi" w:cstheme="majorBidi"/>
          <w:i/>
          <w:lang w:val="sv-SE"/>
        </w:rPr>
        <w:t>Paragraph 4.1.1.</w:t>
      </w:r>
      <w:r w:rsidR="00414028" w:rsidRPr="00785D22">
        <w:rPr>
          <w:rFonts w:asciiTheme="majorBidi" w:hAnsiTheme="majorBidi" w:cstheme="majorBidi"/>
          <w:i/>
          <w:lang w:val="sv-SE"/>
        </w:rPr>
        <w:t>1.</w:t>
      </w:r>
    </w:p>
    <w:p w:rsidR="00703405" w:rsidRPr="00785D22" w:rsidRDefault="00703405" w:rsidP="00825177">
      <w:pPr>
        <w:spacing w:after="120" w:line="240" w:lineRule="auto"/>
        <w:ind w:left="1134" w:right="1134"/>
        <w:jc w:val="both"/>
        <w:rPr>
          <w:rFonts w:asciiTheme="majorBidi" w:hAnsiTheme="majorBidi" w:cstheme="majorBidi"/>
          <w:lang w:val="sv-SE"/>
        </w:rPr>
      </w:pPr>
      <w:r w:rsidRPr="00785D22">
        <w:rPr>
          <w:rFonts w:asciiTheme="majorBidi" w:hAnsiTheme="majorBidi" w:cstheme="majorBidi"/>
          <w:lang w:val="sv-SE"/>
        </w:rPr>
        <w:t xml:space="preserve">This provision refers to </w:t>
      </w:r>
      <w:r w:rsidR="00414028" w:rsidRPr="00785D22">
        <w:rPr>
          <w:rFonts w:asciiTheme="majorBidi" w:hAnsiTheme="majorBidi" w:cstheme="majorBidi"/>
          <w:lang w:val="sv-SE"/>
        </w:rPr>
        <w:t>the tests</w:t>
      </w:r>
      <w:r w:rsidRPr="00785D22">
        <w:rPr>
          <w:rFonts w:asciiTheme="majorBidi" w:hAnsiTheme="majorBidi" w:cstheme="majorBidi"/>
          <w:lang w:val="sv-SE"/>
        </w:rPr>
        <w:t>, not to</w:t>
      </w:r>
      <w:r w:rsidR="00414028" w:rsidRPr="00785D22">
        <w:rPr>
          <w:rFonts w:asciiTheme="majorBidi" w:hAnsiTheme="majorBidi" w:cstheme="majorBidi"/>
          <w:lang w:val="sv-SE"/>
        </w:rPr>
        <w:t xml:space="preserve"> verification.</w:t>
      </w:r>
    </w:p>
    <w:p w:rsidR="00703405" w:rsidRPr="00785D22" w:rsidRDefault="00703405" w:rsidP="00102C6E">
      <w:pPr>
        <w:keepNext/>
        <w:spacing w:after="120" w:line="240" w:lineRule="auto"/>
        <w:ind w:left="1134" w:right="1134"/>
        <w:jc w:val="both"/>
        <w:rPr>
          <w:rFonts w:asciiTheme="majorBidi" w:hAnsiTheme="majorBidi" w:cstheme="majorBidi"/>
          <w:i/>
          <w:lang w:val="sv-SE"/>
        </w:rPr>
      </w:pPr>
      <w:r w:rsidRPr="00785D22">
        <w:rPr>
          <w:rFonts w:asciiTheme="majorBidi" w:hAnsiTheme="majorBidi" w:cstheme="majorBidi"/>
          <w:i/>
          <w:lang w:val="sv-SE"/>
        </w:rPr>
        <w:t>Paragraph 4.2.</w:t>
      </w:r>
    </w:p>
    <w:p w:rsidR="00703405" w:rsidRPr="00785D22" w:rsidRDefault="00414028" w:rsidP="00825177">
      <w:pPr>
        <w:spacing w:after="120" w:line="240" w:lineRule="auto"/>
        <w:ind w:left="1134" w:right="1134"/>
        <w:jc w:val="both"/>
        <w:rPr>
          <w:lang w:val="en-US"/>
        </w:rPr>
      </w:pPr>
      <w:r w:rsidRPr="00785D22">
        <w:rPr>
          <w:rFonts w:asciiTheme="majorBidi" w:hAnsiTheme="majorBidi" w:cstheme="majorBidi"/>
          <w:lang w:val="sv-SE"/>
        </w:rPr>
        <w:t xml:space="preserve">Clarification that </w:t>
      </w:r>
      <w:r w:rsidR="00E148A8" w:rsidRPr="00785D22">
        <w:rPr>
          <w:rFonts w:asciiTheme="majorBidi" w:hAnsiTheme="majorBidi" w:cstheme="majorBidi"/>
          <w:lang w:val="sv-SE"/>
        </w:rPr>
        <w:t>simulation</w:t>
      </w:r>
      <w:r w:rsidRPr="00785D22">
        <w:rPr>
          <w:rFonts w:asciiTheme="majorBidi" w:hAnsiTheme="majorBidi" w:cstheme="majorBidi"/>
          <w:lang w:val="sv-SE"/>
        </w:rPr>
        <w:t xml:space="preserve"> </w:t>
      </w:r>
      <w:r w:rsidR="00E148A8" w:rsidRPr="00785D22">
        <w:rPr>
          <w:lang w:val="en-US"/>
        </w:rPr>
        <w:t>shall not substitute physical tests in Annex 5 to this UN Regulation.</w:t>
      </w:r>
    </w:p>
    <w:p w:rsidR="009D1710" w:rsidRPr="00785D22" w:rsidRDefault="009D1710" w:rsidP="009D1710">
      <w:pPr>
        <w:spacing w:after="120" w:line="240" w:lineRule="auto"/>
        <w:ind w:left="1134" w:right="1134"/>
        <w:jc w:val="both"/>
        <w:rPr>
          <w:rFonts w:asciiTheme="majorBidi" w:hAnsiTheme="majorBidi" w:cstheme="majorBidi"/>
          <w:i/>
          <w:lang w:val="sv-SE"/>
        </w:rPr>
      </w:pPr>
      <w:r w:rsidRPr="00785D22">
        <w:rPr>
          <w:rFonts w:asciiTheme="majorBidi" w:hAnsiTheme="majorBidi" w:cstheme="majorBidi"/>
          <w:i/>
          <w:lang w:val="sv-SE"/>
        </w:rPr>
        <w:t>Paragraph 6</w:t>
      </w:r>
      <w:r w:rsidR="00872838" w:rsidRPr="00785D22">
        <w:rPr>
          <w:rFonts w:asciiTheme="majorBidi" w:hAnsiTheme="majorBidi" w:cstheme="majorBidi"/>
          <w:i/>
          <w:lang w:val="sv-SE"/>
        </w:rPr>
        <w:t xml:space="preserve">. </w:t>
      </w:r>
    </w:p>
    <w:p w:rsidR="008C2382" w:rsidRPr="00785D22" w:rsidRDefault="008C2382" w:rsidP="00825177">
      <w:pPr>
        <w:spacing w:after="120" w:line="240" w:lineRule="auto"/>
        <w:ind w:left="1134" w:right="1134"/>
        <w:jc w:val="both"/>
      </w:pPr>
      <w:r w:rsidRPr="00785D22">
        <w:t>This paragraph is not needed as Appendix 2 was moved to Annex 1</w:t>
      </w:r>
      <w:r w:rsidR="009547DF" w:rsidRPr="00785D22">
        <w:t>.</w:t>
      </w:r>
    </w:p>
    <w:p w:rsidR="008C2382" w:rsidRPr="00785D22" w:rsidRDefault="009547DF" w:rsidP="00825177">
      <w:pPr>
        <w:spacing w:after="120" w:line="240" w:lineRule="auto"/>
        <w:ind w:left="1134" w:right="1134"/>
        <w:jc w:val="both"/>
        <w:rPr>
          <w:i/>
          <w:iCs/>
        </w:rPr>
      </w:pPr>
      <w:r w:rsidRPr="00785D22">
        <w:rPr>
          <w:i/>
          <w:iCs/>
        </w:rPr>
        <w:t>Appendix 2 (former) to Annex 4.</w:t>
      </w:r>
    </w:p>
    <w:p w:rsidR="007D4AE5" w:rsidRPr="00785D22" w:rsidRDefault="009547DF" w:rsidP="00872838">
      <w:pPr>
        <w:spacing w:after="120" w:line="240" w:lineRule="auto"/>
        <w:ind w:left="1134" w:right="1134"/>
        <w:jc w:val="both"/>
      </w:pPr>
      <w:r w:rsidRPr="00785D22">
        <w:rPr>
          <w:lang w:val="en-US"/>
        </w:rPr>
        <w:t>S</w:t>
      </w:r>
      <w:r w:rsidR="00872838" w:rsidRPr="00785D22">
        <w:rPr>
          <w:lang w:val="en-US"/>
        </w:rPr>
        <w:t xml:space="preserve">ection 7 is not logic in Appendix 2, because Appendix 2 is the form of the </w:t>
      </w:r>
      <w:r w:rsidR="00872838" w:rsidRPr="00785D22">
        <w:t xml:space="preserve">Information Document for ALKS to be provided by a manufacturer </w:t>
      </w:r>
      <w:r w:rsidR="00872838" w:rsidRPr="00785D22">
        <w:rPr>
          <w:u w:val="single"/>
        </w:rPr>
        <w:t>before</w:t>
      </w:r>
      <w:r w:rsidR="00872838" w:rsidRPr="00785D22">
        <w:t xml:space="preserve"> the approval process.</w:t>
      </w:r>
    </w:p>
    <w:p w:rsidR="009547DF" w:rsidRPr="00785D22" w:rsidRDefault="009547DF" w:rsidP="0020295F">
      <w:pPr>
        <w:spacing w:after="120" w:line="240" w:lineRule="auto"/>
        <w:ind w:left="1134" w:right="1134"/>
        <w:jc w:val="both"/>
        <w:rPr>
          <w:rFonts w:asciiTheme="majorBidi" w:hAnsiTheme="majorBidi" w:cstheme="majorBidi"/>
          <w:i/>
        </w:rPr>
      </w:pPr>
      <w:r w:rsidRPr="00785D22">
        <w:rPr>
          <w:i/>
          <w:iCs/>
        </w:rPr>
        <w:t>Appendix 3 (former) to Annex 4.</w:t>
      </w:r>
    </w:p>
    <w:p w:rsidR="009547DF" w:rsidRPr="00785D22" w:rsidRDefault="009547DF" w:rsidP="0020295F">
      <w:pPr>
        <w:spacing w:after="120" w:line="240" w:lineRule="auto"/>
        <w:ind w:left="1134" w:right="1134"/>
        <w:jc w:val="both"/>
        <w:rPr>
          <w:rFonts w:asciiTheme="majorBidi" w:hAnsiTheme="majorBidi" w:cstheme="majorBidi"/>
          <w:i/>
        </w:rPr>
      </w:pPr>
      <w:r w:rsidRPr="00785D22">
        <w:rPr>
          <w:rFonts w:asciiTheme="majorBidi" w:hAnsiTheme="majorBidi" w:cstheme="majorBidi"/>
          <w:lang w:val="en-US"/>
        </w:rPr>
        <w:t>Appendix 3 to Annex 4 is considered to become a separate Annex 3. This was done to clarify the implementation of its content.</w:t>
      </w:r>
    </w:p>
    <w:p w:rsidR="0020295F" w:rsidRPr="00785D22" w:rsidRDefault="0020295F" w:rsidP="0020295F">
      <w:pPr>
        <w:spacing w:after="120" w:line="240" w:lineRule="auto"/>
        <w:ind w:left="1134" w:right="1134"/>
        <w:jc w:val="both"/>
        <w:rPr>
          <w:rFonts w:asciiTheme="majorBidi" w:hAnsiTheme="majorBidi" w:cstheme="majorBidi"/>
          <w:i/>
        </w:rPr>
      </w:pPr>
      <w:r w:rsidRPr="00785D22">
        <w:rPr>
          <w:rFonts w:asciiTheme="majorBidi" w:hAnsiTheme="majorBidi" w:cstheme="majorBidi"/>
          <w:i/>
        </w:rPr>
        <w:t>Annex 5.</w:t>
      </w:r>
    </w:p>
    <w:p w:rsidR="0020295F" w:rsidRPr="00785D22" w:rsidRDefault="0020295F" w:rsidP="0020295F">
      <w:pPr>
        <w:spacing w:after="120" w:line="240" w:lineRule="auto"/>
        <w:ind w:left="1134" w:right="1134"/>
        <w:jc w:val="both"/>
        <w:rPr>
          <w:rFonts w:asciiTheme="majorBidi" w:hAnsiTheme="majorBidi" w:cstheme="majorBidi"/>
          <w:i/>
        </w:rPr>
      </w:pPr>
      <w:r w:rsidRPr="00785D22">
        <w:rPr>
          <w:rFonts w:asciiTheme="majorBidi" w:hAnsiTheme="majorBidi" w:cstheme="majorBidi"/>
          <w:i/>
        </w:rPr>
        <w:t>Paragraph</w:t>
      </w:r>
      <w:r w:rsidR="00EC68A9" w:rsidRPr="00785D22">
        <w:rPr>
          <w:rFonts w:asciiTheme="majorBidi" w:hAnsiTheme="majorBidi" w:cstheme="majorBidi"/>
          <w:i/>
        </w:rPr>
        <w:t>s</w:t>
      </w:r>
      <w:r w:rsidRPr="00785D22">
        <w:rPr>
          <w:rFonts w:asciiTheme="majorBidi" w:hAnsiTheme="majorBidi" w:cstheme="majorBidi"/>
          <w:i/>
        </w:rPr>
        <w:t xml:space="preserve"> 1.</w:t>
      </w:r>
      <w:r w:rsidR="00EC68A9" w:rsidRPr="00785D22">
        <w:rPr>
          <w:rFonts w:asciiTheme="majorBidi" w:hAnsiTheme="majorBidi" w:cstheme="majorBidi"/>
          <w:i/>
        </w:rPr>
        <w:t>and 5.2.:</w:t>
      </w:r>
    </w:p>
    <w:p w:rsidR="00C652C3" w:rsidRPr="00785D22" w:rsidRDefault="00A16984" w:rsidP="00C652C3">
      <w:pPr>
        <w:spacing w:after="120" w:line="240" w:lineRule="auto"/>
        <w:ind w:left="1134" w:right="1134"/>
        <w:jc w:val="both"/>
        <w:rPr>
          <w:lang w:val="en-US"/>
        </w:rPr>
      </w:pPr>
      <w:r w:rsidRPr="00785D22">
        <w:rPr>
          <w:lang w:val="en-US"/>
        </w:rPr>
        <w:t xml:space="preserve">Clarification of the role of </w:t>
      </w:r>
      <w:r w:rsidR="00EC68A9" w:rsidRPr="00785D22">
        <w:rPr>
          <w:lang w:val="en-US"/>
        </w:rPr>
        <w:t>the Technical Service.</w:t>
      </w:r>
    </w:p>
    <w:p w:rsidR="00947BB7" w:rsidRDefault="00947BB7" w:rsidP="00C652C3">
      <w:pPr>
        <w:spacing w:after="120"/>
        <w:jc w:val="center"/>
        <w:rPr>
          <w:u w:val="single"/>
        </w:rPr>
      </w:pPr>
    </w:p>
    <w:p w:rsidR="00947BB7" w:rsidRDefault="00947BB7" w:rsidP="00C652C3">
      <w:pPr>
        <w:spacing w:after="120"/>
        <w:jc w:val="center"/>
        <w:rPr>
          <w:u w:val="single"/>
        </w:rPr>
      </w:pPr>
      <w:r>
        <w:rPr>
          <w:u w:val="single"/>
        </w:rPr>
        <w:t>_________________</w:t>
      </w:r>
    </w:p>
    <w:sectPr w:rsidR="00947BB7" w:rsidSect="00B33FC7">
      <w:headerReference w:type="default" r:id="rId8"/>
      <w:footerReference w:type="even" r:id="rId9"/>
      <w:footerReference w:type="default" r:id="rId10"/>
      <w:headerReference w:type="first" r:id="rId11"/>
      <w:footerReference w:type="firs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B96" w:rsidRDefault="00DD1B96"/>
  </w:endnote>
  <w:endnote w:type="continuationSeparator" w:id="0">
    <w:p w:rsidR="00DD1B96" w:rsidRDefault="00DD1B96"/>
  </w:endnote>
  <w:endnote w:type="continuationNotice" w:id="1">
    <w:p w:rsidR="00DD1B96" w:rsidRDefault="00DD1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B4" w:rsidRDefault="00722F70">
    <w:pPr>
      <w:pStyle w:val="Footer"/>
    </w:pPr>
    <w:r w:rsidRPr="00844BB6">
      <w:rPr>
        <w:b/>
        <w:sz w:val="18"/>
      </w:rPr>
      <w:fldChar w:fldCharType="begin"/>
    </w:r>
    <w:r w:rsidR="008770B4" w:rsidRPr="00844BB6">
      <w:rPr>
        <w:b/>
        <w:sz w:val="18"/>
      </w:rPr>
      <w:instrText xml:space="preserve"> PAGE  \* MERGEFORMAT </w:instrText>
    </w:r>
    <w:r w:rsidRPr="00844BB6">
      <w:rPr>
        <w:b/>
        <w:sz w:val="18"/>
      </w:rPr>
      <w:fldChar w:fldCharType="separate"/>
    </w:r>
    <w:r w:rsidR="00A36612">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B4" w:rsidRDefault="00722F70" w:rsidP="008770B4">
    <w:pPr>
      <w:pStyle w:val="Footer"/>
      <w:jc w:val="right"/>
    </w:pPr>
    <w:r w:rsidRPr="00844BB6">
      <w:rPr>
        <w:b/>
        <w:sz w:val="18"/>
      </w:rPr>
      <w:fldChar w:fldCharType="begin"/>
    </w:r>
    <w:r w:rsidR="008770B4" w:rsidRPr="00844BB6">
      <w:rPr>
        <w:b/>
        <w:sz w:val="18"/>
      </w:rPr>
      <w:instrText xml:space="preserve"> PAGE  \* MERGEFORMAT </w:instrText>
    </w:r>
    <w:r w:rsidRPr="00844BB6">
      <w:rPr>
        <w:b/>
        <w:sz w:val="18"/>
      </w:rPr>
      <w:fldChar w:fldCharType="separate"/>
    </w:r>
    <w:r w:rsidR="00A36612">
      <w:rPr>
        <w:b/>
        <w:noProof/>
        <w:sz w:val="18"/>
      </w:rPr>
      <w:t>5</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86C" w:rsidRDefault="001D086C" w:rsidP="001D086C">
    <w:pPr>
      <w:pStyle w:val="Footer"/>
    </w:pPr>
    <w:r>
      <w:rPr>
        <w:noProof/>
        <w:lang w:val="de-DE" w:eastAsia="de-DE"/>
      </w:rPr>
      <w:drawing>
        <wp:anchor distT="0" distB="0" distL="114300" distR="114300" simplePos="0" relativeHeight="251659264" behindDoc="1" locked="1" layoutInCell="1" allowOverlap="1" wp14:anchorId="3C94D8E0" wp14:editId="3550D71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B96" w:rsidRPr="000B175B" w:rsidRDefault="00DD1B96" w:rsidP="000B175B">
      <w:pPr>
        <w:tabs>
          <w:tab w:val="right" w:pos="2155"/>
        </w:tabs>
        <w:spacing w:after="80"/>
        <w:ind w:left="680"/>
        <w:rPr>
          <w:u w:val="single"/>
        </w:rPr>
      </w:pPr>
      <w:r>
        <w:rPr>
          <w:u w:val="single"/>
        </w:rPr>
        <w:tab/>
      </w:r>
    </w:p>
  </w:footnote>
  <w:footnote w:type="continuationSeparator" w:id="0">
    <w:p w:rsidR="00DD1B96" w:rsidRPr="00FC68B7" w:rsidRDefault="00DD1B96" w:rsidP="00FC68B7">
      <w:pPr>
        <w:tabs>
          <w:tab w:val="left" w:pos="2155"/>
        </w:tabs>
        <w:spacing w:after="80"/>
        <w:ind w:left="680"/>
        <w:rPr>
          <w:u w:val="single"/>
        </w:rPr>
      </w:pPr>
      <w:r>
        <w:rPr>
          <w:u w:val="single"/>
        </w:rPr>
        <w:tab/>
      </w:r>
    </w:p>
  </w:footnote>
  <w:footnote w:type="continuationNotice" w:id="1">
    <w:p w:rsidR="00DD1B96" w:rsidRDefault="00DD1B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B4" w:rsidRDefault="008770B4" w:rsidP="008770B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8" w:type="dxa"/>
      <w:tblBorders>
        <w:top w:val="nil"/>
        <w:left w:val="nil"/>
        <w:bottom w:val="nil"/>
        <w:right w:val="nil"/>
      </w:tblBorders>
      <w:tblLayout w:type="fixed"/>
      <w:tblLook w:val="0000" w:firstRow="0" w:lastRow="0" w:firstColumn="0" w:lastColumn="0" w:noHBand="0" w:noVBand="0"/>
    </w:tblPr>
    <w:tblGrid>
      <w:gridCol w:w="4962"/>
      <w:gridCol w:w="4616"/>
    </w:tblGrid>
    <w:tr w:rsidR="002B422D" w:rsidRPr="00444AD5" w:rsidTr="009200DC">
      <w:trPr>
        <w:trHeight w:val="361"/>
      </w:trPr>
      <w:tc>
        <w:tcPr>
          <w:tcW w:w="4962" w:type="dxa"/>
        </w:tcPr>
        <w:tbl>
          <w:tblPr>
            <w:tblW w:w="4854" w:type="dxa"/>
            <w:tblBorders>
              <w:top w:val="nil"/>
              <w:left w:val="nil"/>
              <w:bottom w:val="nil"/>
              <w:right w:val="nil"/>
            </w:tblBorders>
            <w:tblLayout w:type="fixed"/>
            <w:tblLook w:val="0000" w:firstRow="0" w:lastRow="0" w:firstColumn="0" w:lastColumn="0" w:noHBand="0" w:noVBand="0"/>
          </w:tblPr>
          <w:tblGrid>
            <w:gridCol w:w="4854"/>
          </w:tblGrid>
          <w:tr w:rsidR="00785D22" w:rsidRPr="00785D22" w:rsidTr="009200DC">
            <w:trPr>
              <w:trHeight w:val="250"/>
            </w:trPr>
            <w:tc>
              <w:tcPr>
                <w:tcW w:w="4854" w:type="dxa"/>
              </w:tcPr>
              <w:p w:rsidR="002B422D" w:rsidRPr="00785D22" w:rsidRDefault="002B422D" w:rsidP="002B422D">
                <w:pPr>
                  <w:suppressAutoHyphens w:val="0"/>
                  <w:autoSpaceDE w:val="0"/>
                  <w:autoSpaceDN w:val="0"/>
                  <w:adjustRightInd w:val="0"/>
                  <w:spacing w:line="240" w:lineRule="auto"/>
                  <w:jc w:val="both"/>
                  <w:rPr>
                    <w:rFonts w:eastAsia="Calibri"/>
                  </w:rPr>
                </w:pPr>
                <w:r w:rsidRPr="00785D22">
                  <w:rPr>
                    <w:rFonts w:eastAsia="Calibri"/>
                  </w:rPr>
                  <w:t>Submitted by the expert</w:t>
                </w:r>
                <w:r w:rsidR="00827D1D" w:rsidRPr="00785D22">
                  <w:rPr>
                    <w:rFonts w:eastAsia="Calibri"/>
                  </w:rPr>
                  <w:t>s</w:t>
                </w:r>
                <w:r w:rsidRPr="00785D22">
                  <w:rPr>
                    <w:rFonts w:eastAsia="Calibri"/>
                  </w:rPr>
                  <w:t xml:space="preserve"> from </w:t>
                </w:r>
                <w:r w:rsidR="00BE1984">
                  <w:rPr>
                    <w:rFonts w:eastAsia="Calibri"/>
                  </w:rPr>
                  <w:t>OICA</w:t>
                </w:r>
              </w:p>
            </w:tc>
          </w:tr>
        </w:tbl>
        <w:p w:rsidR="002B422D" w:rsidRPr="00785D22" w:rsidRDefault="002B422D" w:rsidP="002B422D">
          <w:pPr>
            <w:suppressAutoHyphens w:val="0"/>
            <w:autoSpaceDE w:val="0"/>
            <w:autoSpaceDN w:val="0"/>
            <w:adjustRightInd w:val="0"/>
            <w:spacing w:line="240" w:lineRule="auto"/>
            <w:rPr>
              <w:rFonts w:eastAsia="Calibri"/>
            </w:rPr>
          </w:pPr>
        </w:p>
      </w:tc>
      <w:tc>
        <w:tcPr>
          <w:tcW w:w="4616" w:type="dxa"/>
        </w:tcPr>
        <w:p w:rsidR="002B422D" w:rsidRPr="00785D22" w:rsidRDefault="002B422D" w:rsidP="002B422D">
          <w:pPr>
            <w:suppressAutoHyphens w:val="0"/>
            <w:autoSpaceDE w:val="0"/>
            <w:autoSpaceDN w:val="0"/>
            <w:adjustRightInd w:val="0"/>
            <w:spacing w:line="240" w:lineRule="auto"/>
            <w:ind w:left="633"/>
            <w:jc w:val="center"/>
            <w:rPr>
              <w:rFonts w:eastAsia="Calibri"/>
              <w:lang w:val="fr-BE"/>
            </w:rPr>
          </w:pPr>
          <w:r w:rsidRPr="00785D22">
            <w:rPr>
              <w:rFonts w:eastAsia="Calibri"/>
              <w:u w:val="single"/>
              <w:lang w:val="fr-BE"/>
            </w:rPr>
            <w:t>Informal document</w:t>
          </w:r>
          <w:r w:rsidRPr="00785D22">
            <w:rPr>
              <w:rFonts w:eastAsia="Calibri"/>
              <w:lang w:val="fr-BE"/>
            </w:rPr>
            <w:t xml:space="preserve"> </w:t>
          </w:r>
          <w:r w:rsidRPr="00785D22">
            <w:rPr>
              <w:rFonts w:eastAsia="Calibri"/>
              <w:b/>
              <w:bCs/>
              <w:lang w:val="fr-BE"/>
            </w:rPr>
            <w:t>GRVA-</w:t>
          </w:r>
          <w:r w:rsidR="00EC6792" w:rsidRPr="00785D22">
            <w:rPr>
              <w:rFonts w:eastAsia="Calibri"/>
              <w:b/>
              <w:bCs/>
              <w:lang w:val="fr-BE"/>
            </w:rPr>
            <w:t>07</w:t>
          </w:r>
          <w:r w:rsidRPr="00785D22">
            <w:rPr>
              <w:rFonts w:eastAsia="Calibri"/>
              <w:b/>
              <w:bCs/>
              <w:lang w:val="fr-BE"/>
            </w:rPr>
            <w:t>-</w:t>
          </w:r>
          <w:r w:rsidR="00BE1984">
            <w:rPr>
              <w:rFonts w:eastAsia="Calibri"/>
              <w:b/>
              <w:bCs/>
              <w:lang w:val="fr-BE"/>
            </w:rPr>
            <w:t>59</w:t>
          </w:r>
        </w:p>
        <w:p w:rsidR="002B422D" w:rsidRPr="00785D22" w:rsidRDefault="00EC6792" w:rsidP="002B422D">
          <w:pPr>
            <w:tabs>
              <w:tab w:val="center" w:pos="4677"/>
              <w:tab w:val="right" w:pos="9355"/>
            </w:tabs>
            <w:spacing w:line="240" w:lineRule="auto"/>
            <w:ind w:left="1200" w:right="-168"/>
            <w:rPr>
              <w:lang w:val="fr-BE" w:eastAsia="ar-SA"/>
            </w:rPr>
          </w:pPr>
          <w:r w:rsidRPr="00785D22">
            <w:rPr>
              <w:lang w:val="fr-BE" w:eastAsia="ja-JP"/>
            </w:rPr>
            <w:t>7</w:t>
          </w:r>
          <w:r w:rsidR="002B422D" w:rsidRPr="00785D22">
            <w:rPr>
              <w:rFonts w:hint="eastAsia"/>
              <w:vertAlign w:val="superscript"/>
              <w:lang w:val="fr-BE" w:eastAsia="ja-JP"/>
            </w:rPr>
            <w:t>th</w:t>
          </w:r>
          <w:r w:rsidR="002B422D" w:rsidRPr="00785D22">
            <w:rPr>
              <w:lang w:val="fr-BE" w:eastAsia="ar-SA"/>
            </w:rPr>
            <w:t xml:space="preserve"> GRVA, </w:t>
          </w:r>
          <w:r w:rsidRPr="00785D22">
            <w:rPr>
              <w:lang w:val="fr-BE" w:eastAsia="ja-JP"/>
            </w:rPr>
            <w:t>21</w:t>
          </w:r>
          <w:r w:rsidR="002B422D" w:rsidRPr="00785D22">
            <w:rPr>
              <w:lang w:val="fr-BE" w:eastAsia="ar-SA"/>
            </w:rPr>
            <w:t>-</w:t>
          </w:r>
          <w:r w:rsidRPr="00785D22">
            <w:rPr>
              <w:rFonts w:hint="eastAsia"/>
              <w:lang w:val="fr-BE" w:eastAsia="ja-JP"/>
            </w:rPr>
            <w:t>2</w:t>
          </w:r>
          <w:r w:rsidRPr="00785D22">
            <w:rPr>
              <w:lang w:val="fr-BE" w:eastAsia="ja-JP"/>
            </w:rPr>
            <w:t xml:space="preserve">5 </w:t>
          </w:r>
          <w:proofErr w:type="spellStart"/>
          <w:r w:rsidRPr="00785D22">
            <w:rPr>
              <w:lang w:val="fr-BE" w:eastAsia="ja-JP"/>
            </w:rPr>
            <w:t>Septemb</w:t>
          </w:r>
          <w:r w:rsidR="00603BDB" w:rsidRPr="00785D22">
            <w:rPr>
              <w:lang w:val="fr-BE" w:eastAsia="ja-JP"/>
            </w:rPr>
            <w:t>er</w:t>
          </w:r>
          <w:proofErr w:type="spellEnd"/>
          <w:r w:rsidR="003A44BA" w:rsidRPr="00785D22">
            <w:rPr>
              <w:lang w:val="fr-BE" w:eastAsia="ar-SA"/>
            </w:rPr>
            <w:t xml:space="preserve"> 2020</w:t>
          </w:r>
          <w:r w:rsidR="002B422D" w:rsidRPr="00785D22">
            <w:rPr>
              <w:rFonts w:hint="cs"/>
              <w:lang w:val="fr-BE" w:eastAsia="ar-SA"/>
            </w:rPr>
            <w:t xml:space="preserve">, </w:t>
          </w:r>
        </w:p>
        <w:p w:rsidR="002B422D" w:rsidRPr="00785D22" w:rsidRDefault="002B422D" w:rsidP="00EC6792">
          <w:pPr>
            <w:tabs>
              <w:tab w:val="center" w:pos="4677"/>
              <w:tab w:val="right" w:pos="9355"/>
            </w:tabs>
            <w:spacing w:line="240" w:lineRule="auto"/>
            <w:ind w:left="1200" w:right="-168"/>
            <w:rPr>
              <w:lang w:val="en-TT" w:eastAsia="ar-SA"/>
            </w:rPr>
          </w:pPr>
          <w:r w:rsidRPr="00785D22">
            <w:rPr>
              <w:lang w:val="en-TT" w:eastAsia="ar-SA"/>
            </w:rPr>
            <w:t>Provisional agenda item</w:t>
          </w:r>
          <w:r w:rsidR="00EC6792" w:rsidRPr="00785D22">
            <w:rPr>
              <w:lang w:val="en-TT" w:eastAsia="ar-SA"/>
            </w:rPr>
            <w:t xml:space="preserve"> </w:t>
          </w:r>
          <w:r w:rsidR="00986E78" w:rsidRPr="00785D22">
            <w:rPr>
              <w:lang w:val="en-TT" w:eastAsia="ar-SA"/>
            </w:rPr>
            <w:t>4(d)</w:t>
          </w:r>
        </w:p>
      </w:tc>
    </w:tr>
  </w:tbl>
  <w:p w:rsidR="004A5DB7" w:rsidRPr="002B422D" w:rsidRDefault="004A5DB7" w:rsidP="001807C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4B64B1"/>
    <w:multiLevelType w:val="hybridMultilevel"/>
    <w:tmpl w:val="D352ABBE"/>
    <w:lvl w:ilvl="0" w:tplc="4D3C7988">
      <w:numFmt w:val="bullet"/>
      <w:lvlText w:val=""/>
      <w:lvlJc w:val="left"/>
      <w:pPr>
        <w:ind w:left="1494" w:hanging="360"/>
      </w:pPr>
      <w:rPr>
        <w:rFonts w:ascii="Wingdings" w:eastAsiaTheme="minorEastAsia" w:hAnsi="Wingdings"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8" w15:restartNumberingAfterBreak="0">
    <w:nsid w:val="55BD0273"/>
    <w:multiLevelType w:val="hybridMultilevel"/>
    <w:tmpl w:val="12D83C64"/>
    <w:lvl w:ilvl="0" w:tplc="FD74D71E">
      <w:start w:val="1"/>
      <w:numFmt w:val="lowerLetter"/>
      <w:lvlText w:val="(%1)"/>
      <w:lvlJc w:val="left"/>
      <w:pPr>
        <w:ind w:left="2832" w:hanging="564"/>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9"/>
  </w:num>
  <w:num w:numId="18">
    <w:abstractNumId w:val="20"/>
  </w:num>
  <w:num w:numId="19">
    <w:abstractNumId w:val="11"/>
  </w:num>
  <w:num w:numId="20">
    <w:abstractNumId w:val="17"/>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1"/>
  <w:activeWritingStyle w:appName="MSWord" w:lang="en-TT" w:vendorID="64" w:dllVersion="6" w:nlCheck="1" w:checkStyle="1"/>
  <w:activeWritingStyle w:appName="MSWord" w:lang="en-TT" w:vendorID="64" w:dllVersion="0" w:nlCheck="1" w:checkStyle="0"/>
  <w:activeWritingStyle w:appName="MSWord" w:lang="fr-B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TT" w:vendorID="64" w:dllVersion="4096" w:nlCheck="1" w:checkStyle="0"/>
  <w:activeWritingStyle w:appName="MSWord" w:lang="de-DE" w:vendorID="64" w:dllVersion="6" w:nlCheck="1" w:checkStyle="0"/>
  <w:activeWritingStyle w:appName="MSWord" w:lang="fr-B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2690"/>
    <w:rsid w:val="00002A7D"/>
    <w:rsid w:val="000036ED"/>
    <w:rsid w:val="000038A8"/>
    <w:rsid w:val="000044A9"/>
    <w:rsid w:val="00004999"/>
    <w:rsid w:val="000054FE"/>
    <w:rsid w:val="00005DF3"/>
    <w:rsid w:val="00006790"/>
    <w:rsid w:val="00027624"/>
    <w:rsid w:val="00050F6B"/>
    <w:rsid w:val="000678CD"/>
    <w:rsid w:val="00072C8C"/>
    <w:rsid w:val="00075ACB"/>
    <w:rsid w:val="00077425"/>
    <w:rsid w:val="00081CE0"/>
    <w:rsid w:val="00084D30"/>
    <w:rsid w:val="00090320"/>
    <w:rsid w:val="000931C0"/>
    <w:rsid w:val="00097003"/>
    <w:rsid w:val="000A14F4"/>
    <w:rsid w:val="000A2E09"/>
    <w:rsid w:val="000A3D0C"/>
    <w:rsid w:val="000A568E"/>
    <w:rsid w:val="000B175B"/>
    <w:rsid w:val="000B3A0F"/>
    <w:rsid w:val="000B3D15"/>
    <w:rsid w:val="000C6927"/>
    <w:rsid w:val="000E0415"/>
    <w:rsid w:val="000F2BBC"/>
    <w:rsid w:val="000F7715"/>
    <w:rsid w:val="00102C6E"/>
    <w:rsid w:val="00144CE0"/>
    <w:rsid w:val="00146D13"/>
    <w:rsid w:val="00156B99"/>
    <w:rsid w:val="00166124"/>
    <w:rsid w:val="001807C9"/>
    <w:rsid w:val="001838B7"/>
    <w:rsid w:val="00184DDA"/>
    <w:rsid w:val="001900CD"/>
    <w:rsid w:val="001A0452"/>
    <w:rsid w:val="001B4B04"/>
    <w:rsid w:val="001B5875"/>
    <w:rsid w:val="001C4B9C"/>
    <w:rsid w:val="001C6663"/>
    <w:rsid w:val="001C7895"/>
    <w:rsid w:val="001D086C"/>
    <w:rsid w:val="001D26DF"/>
    <w:rsid w:val="001F1599"/>
    <w:rsid w:val="001F19C4"/>
    <w:rsid w:val="0020295F"/>
    <w:rsid w:val="002043F0"/>
    <w:rsid w:val="00211E0B"/>
    <w:rsid w:val="00232575"/>
    <w:rsid w:val="00247258"/>
    <w:rsid w:val="00257CAC"/>
    <w:rsid w:val="002669F3"/>
    <w:rsid w:val="0027237A"/>
    <w:rsid w:val="002974E9"/>
    <w:rsid w:val="002A306B"/>
    <w:rsid w:val="002A7F94"/>
    <w:rsid w:val="002B109A"/>
    <w:rsid w:val="002B422D"/>
    <w:rsid w:val="002C6D45"/>
    <w:rsid w:val="002D2F7B"/>
    <w:rsid w:val="002D6E53"/>
    <w:rsid w:val="002E4C11"/>
    <w:rsid w:val="002F046D"/>
    <w:rsid w:val="002F3023"/>
    <w:rsid w:val="002F3867"/>
    <w:rsid w:val="00301764"/>
    <w:rsid w:val="003229D8"/>
    <w:rsid w:val="003311D5"/>
    <w:rsid w:val="00331C9F"/>
    <w:rsid w:val="003359CD"/>
    <w:rsid w:val="00336C97"/>
    <w:rsid w:val="00337F88"/>
    <w:rsid w:val="00342432"/>
    <w:rsid w:val="0035223F"/>
    <w:rsid w:val="00352D4B"/>
    <w:rsid w:val="00353997"/>
    <w:rsid w:val="0035638C"/>
    <w:rsid w:val="003A1A1D"/>
    <w:rsid w:val="003A399E"/>
    <w:rsid w:val="003A44BA"/>
    <w:rsid w:val="003A46BB"/>
    <w:rsid w:val="003A4EC7"/>
    <w:rsid w:val="003A7295"/>
    <w:rsid w:val="003B1F60"/>
    <w:rsid w:val="003C16CA"/>
    <w:rsid w:val="003C2CC4"/>
    <w:rsid w:val="003D3695"/>
    <w:rsid w:val="003D4B23"/>
    <w:rsid w:val="003E1CA9"/>
    <w:rsid w:val="003E278A"/>
    <w:rsid w:val="003E2890"/>
    <w:rsid w:val="003F6ACB"/>
    <w:rsid w:val="00413520"/>
    <w:rsid w:val="00414028"/>
    <w:rsid w:val="00421060"/>
    <w:rsid w:val="004325CB"/>
    <w:rsid w:val="00440A07"/>
    <w:rsid w:val="00462880"/>
    <w:rsid w:val="00463B82"/>
    <w:rsid w:val="00464BF6"/>
    <w:rsid w:val="0046625E"/>
    <w:rsid w:val="00476F24"/>
    <w:rsid w:val="004A5D33"/>
    <w:rsid w:val="004A5DB7"/>
    <w:rsid w:val="004C45A0"/>
    <w:rsid w:val="004C55B0"/>
    <w:rsid w:val="004F6BA0"/>
    <w:rsid w:val="005011D2"/>
    <w:rsid w:val="00501CD6"/>
    <w:rsid w:val="00503BEA"/>
    <w:rsid w:val="00525962"/>
    <w:rsid w:val="00533616"/>
    <w:rsid w:val="00535ABA"/>
    <w:rsid w:val="0053768B"/>
    <w:rsid w:val="005420F2"/>
    <w:rsid w:val="0054285C"/>
    <w:rsid w:val="00556FA3"/>
    <w:rsid w:val="00577851"/>
    <w:rsid w:val="00584173"/>
    <w:rsid w:val="0059008F"/>
    <w:rsid w:val="00595520"/>
    <w:rsid w:val="005A44B9"/>
    <w:rsid w:val="005B12FE"/>
    <w:rsid w:val="005B1BA0"/>
    <w:rsid w:val="005B3DB3"/>
    <w:rsid w:val="005C0268"/>
    <w:rsid w:val="005C7A23"/>
    <w:rsid w:val="005D15CA"/>
    <w:rsid w:val="005D2507"/>
    <w:rsid w:val="005F08DF"/>
    <w:rsid w:val="005F16ED"/>
    <w:rsid w:val="005F3066"/>
    <w:rsid w:val="005F3E61"/>
    <w:rsid w:val="00603BDB"/>
    <w:rsid w:val="00604DDD"/>
    <w:rsid w:val="006115CC"/>
    <w:rsid w:val="00611FC4"/>
    <w:rsid w:val="006176FB"/>
    <w:rsid w:val="00622E65"/>
    <w:rsid w:val="00625075"/>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3405"/>
    <w:rsid w:val="0070701E"/>
    <w:rsid w:val="00722F70"/>
    <w:rsid w:val="00722F9B"/>
    <w:rsid w:val="0072632A"/>
    <w:rsid w:val="007358E8"/>
    <w:rsid w:val="00736ECE"/>
    <w:rsid w:val="00740CD4"/>
    <w:rsid w:val="00742E42"/>
    <w:rsid w:val="0074533B"/>
    <w:rsid w:val="007643BC"/>
    <w:rsid w:val="007806E7"/>
    <w:rsid w:val="00780C68"/>
    <w:rsid w:val="00785D22"/>
    <w:rsid w:val="007911D5"/>
    <w:rsid w:val="007959FE"/>
    <w:rsid w:val="007A0CF1"/>
    <w:rsid w:val="007B6BA5"/>
    <w:rsid w:val="007C2130"/>
    <w:rsid w:val="007C3390"/>
    <w:rsid w:val="007C42D8"/>
    <w:rsid w:val="007C4F4B"/>
    <w:rsid w:val="007C54D6"/>
    <w:rsid w:val="007D4AE5"/>
    <w:rsid w:val="007D6F65"/>
    <w:rsid w:val="007D7362"/>
    <w:rsid w:val="007F5CE2"/>
    <w:rsid w:val="007F6611"/>
    <w:rsid w:val="00810BAC"/>
    <w:rsid w:val="008175E9"/>
    <w:rsid w:val="008242D7"/>
    <w:rsid w:val="00825177"/>
    <w:rsid w:val="0082577B"/>
    <w:rsid w:val="00825CB5"/>
    <w:rsid w:val="00827D1D"/>
    <w:rsid w:val="00832601"/>
    <w:rsid w:val="00837025"/>
    <w:rsid w:val="00866893"/>
    <w:rsid w:val="00866F02"/>
    <w:rsid w:val="00867D18"/>
    <w:rsid w:val="00871F9A"/>
    <w:rsid w:val="00871FD5"/>
    <w:rsid w:val="00872838"/>
    <w:rsid w:val="008770B4"/>
    <w:rsid w:val="0088172E"/>
    <w:rsid w:val="00881EFA"/>
    <w:rsid w:val="008879CB"/>
    <w:rsid w:val="0089440A"/>
    <w:rsid w:val="008979B1"/>
    <w:rsid w:val="008A6B25"/>
    <w:rsid w:val="008A6C4F"/>
    <w:rsid w:val="008B389E"/>
    <w:rsid w:val="008C2382"/>
    <w:rsid w:val="008C5321"/>
    <w:rsid w:val="008D045E"/>
    <w:rsid w:val="008D14A0"/>
    <w:rsid w:val="008D3F25"/>
    <w:rsid w:val="008D4D82"/>
    <w:rsid w:val="008E0E46"/>
    <w:rsid w:val="008E1B2E"/>
    <w:rsid w:val="008E7116"/>
    <w:rsid w:val="008F143B"/>
    <w:rsid w:val="008F32DD"/>
    <w:rsid w:val="008F3882"/>
    <w:rsid w:val="008F4B7C"/>
    <w:rsid w:val="009058D6"/>
    <w:rsid w:val="00926E47"/>
    <w:rsid w:val="00947162"/>
    <w:rsid w:val="00947BB7"/>
    <w:rsid w:val="009547DF"/>
    <w:rsid w:val="009610D0"/>
    <w:rsid w:val="0096375C"/>
    <w:rsid w:val="009662E6"/>
    <w:rsid w:val="00967213"/>
    <w:rsid w:val="0097095E"/>
    <w:rsid w:val="00970ADA"/>
    <w:rsid w:val="009749F9"/>
    <w:rsid w:val="0098592B"/>
    <w:rsid w:val="00985FC4"/>
    <w:rsid w:val="00986E78"/>
    <w:rsid w:val="00990766"/>
    <w:rsid w:val="00991261"/>
    <w:rsid w:val="009964C4"/>
    <w:rsid w:val="009A7B81"/>
    <w:rsid w:val="009B7EB7"/>
    <w:rsid w:val="009D01C0"/>
    <w:rsid w:val="009D1710"/>
    <w:rsid w:val="009D6A08"/>
    <w:rsid w:val="009E0A16"/>
    <w:rsid w:val="009E6CB7"/>
    <w:rsid w:val="009E7970"/>
    <w:rsid w:val="009F2EAC"/>
    <w:rsid w:val="009F57E3"/>
    <w:rsid w:val="00A02B8B"/>
    <w:rsid w:val="00A06F51"/>
    <w:rsid w:val="00A10F4F"/>
    <w:rsid w:val="00A11067"/>
    <w:rsid w:val="00A16984"/>
    <w:rsid w:val="00A1704A"/>
    <w:rsid w:val="00A175FA"/>
    <w:rsid w:val="00A36612"/>
    <w:rsid w:val="00A36AC2"/>
    <w:rsid w:val="00A425EB"/>
    <w:rsid w:val="00A51804"/>
    <w:rsid w:val="00A6423C"/>
    <w:rsid w:val="00A72F22"/>
    <w:rsid w:val="00A733BC"/>
    <w:rsid w:val="00A7465C"/>
    <w:rsid w:val="00A748A6"/>
    <w:rsid w:val="00A76A69"/>
    <w:rsid w:val="00A879A4"/>
    <w:rsid w:val="00AA0FF8"/>
    <w:rsid w:val="00AC0F2C"/>
    <w:rsid w:val="00AC502A"/>
    <w:rsid w:val="00AE1E26"/>
    <w:rsid w:val="00AF58C1"/>
    <w:rsid w:val="00B01956"/>
    <w:rsid w:val="00B04A3F"/>
    <w:rsid w:val="00B06643"/>
    <w:rsid w:val="00B15055"/>
    <w:rsid w:val="00B20551"/>
    <w:rsid w:val="00B30179"/>
    <w:rsid w:val="00B3036E"/>
    <w:rsid w:val="00B31E0B"/>
    <w:rsid w:val="00B33FC7"/>
    <w:rsid w:val="00B37B15"/>
    <w:rsid w:val="00B4162A"/>
    <w:rsid w:val="00B4542F"/>
    <w:rsid w:val="00B45C02"/>
    <w:rsid w:val="00B53AD4"/>
    <w:rsid w:val="00B70B63"/>
    <w:rsid w:val="00B70EBF"/>
    <w:rsid w:val="00B72A1E"/>
    <w:rsid w:val="00B81E12"/>
    <w:rsid w:val="00B9257B"/>
    <w:rsid w:val="00B932DB"/>
    <w:rsid w:val="00BA339B"/>
    <w:rsid w:val="00BB23CC"/>
    <w:rsid w:val="00BC1E7E"/>
    <w:rsid w:val="00BC74E9"/>
    <w:rsid w:val="00BE1984"/>
    <w:rsid w:val="00BE36A9"/>
    <w:rsid w:val="00BE618E"/>
    <w:rsid w:val="00BE7BEC"/>
    <w:rsid w:val="00BF0A5A"/>
    <w:rsid w:val="00BF0E63"/>
    <w:rsid w:val="00BF12A3"/>
    <w:rsid w:val="00BF16D7"/>
    <w:rsid w:val="00BF2373"/>
    <w:rsid w:val="00BF279B"/>
    <w:rsid w:val="00BF4F7C"/>
    <w:rsid w:val="00C044E2"/>
    <w:rsid w:val="00C048CB"/>
    <w:rsid w:val="00C066F3"/>
    <w:rsid w:val="00C11D3B"/>
    <w:rsid w:val="00C16905"/>
    <w:rsid w:val="00C44C3A"/>
    <w:rsid w:val="00C453AD"/>
    <w:rsid w:val="00C463DD"/>
    <w:rsid w:val="00C652C3"/>
    <w:rsid w:val="00C745C3"/>
    <w:rsid w:val="00C978F5"/>
    <w:rsid w:val="00CA24A4"/>
    <w:rsid w:val="00CB348D"/>
    <w:rsid w:val="00CB5C77"/>
    <w:rsid w:val="00CC1BE1"/>
    <w:rsid w:val="00CC599A"/>
    <w:rsid w:val="00CD46F5"/>
    <w:rsid w:val="00CD55F7"/>
    <w:rsid w:val="00CE4A8F"/>
    <w:rsid w:val="00CF06FC"/>
    <w:rsid w:val="00CF071D"/>
    <w:rsid w:val="00D0123D"/>
    <w:rsid w:val="00D15B04"/>
    <w:rsid w:val="00D2031B"/>
    <w:rsid w:val="00D25FE2"/>
    <w:rsid w:val="00D37DA9"/>
    <w:rsid w:val="00D406A7"/>
    <w:rsid w:val="00D43252"/>
    <w:rsid w:val="00D44D86"/>
    <w:rsid w:val="00D45300"/>
    <w:rsid w:val="00D50B7D"/>
    <w:rsid w:val="00D52012"/>
    <w:rsid w:val="00D704E5"/>
    <w:rsid w:val="00D72727"/>
    <w:rsid w:val="00D83683"/>
    <w:rsid w:val="00D85339"/>
    <w:rsid w:val="00D85DC8"/>
    <w:rsid w:val="00D978C6"/>
    <w:rsid w:val="00DA0956"/>
    <w:rsid w:val="00DA2690"/>
    <w:rsid w:val="00DA357F"/>
    <w:rsid w:val="00DA3E12"/>
    <w:rsid w:val="00DC18AD"/>
    <w:rsid w:val="00DD1B96"/>
    <w:rsid w:val="00DD7794"/>
    <w:rsid w:val="00DE4B2A"/>
    <w:rsid w:val="00DF7CAE"/>
    <w:rsid w:val="00E148A8"/>
    <w:rsid w:val="00E16A35"/>
    <w:rsid w:val="00E423C0"/>
    <w:rsid w:val="00E619AE"/>
    <w:rsid w:val="00E6414C"/>
    <w:rsid w:val="00E662F6"/>
    <w:rsid w:val="00E7260F"/>
    <w:rsid w:val="00E8702D"/>
    <w:rsid w:val="00E905F4"/>
    <w:rsid w:val="00E916A9"/>
    <w:rsid w:val="00E916DE"/>
    <w:rsid w:val="00E925AD"/>
    <w:rsid w:val="00E96630"/>
    <w:rsid w:val="00EA0826"/>
    <w:rsid w:val="00EB49AB"/>
    <w:rsid w:val="00EC6792"/>
    <w:rsid w:val="00EC68A9"/>
    <w:rsid w:val="00ED18DC"/>
    <w:rsid w:val="00ED6201"/>
    <w:rsid w:val="00ED7A2A"/>
    <w:rsid w:val="00EF1D7F"/>
    <w:rsid w:val="00EF5289"/>
    <w:rsid w:val="00EF659D"/>
    <w:rsid w:val="00F0137E"/>
    <w:rsid w:val="00F04E44"/>
    <w:rsid w:val="00F21786"/>
    <w:rsid w:val="00F25D06"/>
    <w:rsid w:val="00F31CFF"/>
    <w:rsid w:val="00F3742B"/>
    <w:rsid w:val="00F41FDB"/>
    <w:rsid w:val="00F468CD"/>
    <w:rsid w:val="00F50597"/>
    <w:rsid w:val="00F53002"/>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E9D0E6"/>
  <w15:docId w15:val="{F63DB349-85F5-436A-B1C2-C231619C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14F4"/>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H1GChar">
    <w:name w:val="_ H_1_G Char"/>
    <w:link w:val="H1G"/>
    <w:rsid w:val="000C6927"/>
    <w:rPr>
      <w:b/>
      <w:sz w:val="24"/>
      <w:lang w:val="en-GB"/>
    </w:rPr>
  </w:style>
  <w:style w:type="paragraph" w:styleId="ListParagraph">
    <w:name w:val="List Paragraph"/>
    <w:basedOn w:val="Normal"/>
    <w:uiPriority w:val="34"/>
    <w:semiHidden/>
    <w:qFormat/>
    <w:rsid w:val="001807C9"/>
    <w:pPr>
      <w:ind w:left="720"/>
      <w:contextualSpacing/>
    </w:pPr>
  </w:style>
  <w:style w:type="paragraph" w:customStyle="1" w:styleId="para">
    <w:name w:val="para"/>
    <w:basedOn w:val="SingleTxtG"/>
    <w:link w:val="paraChar"/>
    <w:qFormat/>
    <w:rsid w:val="007911D5"/>
    <w:pPr>
      <w:spacing w:line="240" w:lineRule="exact"/>
      <w:ind w:left="2268" w:hanging="1134"/>
    </w:pPr>
    <w:rPr>
      <w:rFonts w:eastAsiaTheme="minorEastAsia"/>
      <w:lang w:eastAsia="en-US"/>
    </w:rPr>
  </w:style>
  <w:style w:type="character" w:customStyle="1" w:styleId="paraChar">
    <w:name w:val="para Char"/>
    <w:link w:val="para"/>
    <w:locked/>
    <w:rsid w:val="007911D5"/>
    <w:rPr>
      <w:rFonts w:eastAsiaTheme="minorEastAsi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19864">
      <w:bodyDiv w:val="1"/>
      <w:marLeft w:val="0"/>
      <w:marRight w:val="0"/>
      <w:marTop w:val="0"/>
      <w:marBottom w:val="0"/>
      <w:divBdr>
        <w:top w:val="none" w:sz="0" w:space="0" w:color="auto"/>
        <w:left w:val="none" w:sz="0" w:space="0" w:color="auto"/>
        <w:bottom w:val="none" w:sz="0" w:space="0" w:color="auto"/>
        <w:right w:val="none" w:sz="0" w:space="0" w:color="auto"/>
      </w:divBdr>
    </w:div>
    <w:div w:id="1007756249">
      <w:bodyDiv w:val="1"/>
      <w:marLeft w:val="0"/>
      <w:marRight w:val="0"/>
      <w:marTop w:val="0"/>
      <w:marBottom w:val="0"/>
      <w:divBdr>
        <w:top w:val="none" w:sz="0" w:space="0" w:color="auto"/>
        <w:left w:val="none" w:sz="0" w:space="0" w:color="auto"/>
        <w:bottom w:val="none" w:sz="0" w:space="0" w:color="auto"/>
        <w:right w:val="none" w:sz="0" w:space="0" w:color="auto"/>
      </w:divBdr>
    </w:div>
    <w:div w:id="1421366676">
      <w:bodyDiv w:val="1"/>
      <w:marLeft w:val="0"/>
      <w:marRight w:val="0"/>
      <w:marTop w:val="0"/>
      <w:marBottom w:val="0"/>
      <w:divBdr>
        <w:top w:val="none" w:sz="0" w:space="0" w:color="auto"/>
        <w:left w:val="none" w:sz="0" w:space="0" w:color="auto"/>
        <w:bottom w:val="none" w:sz="0" w:space="0" w:color="auto"/>
        <w:right w:val="none" w:sz="0" w:space="0" w:color="auto"/>
      </w:divBdr>
    </w:div>
    <w:div w:id="1467820978">
      <w:bodyDiv w:val="1"/>
      <w:marLeft w:val="0"/>
      <w:marRight w:val="0"/>
      <w:marTop w:val="0"/>
      <w:marBottom w:val="0"/>
      <w:divBdr>
        <w:top w:val="none" w:sz="0" w:space="0" w:color="auto"/>
        <w:left w:val="none" w:sz="0" w:space="0" w:color="auto"/>
        <w:bottom w:val="none" w:sz="0" w:space="0" w:color="auto"/>
        <w:right w:val="none" w:sz="0" w:space="0" w:color="auto"/>
      </w:divBdr>
    </w:div>
    <w:div w:id="1778018338">
      <w:bodyDiv w:val="1"/>
      <w:marLeft w:val="0"/>
      <w:marRight w:val="0"/>
      <w:marTop w:val="0"/>
      <w:marBottom w:val="0"/>
      <w:divBdr>
        <w:top w:val="none" w:sz="0" w:space="0" w:color="auto"/>
        <w:left w:val="none" w:sz="0" w:space="0" w:color="auto"/>
        <w:bottom w:val="none" w:sz="0" w:space="0" w:color="auto"/>
        <w:right w:val="none" w:sz="0" w:space="0" w:color="auto"/>
      </w:divBdr>
    </w:div>
    <w:div w:id="179575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B5409-F6D9-487C-B112-A090B8E5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1840</Words>
  <Characters>10491</Characters>
  <Application>Microsoft Office Word</Application>
  <DocSecurity>0</DocSecurity>
  <Lines>87</Lines>
  <Paragraphs>24</Paragraphs>
  <ScaleCrop>false</ScaleCrop>
  <HeadingPairs>
    <vt:vector size="8" baseType="variant">
      <vt:variant>
        <vt:lpstr>Titel</vt:lpstr>
      </vt:variant>
      <vt:variant>
        <vt:i4>1</vt:i4>
      </vt:variant>
      <vt:variant>
        <vt:lpstr>Название</vt:lpstr>
      </vt:variant>
      <vt:variant>
        <vt:i4>1</vt:i4>
      </vt:variant>
      <vt:variant>
        <vt:lpstr>Title</vt:lpstr>
      </vt:variant>
      <vt:variant>
        <vt:i4>1</vt:i4>
      </vt:variant>
      <vt:variant>
        <vt:lpstr>Titre</vt:lpstr>
      </vt:variant>
      <vt:variant>
        <vt:i4>1</vt:i4>
      </vt:variant>
    </vt:vector>
  </HeadingPairs>
  <TitlesOfParts>
    <vt:vector size="4" baseType="lpstr">
      <vt:lpstr>ECE/TRANS/WP.29/GRVA/2019/28</vt:lpstr>
      <vt:lpstr>ECE/TRANS/WP.29/GRVA/2019/28</vt:lpstr>
      <vt:lpstr>ECE/TRANS/WP.29/GRVA/2019/28</vt:lpstr>
      <vt:lpstr/>
    </vt:vector>
  </TitlesOfParts>
  <Company>CSD</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ECE/TRANS/WP.29/GRVA/2019/28</dc:title>
  <dc:subject>1911851</dc:subject>
  <dc:creator>Generic Pdf eng</dc:creator>
  <cp:lastModifiedBy>FG</cp:lastModifiedBy>
  <cp:revision>4</cp:revision>
  <cp:lastPrinted>2020-03-03T08:05:00Z</cp:lastPrinted>
  <dcterms:created xsi:type="dcterms:W3CDTF">2020-09-17T11:45:00Z</dcterms:created>
  <dcterms:modified xsi:type="dcterms:W3CDTF">2020-09-21T14:53:00Z</dcterms:modified>
</cp:coreProperties>
</file>