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B44" w14:textId="06728B92" w:rsidR="004B2383" w:rsidRPr="005268DD" w:rsidRDefault="004B2383" w:rsidP="004B2383">
      <w:pPr>
        <w:pStyle w:val="HChG"/>
        <w:rPr>
          <w:lang w:val="en-US"/>
        </w:rPr>
      </w:pPr>
      <w:bookmarkStart w:id="0" w:name="OLE_LINK2"/>
      <w:r w:rsidRPr="004C4906">
        <w:tab/>
      </w:r>
      <w:r w:rsidRPr="004C4906">
        <w:tab/>
      </w:r>
      <w:bookmarkEnd w:id="0"/>
      <w:r w:rsidR="00767FEB">
        <w:t xml:space="preserve">Draft revision of the </w:t>
      </w:r>
      <w:r w:rsidR="00767FEB" w:rsidRPr="00E67AC6">
        <w:rPr>
          <w:rFonts w:eastAsia="Calibri"/>
        </w:rPr>
        <w:t xml:space="preserve">ECE Road Map on </w:t>
      </w:r>
      <w:r w:rsidR="00767FEB" w:rsidRPr="00E67AC6">
        <w:t>Intelligent Transport Systems</w:t>
      </w:r>
    </w:p>
    <w:p w14:paraId="2946E226" w14:textId="448D30CF" w:rsidR="000B1802" w:rsidRDefault="00821ED5" w:rsidP="000B1802">
      <w:pPr>
        <w:pStyle w:val="SingleTxtG"/>
        <w:ind w:firstLine="567"/>
        <w:rPr>
          <w:lang w:val="en-US"/>
        </w:rPr>
      </w:pPr>
      <w:r>
        <w:rPr>
          <w:snapToGrid w:val="0"/>
        </w:rPr>
        <w:t xml:space="preserve">The </w:t>
      </w:r>
      <w:r w:rsidRPr="00524FA0">
        <w:rPr>
          <w:snapToGrid w:val="0"/>
        </w:rPr>
        <w:t>text</w:t>
      </w:r>
      <w:r w:rsidR="003841F4">
        <w:rPr>
          <w:lang w:val="en-US"/>
        </w:rPr>
        <w:t xml:space="preserve"> below was prepared by the </w:t>
      </w:r>
      <w:r w:rsidR="001C20D1">
        <w:rPr>
          <w:lang w:val="en-US"/>
        </w:rPr>
        <w:t>secretariat</w:t>
      </w:r>
      <w:r w:rsidR="003841F4">
        <w:rPr>
          <w:lang w:val="en-US"/>
        </w:rPr>
        <w:t xml:space="preserve"> of the Informal Working Group on Intelligent Transport Systems (ITS)</w:t>
      </w:r>
      <w:r w:rsidR="001C20D1">
        <w:rPr>
          <w:lang w:val="en-US"/>
        </w:rPr>
        <w:t>,</w:t>
      </w:r>
      <w:r w:rsidR="003841F4">
        <w:rPr>
          <w:lang w:val="en-US"/>
        </w:rPr>
        <w:t xml:space="preserve"> under the World Forum for Harmonization of Vehicle Regulations.  Following Decision 18 of the Inland Transport Committee </w:t>
      </w:r>
      <w:r w:rsidR="00EB267E">
        <w:rPr>
          <w:lang w:val="en-US"/>
        </w:rPr>
        <w:t xml:space="preserve">(ITC) </w:t>
      </w:r>
      <w:r w:rsidR="003841F4">
        <w:rPr>
          <w:lang w:val="en-US"/>
        </w:rPr>
        <w:t xml:space="preserve">at its eighty-second session in February 2020 and </w:t>
      </w:r>
      <w:r w:rsidR="003841F4">
        <w:t xml:space="preserve">considering the importance of ITS in light of global mega trends, technological developments, and the ongoing transformation of </w:t>
      </w:r>
      <w:r w:rsidR="00EB267E">
        <w:t>ITC</w:t>
      </w:r>
      <w:r w:rsidR="003841F4">
        <w:t xml:space="preserve"> and its Working Parties, the secretariat has initiated activities, in close cooperation with relevant Working Parties and subsidiary bodies, to prepare a revision of the UNECE Roadmap on ITS</w:t>
      </w:r>
      <w:r w:rsidR="00A34EF2">
        <w:t xml:space="preserve">. The secretariat consulted the Co-Chairs of the IWG on ITS, </w:t>
      </w:r>
      <w:proofErr w:type="gramStart"/>
      <w:r w:rsidR="00A34EF2">
        <w:t>on the basis of</w:t>
      </w:r>
      <w:proofErr w:type="gramEnd"/>
      <w:r w:rsidR="00A34EF2">
        <w:t xml:space="preserve"> the existing 2012-2020 Roadmap and sought guidance on necessary amendments to the existing roadmap. </w:t>
      </w:r>
      <w:r w:rsidR="00C449B3">
        <w:t>The secretariat is launching consultation</w:t>
      </w:r>
      <w:r w:rsidR="00EB267E">
        <w:t>s</w:t>
      </w:r>
      <w:r w:rsidR="00C449B3">
        <w:t xml:space="preserve"> of the Working Parties and subsidiary bodies and is </w:t>
      </w:r>
      <w:r w:rsidR="000B1802">
        <w:t>proposing to use the following</w:t>
      </w:r>
      <w:r w:rsidR="00C449B3">
        <w:t xml:space="preserve"> online collaboration tool</w:t>
      </w:r>
      <w:r w:rsidR="000B1802">
        <w:t xml:space="preserve"> to collect input : </w:t>
      </w:r>
      <w:hyperlink r:id="rId7" w:history="1">
        <w:r w:rsidR="000B1802" w:rsidRPr="000B1802">
          <w:rPr>
            <w:rStyle w:val="Hyperlink"/>
            <w:u w:val="single"/>
          </w:rPr>
          <w:t>https://docs.google.com/document/d/1-tIgg7XLAaax0t-WuiMrdU8WFxH3eOO6/edit</w:t>
        </w:r>
      </w:hyperlink>
    </w:p>
    <w:p w14:paraId="2C2A9346" w14:textId="016A943B" w:rsidR="004B2383" w:rsidRDefault="00A319B6" w:rsidP="00A319B6">
      <w:pPr>
        <w:pStyle w:val="HChG"/>
      </w:pPr>
      <w:r w:rsidRPr="00A319B6">
        <w:tab/>
        <w:t>I.</w:t>
      </w:r>
      <w:r w:rsidRPr="00A319B6">
        <w:tab/>
      </w:r>
      <w:r w:rsidR="00767FEB">
        <w:rPr>
          <w:rFonts w:eastAsia="Calibri"/>
        </w:rPr>
        <w:t xml:space="preserve">Draft </w:t>
      </w:r>
      <w:r w:rsidR="00A34EF2" w:rsidRPr="00E67AC6">
        <w:rPr>
          <w:rFonts w:eastAsia="Calibri"/>
        </w:rPr>
        <w:t xml:space="preserve">ECE Road Map on </w:t>
      </w:r>
      <w:r w:rsidR="00A34EF2" w:rsidRPr="00E67AC6">
        <w:t>Intelligent Transport Systems</w:t>
      </w:r>
      <w:r w:rsidR="00767FEB">
        <w:t xml:space="preserve"> – </w:t>
      </w:r>
      <w:r w:rsidR="00EB267E">
        <w:t xml:space="preserve">Overview [Revision for the decade </w:t>
      </w:r>
      <w:r w:rsidR="00A34EF2" w:rsidRPr="00E67AC6">
        <w:t>2020</w:t>
      </w:r>
      <w:r w:rsidR="00767FEB">
        <w:t xml:space="preserve"> </w:t>
      </w:r>
      <w:r w:rsidR="00EB267E">
        <w:t>–</w:t>
      </w:r>
      <w:r w:rsidR="00767FEB">
        <w:t xml:space="preserve"> 2030</w:t>
      </w:r>
      <w:r w:rsidR="00EB267E">
        <w:t>]</w:t>
      </w:r>
    </w:p>
    <w:p w14:paraId="0A803AEF" w14:textId="5C48E5CB" w:rsidR="00A34EF2" w:rsidRDefault="00A34EF2" w:rsidP="00EB267E">
      <w:pPr>
        <w:pStyle w:val="SingleTxtG"/>
        <w:jc w:val="left"/>
      </w:pPr>
      <w:r w:rsidRPr="00A34EF2">
        <w:rPr>
          <w:b/>
          <w:bCs/>
        </w:rPr>
        <w:t>Table</w:t>
      </w:r>
      <w:r>
        <w:rPr>
          <w:b/>
          <w:bCs/>
        </w:rPr>
        <w:t xml:space="preserve"> 1</w:t>
      </w:r>
      <w:r>
        <w:br/>
      </w:r>
      <w:r w:rsidRPr="00A34EF2">
        <w:rPr>
          <w:b/>
          <w:bCs/>
        </w:rPr>
        <w:t>Summary</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31"/>
        <w:gridCol w:w="7473"/>
      </w:tblGrid>
      <w:tr w:rsidR="00A34EF2" w:rsidRPr="00E67AC6" w14:paraId="3A57C6C3" w14:textId="77777777" w:rsidTr="00A34EF2">
        <w:tc>
          <w:tcPr>
            <w:tcW w:w="567" w:type="dxa"/>
            <w:tcBorders>
              <w:top w:val="single" w:sz="12" w:space="0" w:color="auto"/>
            </w:tcBorders>
            <w:shd w:val="clear" w:color="auto" w:fill="auto"/>
          </w:tcPr>
          <w:p w14:paraId="419D0FB7" w14:textId="77777777" w:rsidR="00A34EF2" w:rsidRPr="00EB267E" w:rsidRDefault="00A34EF2" w:rsidP="001E5877">
            <w:pPr>
              <w:suppressAutoHyphens w:val="0"/>
              <w:spacing w:before="40" w:after="40" w:line="220" w:lineRule="exact"/>
              <w:ind w:right="113"/>
              <w:rPr>
                <w:i/>
                <w:iCs/>
                <w:sz w:val="18"/>
              </w:rPr>
            </w:pPr>
            <w:bookmarkStart w:id="1" w:name="_Hlk530672876"/>
            <w:r w:rsidRPr="00EB267E">
              <w:rPr>
                <w:i/>
                <w:iCs/>
                <w:sz w:val="18"/>
              </w:rPr>
              <w:t>No.</w:t>
            </w:r>
          </w:p>
        </w:tc>
        <w:tc>
          <w:tcPr>
            <w:tcW w:w="4111" w:type="dxa"/>
            <w:tcBorders>
              <w:top w:val="single" w:sz="12" w:space="0" w:color="auto"/>
            </w:tcBorders>
          </w:tcPr>
          <w:p w14:paraId="4170C54F" w14:textId="77777777" w:rsidR="00A34EF2" w:rsidRPr="00EB267E" w:rsidRDefault="00A34EF2" w:rsidP="001E5877">
            <w:pPr>
              <w:suppressAutoHyphens w:val="0"/>
              <w:spacing w:before="40" w:after="40" w:line="220" w:lineRule="exact"/>
              <w:ind w:right="113"/>
              <w:rPr>
                <w:i/>
                <w:iCs/>
                <w:sz w:val="18"/>
              </w:rPr>
            </w:pPr>
            <w:r w:rsidRPr="00EB267E">
              <w:rPr>
                <w:i/>
                <w:iCs/>
                <w:sz w:val="18"/>
              </w:rPr>
              <w:t>Action title</w:t>
            </w:r>
          </w:p>
        </w:tc>
      </w:tr>
      <w:tr w:rsidR="00A34EF2" w:rsidRPr="00E67AC6" w14:paraId="362BC2D4" w14:textId="77777777" w:rsidTr="00A34EF2">
        <w:tc>
          <w:tcPr>
            <w:tcW w:w="567" w:type="dxa"/>
            <w:tcBorders>
              <w:top w:val="single" w:sz="12" w:space="0" w:color="auto"/>
            </w:tcBorders>
            <w:shd w:val="clear" w:color="auto" w:fill="auto"/>
          </w:tcPr>
          <w:p w14:paraId="0FB233B0" w14:textId="0E7E3962" w:rsidR="00A34EF2" w:rsidRPr="00E67AC6" w:rsidRDefault="00A34EF2" w:rsidP="00C449B3">
            <w:pPr>
              <w:suppressAutoHyphens w:val="0"/>
              <w:spacing w:before="40" w:after="40" w:line="220" w:lineRule="exact"/>
              <w:ind w:right="113"/>
              <w:rPr>
                <w:b/>
                <w:sz w:val="18"/>
              </w:rPr>
            </w:pPr>
            <w:r w:rsidRPr="00E67AC6">
              <w:rPr>
                <w:b/>
                <w:sz w:val="18"/>
              </w:rPr>
              <w:t>1</w:t>
            </w:r>
          </w:p>
        </w:tc>
        <w:tc>
          <w:tcPr>
            <w:tcW w:w="4111" w:type="dxa"/>
            <w:tcBorders>
              <w:top w:val="single" w:sz="12" w:space="0" w:color="auto"/>
            </w:tcBorders>
          </w:tcPr>
          <w:p w14:paraId="42758EF3" w14:textId="77777777" w:rsidR="00A34EF2" w:rsidRPr="00E67AC6" w:rsidRDefault="00A34EF2" w:rsidP="001E5877">
            <w:pPr>
              <w:suppressAutoHyphens w:val="0"/>
              <w:spacing w:before="40" w:after="40" w:line="220" w:lineRule="exact"/>
              <w:ind w:right="113"/>
              <w:rPr>
                <w:sz w:val="18"/>
              </w:rPr>
            </w:pPr>
            <w:r w:rsidRPr="00E67AC6">
              <w:rPr>
                <w:sz w:val="18"/>
              </w:rPr>
              <w:t>Reaching a common definition for ITS</w:t>
            </w:r>
          </w:p>
        </w:tc>
      </w:tr>
      <w:tr w:rsidR="00A34EF2" w:rsidRPr="00E67AC6" w14:paraId="6ADE34DD" w14:textId="77777777" w:rsidTr="00A34EF2">
        <w:tc>
          <w:tcPr>
            <w:tcW w:w="567" w:type="dxa"/>
            <w:shd w:val="clear" w:color="auto" w:fill="auto"/>
          </w:tcPr>
          <w:p w14:paraId="2F974DC8" w14:textId="1B6C195B" w:rsidR="00A34EF2" w:rsidRPr="00C449B3" w:rsidRDefault="00A34EF2" w:rsidP="00C449B3">
            <w:pPr>
              <w:suppressAutoHyphens w:val="0"/>
              <w:spacing w:before="40" w:after="40" w:line="220" w:lineRule="exact"/>
              <w:ind w:right="113"/>
              <w:rPr>
                <w:b/>
                <w:sz w:val="18"/>
              </w:rPr>
            </w:pPr>
            <w:r w:rsidRPr="00E67AC6">
              <w:rPr>
                <w:b/>
                <w:sz w:val="18"/>
              </w:rPr>
              <w:t>2</w:t>
            </w:r>
          </w:p>
        </w:tc>
        <w:tc>
          <w:tcPr>
            <w:tcW w:w="4111" w:type="dxa"/>
          </w:tcPr>
          <w:p w14:paraId="5A8FC473" w14:textId="77777777" w:rsidR="00A34EF2" w:rsidRPr="00E67AC6" w:rsidRDefault="00A34EF2" w:rsidP="001E5877">
            <w:pPr>
              <w:suppressAutoHyphens w:val="0"/>
              <w:spacing w:before="40" w:after="40" w:line="220" w:lineRule="exact"/>
              <w:ind w:right="113"/>
              <w:rPr>
                <w:sz w:val="18"/>
              </w:rPr>
            </w:pPr>
            <w:r w:rsidRPr="00E67AC6">
              <w:rPr>
                <w:sz w:val="18"/>
              </w:rPr>
              <w:t>Harmonizing policies</w:t>
            </w:r>
          </w:p>
        </w:tc>
      </w:tr>
      <w:tr w:rsidR="00A34EF2" w:rsidRPr="00E67AC6" w14:paraId="34DF3175" w14:textId="77777777" w:rsidTr="00A34EF2">
        <w:tc>
          <w:tcPr>
            <w:tcW w:w="567" w:type="dxa"/>
            <w:shd w:val="clear" w:color="auto" w:fill="auto"/>
          </w:tcPr>
          <w:p w14:paraId="12EA75D9" w14:textId="1D1566BE" w:rsidR="00A34EF2" w:rsidRPr="00C449B3" w:rsidRDefault="00A34EF2" w:rsidP="00C449B3">
            <w:pPr>
              <w:suppressAutoHyphens w:val="0"/>
              <w:spacing w:before="40" w:after="40" w:line="220" w:lineRule="exact"/>
              <w:ind w:right="113"/>
              <w:rPr>
                <w:b/>
                <w:sz w:val="18"/>
              </w:rPr>
            </w:pPr>
            <w:r w:rsidRPr="00E67AC6">
              <w:rPr>
                <w:b/>
                <w:sz w:val="18"/>
              </w:rPr>
              <w:t>3</w:t>
            </w:r>
          </w:p>
        </w:tc>
        <w:tc>
          <w:tcPr>
            <w:tcW w:w="4111" w:type="dxa"/>
          </w:tcPr>
          <w:p w14:paraId="47B7CC1D" w14:textId="77777777" w:rsidR="00A34EF2" w:rsidRPr="00E67AC6" w:rsidRDefault="00A34EF2" w:rsidP="001E5877">
            <w:pPr>
              <w:suppressAutoHyphens w:val="0"/>
              <w:spacing w:before="40" w:after="40" w:line="220" w:lineRule="exact"/>
              <w:ind w:right="113"/>
              <w:rPr>
                <w:sz w:val="18"/>
              </w:rPr>
            </w:pPr>
            <w:r w:rsidRPr="00E67AC6">
              <w:rPr>
                <w:sz w:val="18"/>
              </w:rPr>
              <w:t>Forging International cooperation</w:t>
            </w:r>
          </w:p>
        </w:tc>
      </w:tr>
      <w:tr w:rsidR="00A34EF2" w:rsidRPr="00E67AC6" w14:paraId="319D215E" w14:textId="77777777" w:rsidTr="00A34EF2">
        <w:tc>
          <w:tcPr>
            <w:tcW w:w="567" w:type="dxa"/>
            <w:shd w:val="clear" w:color="auto" w:fill="auto"/>
          </w:tcPr>
          <w:p w14:paraId="51F48AD0" w14:textId="591340B8" w:rsidR="00A34EF2" w:rsidRPr="00C449B3" w:rsidRDefault="00A34EF2" w:rsidP="00C449B3">
            <w:pPr>
              <w:suppressAutoHyphens w:val="0"/>
              <w:spacing w:before="40" w:after="40" w:line="220" w:lineRule="exact"/>
              <w:ind w:right="113"/>
              <w:rPr>
                <w:b/>
                <w:sz w:val="18"/>
              </w:rPr>
            </w:pPr>
            <w:r w:rsidRPr="00E67AC6">
              <w:rPr>
                <w:b/>
                <w:sz w:val="18"/>
              </w:rPr>
              <w:t>4</w:t>
            </w:r>
          </w:p>
        </w:tc>
        <w:tc>
          <w:tcPr>
            <w:tcW w:w="4111" w:type="dxa"/>
          </w:tcPr>
          <w:p w14:paraId="2D7E20CF" w14:textId="77777777" w:rsidR="00A34EF2" w:rsidRPr="00E67AC6" w:rsidRDefault="00A34EF2" w:rsidP="001E5877">
            <w:pPr>
              <w:suppressAutoHyphens w:val="0"/>
              <w:spacing w:before="40" w:after="40" w:line="220" w:lineRule="exact"/>
              <w:ind w:right="113"/>
              <w:rPr>
                <w:sz w:val="18"/>
              </w:rPr>
            </w:pPr>
            <w:r w:rsidRPr="00E67AC6">
              <w:rPr>
                <w:sz w:val="18"/>
              </w:rPr>
              <w:t>Facilitating interoperability and ITS architecture</w:t>
            </w:r>
          </w:p>
        </w:tc>
      </w:tr>
      <w:tr w:rsidR="00A34EF2" w:rsidRPr="00E67AC6" w14:paraId="56D52A83" w14:textId="77777777" w:rsidTr="00A34EF2">
        <w:tc>
          <w:tcPr>
            <w:tcW w:w="567" w:type="dxa"/>
            <w:shd w:val="clear" w:color="auto" w:fill="auto"/>
          </w:tcPr>
          <w:p w14:paraId="0742E252" w14:textId="52A6A770" w:rsidR="00A34EF2" w:rsidRPr="00C449B3" w:rsidRDefault="00A34EF2" w:rsidP="00C449B3">
            <w:pPr>
              <w:suppressAutoHyphens w:val="0"/>
              <w:spacing w:before="40" w:after="40" w:line="220" w:lineRule="exact"/>
              <w:ind w:right="113"/>
              <w:rPr>
                <w:b/>
                <w:sz w:val="18"/>
              </w:rPr>
            </w:pPr>
            <w:r w:rsidRPr="00E67AC6">
              <w:rPr>
                <w:b/>
                <w:sz w:val="18"/>
              </w:rPr>
              <w:t>5</w:t>
            </w:r>
          </w:p>
        </w:tc>
        <w:tc>
          <w:tcPr>
            <w:tcW w:w="4111" w:type="dxa"/>
          </w:tcPr>
          <w:p w14:paraId="2BF113AB" w14:textId="77777777" w:rsidR="00A34EF2" w:rsidRPr="00E67AC6" w:rsidRDefault="00A34EF2" w:rsidP="001E5877">
            <w:pPr>
              <w:suppressAutoHyphens w:val="0"/>
              <w:spacing w:before="40" w:after="40" w:line="220" w:lineRule="exact"/>
              <w:ind w:right="113"/>
              <w:rPr>
                <w:sz w:val="18"/>
              </w:rPr>
            </w:pPr>
            <w:r w:rsidRPr="00E67AC6">
              <w:rPr>
                <w:sz w:val="18"/>
              </w:rPr>
              <w:t>Ensuring data security</w:t>
            </w:r>
          </w:p>
        </w:tc>
      </w:tr>
      <w:tr w:rsidR="00A34EF2" w:rsidRPr="00E67AC6" w14:paraId="4DF4A5AD" w14:textId="77777777" w:rsidTr="00A34EF2">
        <w:tc>
          <w:tcPr>
            <w:tcW w:w="567" w:type="dxa"/>
            <w:shd w:val="clear" w:color="auto" w:fill="auto"/>
          </w:tcPr>
          <w:p w14:paraId="2CDC4781" w14:textId="5E72504C" w:rsidR="00A34EF2" w:rsidRPr="00C449B3" w:rsidRDefault="00A34EF2" w:rsidP="00C449B3">
            <w:pPr>
              <w:suppressAutoHyphens w:val="0"/>
              <w:spacing w:before="40" w:after="40" w:line="220" w:lineRule="exact"/>
              <w:ind w:right="113"/>
              <w:rPr>
                <w:b/>
                <w:sz w:val="18"/>
              </w:rPr>
            </w:pPr>
            <w:r w:rsidRPr="00E67AC6">
              <w:rPr>
                <w:b/>
                <w:sz w:val="18"/>
              </w:rPr>
              <w:t>6</w:t>
            </w:r>
          </w:p>
        </w:tc>
        <w:tc>
          <w:tcPr>
            <w:tcW w:w="4111" w:type="dxa"/>
          </w:tcPr>
          <w:p w14:paraId="19AFE374" w14:textId="77777777" w:rsidR="00A34EF2" w:rsidRPr="00E67AC6" w:rsidRDefault="00A34EF2" w:rsidP="001E5877">
            <w:pPr>
              <w:suppressAutoHyphens w:val="0"/>
              <w:spacing w:before="40" w:after="40" w:line="220" w:lineRule="exact"/>
              <w:ind w:right="113"/>
              <w:rPr>
                <w:sz w:val="18"/>
              </w:rPr>
            </w:pPr>
            <w:r w:rsidRPr="00E67AC6">
              <w:rPr>
                <w:sz w:val="18"/>
              </w:rPr>
              <w:t>Scaling up the work on ITS in all Working Parties of ITC</w:t>
            </w:r>
          </w:p>
        </w:tc>
      </w:tr>
      <w:tr w:rsidR="00A34EF2" w:rsidRPr="00E67AC6" w14:paraId="5C3E9702" w14:textId="77777777" w:rsidTr="00A34EF2">
        <w:tc>
          <w:tcPr>
            <w:tcW w:w="567" w:type="dxa"/>
            <w:shd w:val="clear" w:color="auto" w:fill="auto"/>
          </w:tcPr>
          <w:p w14:paraId="265CBA10" w14:textId="627F60EE" w:rsidR="00A34EF2" w:rsidRPr="00C449B3" w:rsidRDefault="00A34EF2" w:rsidP="00C449B3">
            <w:pPr>
              <w:suppressAutoHyphens w:val="0"/>
              <w:spacing w:before="40" w:after="40" w:line="220" w:lineRule="exact"/>
              <w:ind w:right="113"/>
              <w:rPr>
                <w:b/>
                <w:sz w:val="18"/>
              </w:rPr>
            </w:pPr>
            <w:r w:rsidRPr="00E67AC6">
              <w:rPr>
                <w:b/>
                <w:sz w:val="18"/>
              </w:rPr>
              <w:t>7</w:t>
            </w:r>
          </w:p>
        </w:tc>
        <w:tc>
          <w:tcPr>
            <w:tcW w:w="4111" w:type="dxa"/>
          </w:tcPr>
          <w:p w14:paraId="4E5AB16F" w14:textId="77777777" w:rsidR="00A34EF2" w:rsidRPr="00E67AC6" w:rsidRDefault="00A34EF2" w:rsidP="001E5877">
            <w:pPr>
              <w:suppressAutoHyphens w:val="0"/>
              <w:spacing w:before="40" w:after="40" w:line="220" w:lineRule="exact"/>
              <w:ind w:right="113"/>
              <w:rPr>
                <w:sz w:val="18"/>
              </w:rPr>
            </w:pPr>
            <w:r w:rsidRPr="00E67AC6">
              <w:rPr>
                <w:sz w:val="18"/>
              </w:rPr>
              <w:t>Promoting vehicle to infrastructure communication</w:t>
            </w:r>
          </w:p>
        </w:tc>
      </w:tr>
      <w:tr w:rsidR="00A34EF2" w:rsidRPr="00E67AC6" w14:paraId="4C41742C" w14:textId="77777777" w:rsidTr="00A34EF2">
        <w:tc>
          <w:tcPr>
            <w:tcW w:w="567" w:type="dxa"/>
            <w:shd w:val="clear" w:color="auto" w:fill="auto"/>
          </w:tcPr>
          <w:p w14:paraId="3109E85F" w14:textId="4BB664D3" w:rsidR="00A34EF2" w:rsidRPr="00C449B3" w:rsidRDefault="00A34EF2" w:rsidP="00C449B3">
            <w:pPr>
              <w:suppressAutoHyphens w:val="0"/>
              <w:spacing w:before="40" w:after="40" w:line="220" w:lineRule="exact"/>
              <w:ind w:right="113"/>
              <w:rPr>
                <w:b/>
                <w:sz w:val="18"/>
              </w:rPr>
            </w:pPr>
            <w:r w:rsidRPr="00E67AC6">
              <w:rPr>
                <w:b/>
                <w:sz w:val="18"/>
              </w:rPr>
              <w:t>8</w:t>
            </w:r>
          </w:p>
        </w:tc>
        <w:tc>
          <w:tcPr>
            <w:tcW w:w="4111" w:type="dxa"/>
          </w:tcPr>
          <w:p w14:paraId="64244ED7" w14:textId="77777777" w:rsidR="00A34EF2" w:rsidRPr="00E67AC6" w:rsidRDefault="00A34EF2" w:rsidP="001E5877">
            <w:pPr>
              <w:suppressAutoHyphens w:val="0"/>
              <w:spacing w:before="40" w:after="40" w:line="220" w:lineRule="exact"/>
              <w:ind w:right="113"/>
              <w:rPr>
                <w:sz w:val="18"/>
              </w:rPr>
            </w:pPr>
            <w:r w:rsidRPr="00E67AC6">
              <w:rPr>
                <w:sz w:val="18"/>
              </w:rPr>
              <w:t>Promoting vehicle-to-vehicle communication</w:t>
            </w:r>
          </w:p>
        </w:tc>
      </w:tr>
      <w:tr w:rsidR="00A34EF2" w:rsidRPr="00E67AC6" w14:paraId="2F5CDDB5" w14:textId="77777777" w:rsidTr="00A34EF2">
        <w:tc>
          <w:tcPr>
            <w:tcW w:w="567" w:type="dxa"/>
            <w:shd w:val="clear" w:color="auto" w:fill="auto"/>
          </w:tcPr>
          <w:p w14:paraId="102D66CC" w14:textId="2F46CEBE" w:rsidR="00A34EF2" w:rsidRPr="00C449B3" w:rsidRDefault="00A34EF2" w:rsidP="00C449B3">
            <w:pPr>
              <w:suppressAutoHyphens w:val="0"/>
              <w:spacing w:before="40" w:after="40" w:line="220" w:lineRule="exact"/>
              <w:ind w:right="113"/>
              <w:rPr>
                <w:b/>
                <w:sz w:val="18"/>
              </w:rPr>
            </w:pPr>
            <w:r w:rsidRPr="00E67AC6">
              <w:rPr>
                <w:b/>
                <w:sz w:val="18"/>
              </w:rPr>
              <w:t>9</w:t>
            </w:r>
          </w:p>
        </w:tc>
        <w:tc>
          <w:tcPr>
            <w:tcW w:w="4111" w:type="dxa"/>
          </w:tcPr>
          <w:p w14:paraId="38CD4CB1" w14:textId="77777777" w:rsidR="00A34EF2" w:rsidRPr="00E67AC6" w:rsidRDefault="00A34EF2" w:rsidP="001E5877">
            <w:pPr>
              <w:suppressAutoHyphens w:val="0"/>
              <w:spacing w:before="40" w:after="40" w:line="220" w:lineRule="exact"/>
              <w:ind w:right="113"/>
              <w:rPr>
                <w:sz w:val="18"/>
              </w:rPr>
            </w:pPr>
            <w:r w:rsidRPr="00E67AC6">
              <w:rPr>
                <w:sz w:val="18"/>
              </w:rPr>
              <w:t>Fighting the road safety crisis</w:t>
            </w:r>
          </w:p>
        </w:tc>
      </w:tr>
      <w:tr w:rsidR="00A34EF2" w:rsidRPr="00E67AC6" w14:paraId="36F12DC9" w14:textId="77777777" w:rsidTr="00A34EF2">
        <w:tc>
          <w:tcPr>
            <w:tcW w:w="567" w:type="dxa"/>
            <w:shd w:val="clear" w:color="auto" w:fill="auto"/>
          </w:tcPr>
          <w:p w14:paraId="08898037" w14:textId="4A760B91" w:rsidR="00A34EF2" w:rsidRPr="00C449B3" w:rsidRDefault="00A34EF2" w:rsidP="00C449B3">
            <w:pPr>
              <w:suppressAutoHyphens w:val="0"/>
              <w:spacing w:before="40" w:after="40" w:line="220" w:lineRule="exact"/>
              <w:ind w:right="113"/>
              <w:rPr>
                <w:b/>
                <w:sz w:val="18"/>
              </w:rPr>
            </w:pPr>
            <w:r w:rsidRPr="00E67AC6">
              <w:rPr>
                <w:b/>
                <w:sz w:val="18"/>
              </w:rPr>
              <w:t>10</w:t>
            </w:r>
          </w:p>
        </w:tc>
        <w:tc>
          <w:tcPr>
            <w:tcW w:w="4111" w:type="dxa"/>
          </w:tcPr>
          <w:p w14:paraId="1E08737B" w14:textId="77777777" w:rsidR="00A34EF2" w:rsidRPr="00E67AC6" w:rsidRDefault="00A34EF2" w:rsidP="001E5877">
            <w:pPr>
              <w:suppressAutoHyphens w:val="0"/>
              <w:spacing w:before="40" w:after="40" w:line="220" w:lineRule="exact"/>
              <w:ind w:right="113"/>
              <w:rPr>
                <w:sz w:val="18"/>
              </w:rPr>
            </w:pPr>
            <w:r w:rsidRPr="00E67AC6">
              <w:rPr>
                <w:sz w:val="18"/>
              </w:rPr>
              <w:t>Addressing the liability concerns</w:t>
            </w:r>
          </w:p>
        </w:tc>
      </w:tr>
      <w:tr w:rsidR="00A34EF2" w:rsidRPr="00E67AC6" w14:paraId="4DCBD3ED" w14:textId="77777777" w:rsidTr="00A34EF2">
        <w:tc>
          <w:tcPr>
            <w:tcW w:w="567" w:type="dxa"/>
            <w:shd w:val="clear" w:color="auto" w:fill="auto"/>
          </w:tcPr>
          <w:p w14:paraId="1EF5B92F" w14:textId="2DA68A86" w:rsidR="00A34EF2" w:rsidRPr="00E67AC6" w:rsidRDefault="00A34EF2" w:rsidP="00C449B3">
            <w:pPr>
              <w:suppressAutoHyphens w:val="0"/>
              <w:spacing w:before="40" w:after="40" w:line="220" w:lineRule="exact"/>
              <w:ind w:right="113"/>
              <w:rPr>
                <w:b/>
                <w:sz w:val="18"/>
              </w:rPr>
            </w:pPr>
            <w:r w:rsidRPr="00E67AC6">
              <w:rPr>
                <w:b/>
                <w:sz w:val="18"/>
              </w:rPr>
              <w:t>11</w:t>
            </w:r>
          </w:p>
        </w:tc>
        <w:tc>
          <w:tcPr>
            <w:tcW w:w="4111" w:type="dxa"/>
          </w:tcPr>
          <w:p w14:paraId="53CDF8CB" w14:textId="77777777" w:rsidR="00A34EF2" w:rsidRPr="00E67AC6" w:rsidRDefault="00A34EF2" w:rsidP="001E5877">
            <w:pPr>
              <w:suppressAutoHyphens w:val="0"/>
              <w:spacing w:before="40" w:after="40" w:line="220" w:lineRule="exact"/>
              <w:ind w:right="113"/>
              <w:rPr>
                <w:b/>
                <w:sz w:val="18"/>
              </w:rPr>
            </w:pPr>
            <w:r w:rsidRPr="00E67AC6">
              <w:rPr>
                <w:sz w:val="18"/>
              </w:rPr>
              <w:t>Harmonizing Variable Message Signs</w:t>
            </w:r>
          </w:p>
        </w:tc>
      </w:tr>
      <w:tr w:rsidR="00A34EF2" w:rsidRPr="00E67AC6" w14:paraId="29C6F397" w14:textId="77777777" w:rsidTr="00A34EF2">
        <w:tc>
          <w:tcPr>
            <w:tcW w:w="567" w:type="dxa"/>
            <w:shd w:val="clear" w:color="auto" w:fill="auto"/>
          </w:tcPr>
          <w:p w14:paraId="2890C3A4" w14:textId="691D1024" w:rsidR="00A34EF2" w:rsidRPr="00E67AC6" w:rsidRDefault="00A34EF2" w:rsidP="00C449B3">
            <w:pPr>
              <w:suppressAutoHyphens w:val="0"/>
              <w:spacing w:before="40" w:after="40" w:line="220" w:lineRule="exact"/>
              <w:ind w:right="113"/>
              <w:rPr>
                <w:b/>
                <w:sz w:val="18"/>
              </w:rPr>
            </w:pPr>
            <w:r w:rsidRPr="00E67AC6">
              <w:rPr>
                <w:b/>
                <w:sz w:val="18"/>
              </w:rPr>
              <w:t>12</w:t>
            </w:r>
          </w:p>
        </w:tc>
        <w:tc>
          <w:tcPr>
            <w:tcW w:w="4111" w:type="dxa"/>
          </w:tcPr>
          <w:p w14:paraId="54AE45FD" w14:textId="77777777" w:rsidR="00A34EF2" w:rsidRPr="00E67AC6" w:rsidRDefault="00A34EF2" w:rsidP="001E5877">
            <w:pPr>
              <w:suppressAutoHyphens w:val="0"/>
              <w:spacing w:before="40" w:after="40" w:line="220" w:lineRule="exact"/>
              <w:ind w:right="113"/>
              <w:rPr>
                <w:b/>
                <w:sz w:val="18"/>
              </w:rPr>
            </w:pPr>
            <w:r w:rsidRPr="00E67AC6">
              <w:rPr>
                <w:sz w:val="18"/>
              </w:rPr>
              <w:t>Making Transport of Dangerous Goods less dangerous</w:t>
            </w:r>
          </w:p>
        </w:tc>
      </w:tr>
      <w:tr w:rsidR="00A34EF2" w:rsidRPr="00E67AC6" w14:paraId="1421FE92" w14:textId="77777777" w:rsidTr="00A34EF2">
        <w:tc>
          <w:tcPr>
            <w:tcW w:w="567" w:type="dxa"/>
            <w:shd w:val="clear" w:color="auto" w:fill="auto"/>
          </w:tcPr>
          <w:p w14:paraId="3632E1CE" w14:textId="1B0130A3" w:rsidR="00A34EF2" w:rsidRPr="00E67AC6" w:rsidRDefault="00A34EF2" w:rsidP="00C449B3">
            <w:pPr>
              <w:suppressAutoHyphens w:val="0"/>
              <w:spacing w:before="40" w:after="40" w:line="220" w:lineRule="exact"/>
              <w:ind w:right="113"/>
              <w:rPr>
                <w:b/>
                <w:sz w:val="18"/>
              </w:rPr>
            </w:pPr>
            <w:r w:rsidRPr="00E67AC6">
              <w:rPr>
                <w:b/>
                <w:sz w:val="18"/>
              </w:rPr>
              <w:t>13</w:t>
            </w:r>
          </w:p>
        </w:tc>
        <w:tc>
          <w:tcPr>
            <w:tcW w:w="4111" w:type="dxa"/>
          </w:tcPr>
          <w:p w14:paraId="590D5D19" w14:textId="77777777" w:rsidR="00A34EF2" w:rsidRPr="00E67AC6" w:rsidRDefault="00A34EF2" w:rsidP="001E5877">
            <w:pPr>
              <w:suppressAutoHyphens w:val="0"/>
              <w:spacing w:before="40" w:after="40" w:line="220" w:lineRule="exact"/>
              <w:ind w:right="113"/>
              <w:rPr>
                <w:b/>
                <w:sz w:val="18"/>
              </w:rPr>
            </w:pPr>
            <w:r w:rsidRPr="00E67AC6">
              <w:rPr>
                <w:sz w:val="18"/>
              </w:rPr>
              <w:t>Integrating with Rail Transport</w:t>
            </w:r>
          </w:p>
        </w:tc>
      </w:tr>
      <w:tr w:rsidR="00A34EF2" w:rsidRPr="00E67AC6" w14:paraId="35668030" w14:textId="77777777" w:rsidTr="00A34EF2">
        <w:tc>
          <w:tcPr>
            <w:tcW w:w="567" w:type="dxa"/>
            <w:shd w:val="clear" w:color="auto" w:fill="auto"/>
          </w:tcPr>
          <w:p w14:paraId="04B8EAC8" w14:textId="17B3A4D9" w:rsidR="00A34EF2" w:rsidRPr="00E67AC6" w:rsidRDefault="00A34EF2" w:rsidP="00C449B3">
            <w:pPr>
              <w:suppressAutoHyphens w:val="0"/>
              <w:spacing w:before="40" w:after="40" w:line="220" w:lineRule="exact"/>
              <w:ind w:right="113"/>
              <w:rPr>
                <w:b/>
                <w:sz w:val="18"/>
              </w:rPr>
            </w:pPr>
            <w:r w:rsidRPr="00E67AC6">
              <w:rPr>
                <w:b/>
                <w:sz w:val="18"/>
              </w:rPr>
              <w:t>14</w:t>
            </w:r>
          </w:p>
        </w:tc>
        <w:tc>
          <w:tcPr>
            <w:tcW w:w="4111" w:type="dxa"/>
          </w:tcPr>
          <w:p w14:paraId="4513A2BE" w14:textId="77777777" w:rsidR="00A34EF2" w:rsidRPr="00E67AC6" w:rsidRDefault="00A34EF2" w:rsidP="001E5877">
            <w:pPr>
              <w:suppressAutoHyphens w:val="0"/>
              <w:spacing w:before="40" w:after="40" w:line="220" w:lineRule="exact"/>
              <w:ind w:right="113"/>
              <w:rPr>
                <w:b/>
                <w:sz w:val="18"/>
              </w:rPr>
            </w:pPr>
            <w:r w:rsidRPr="00E67AC6">
              <w:rPr>
                <w:sz w:val="18"/>
              </w:rPr>
              <w:t>Integrating with Inland Water Transport</w:t>
            </w:r>
          </w:p>
        </w:tc>
      </w:tr>
      <w:tr w:rsidR="00A34EF2" w:rsidRPr="00E67AC6" w14:paraId="08FB47E3" w14:textId="77777777" w:rsidTr="00A34EF2">
        <w:tc>
          <w:tcPr>
            <w:tcW w:w="567" w:type="dxa"/>
            <w:shd w:val="clear" w:color="auto" w:fill="auto"/>
          </w:tcPr>
          <w:p w14:paraId="0635465F" w14:textId="61C7E52F" w:rsidR="00A34EF2" w:rsidRPr="00E67AC6" w:rsidRDefault="00A34EF2" w:rsidP="00C449B3">
            <w:pPr>
              <w:suppressAutoHyphens w:val="0"/>
              <w:spacing w:before="40" w:after="40" w:line="220" w:lineRule="exact"/>
              <w:ind w:right="113"/>
              <w:rPr>
                <w:b/>
                <w:sz w:val="18"/>
              </w:rPr>
            </w:pPr>
            <w:r w:rsidRPr="00E67AC6">
              <w:rPr>
                <w:b/>
                <w:sz w:val="18"/>
              </w:rPr>
              <w:t>15</w:t>
            </w:r>
          </w:p>
        </w:tc>
        <w:tc>
          <w:tcPr>
            <w:tcW w:w="4111" w:type="dxa"/>
          </w:tcPr>
          <w:p w14:paraId="44D968B4" w14:textId="77777777" w:rsidR="00A34EF2" w:rsidRPr="00E67AC6" w:rsidRDefault="00A34EF2" w:rsidP="001E5877">
            <w:pPr>
              <w:suppressAutoHyphens w:val="0"/>
              <w:spacing w:before="40" w:after="40" w:line="220" w:lineRule="exact"/>
              <w:ind w:right="113"/>
              <w:rPr>
                <w:b/>
                <w:sz w:val="18"/>
              </w:rPr>
            </w:pPr>
            <w:r w:rsidRPr="00E67AC6">
              <w:rPr>
                <w:sz w:val="18"/>
              </w:rPr>
              <w:t>Enhancing the modal integrator’s role of ITS</w:t>
            </w:r>
          </w:p>
        </w:tc>
      </w:tr>
      <w:tr w:rsidR="00A34EF2" w:rsidRPr="00E67AC6" w14:paraId="050A6E0A" w14:textId="77777777" w:rsidTr="00A34EF2">
        <w:tc>
          <w:tcPr>
            <w:tcW w:w="567" w:type="dxa"/>
            <w:shd w:val="clear" w:color="auto" w:fill="auto"/>
          </w:tcPr>
          <w:p w14:paraId="74932303" w14:textId="4CB0196F" w:rsidR="00A34EF2" w:rsidRPr="00E67AC6" w:rsidRDefault="00A34EF2" w:rsidP="00C449B3">
            <w:pPr>
              <w:suppressAutoHyphens w:val="0"/>
              <w:spacing w:before="40" w:after="40" w:line="220" w:lineRule="exact"/>
              <w:ind w:right="113"/>
              <w:rPr>
                <w:b/>
                <w:sz w:val="18"/>
              </w:rPr>
            </w:pPr>
            <w:r w:rsidRPr="00E67AC6">
              <w:rPr>
                <w:b/>
                <w:sz w:val="18"/>
              </w:rPr>
              <w:t>16</w:t>
            </w:r>
          </w:p>
        </w:tc>
        <w:tc>
          <w:tcPr>
            <w:tcW w:w="4111" w:type="dxa"/>
          </w:tcPr>
          <w:p w14:paraId="4BB323D9" w14:textId="77777777" w:rsidR="00A34EF2" w:rsidRPr="00E67AC6" w:rsidRDefault="00A34EF2" w:rsidP="001E5877">
            <w:pPr>
              <w:suppressAutoHyphens w:val="0"/>
              <w:spacing w:before="40" w:after="40" w:line="220" w:lineRule="exact"/>
              <w:ind w:right="113"/>
              <w:rPr>
                <w:b/>
                <w:sz w:val="18"/>
              </w:rPr>
            </w:pPr>
            <w:r w:rsidRPr="00E67AC6">
              <w:rPr>
                <w:sz w:val="18"/>
              </w:rPr>
              <w:t>Developing cost-benefit assessment methodologies</w:t>
            </w:r>
          </w:p>
        </w:tc>
      </w:tr>
      <w:tr w:rsidR="00A34EF2" w:rsidRPr="00E67AC6" w14:paraId="228D471C" w14:textId="77777777" w:rsidTr="00A34EF2">
        <w:tc>
          <w:tcPr>
            <w:tcW w:w="567" w:type="dxa"/>
            <w:shd w:val="clear" w:color="auto" w:fill="auto"/>
          </w:tcPr>
          <w:p w14:paraId="43C1F966" w14:textId="1ACC9D9B" w:rsidR="00A34EF2" w:rsidRPr="00E67AC6" w:rsidRDefault="00A34EF2" w:rsidP="00C449B3">
            <w:pPr>
              <w:suppressAutoHyphens w:val="0"/>
              <w:spacing w:before="40" w:after="40" w:line="220" w:lineRule="exact"/>
              <w:ind w:right="113"/>
              <w:rPr>
                <w:b/>
                <w:sz w:val="18"/>
              </w:rPr>
            </w:pPr>
            <w:r w:rsidRPr="00E67AC6">
              <w:rPr>
                <w:b/>
                <w:sz w:val="18"/>
              </w:rPr>
              <w:t>17</w:t>
            </w:r>
          </w:p>
        </w:tc>
        <w:tc>
          <w:tcPr>
            <w:tcW w:w="4111" w:type="dxa"/>
          </w:tcPr>
          <w:p w14:paraId="03898E02" w14:textId="77777777" w:rsidR="00A34EF2" w:rsidRPr="00E67AC6" w:rsidRDefault="00A34EF2" w:rsidP="001E5877">
            <w:pPr>
              <w:suppressAutoHyphens w:val="0"/>
              <w:spacing w:before="40" w:after="40" w:line="220" w:lineRule="exact"/>
              <w:ind w:right="113"/>
              <w:rPr>
                <w:b/>
                <w:sz w:val="18"/>
              </w:rPr>
            </w:pPr>
            <w:r w:rsidRPr="00E67AC6">
              <w:rPr>
                <w:sz w:val="18"/>
              </w:rPr>
              <w:t xml:space="preserve">Contributing to climate change mitigation </w:t>
            </w:r>
            <w:r w:rsidRPr="00E67AC6">
              <w:rPr>
                <w:sz w:val="18"/>
              </w:rPr>
              <w:br/>
              <w:t>and adaption</w:t>
            </w:r>
          </w:p>
        </w:tc>
      </w:tr>
      <w:tr w:rsidR="00A34EF2" w:rsidRPr="00E67AC6" w14:paraId="05842458" w14:textId="77777777" w:rsidTr="00A34EF2">
        <w:tc>
          <w:tcPr>
            <w:tcW w:w="567" w:type="dxa"/>
            <w:shd w:val="clear" w:color="auto" w:fill="auto"/>
          </w:tcPr>
          <w:p w14:paraId="5BF766F2" w14:textId="36C6F476" w:rsidR="00A34EF2" w:rsidRPr="00E67AC6" w:rsidRDefault="00A34EF2" w:rsidP="00C449B3">
            <w:pPr>
              <w:suppressAutoHyphens w:val="0"/>
              <w:spacing w:before="40" w:after="40" w:line="220" w:lineRule="exact"/>
              <w:ind w:right="113"/>
              <w:rPr>
                <w:b/>
                <w:sz w:val="18"/>
              </w:rPr>
            </w:pPr>
            <w:r w:rsidRPr="00E67AC6">
              <w:rPr>
                <w:b/>
                <w:sz w:val="18"/>
              </w:rPr>
              <w:t>18</w:t>
            </w:r>
          </w:p>
        </w:tc>
        <w:tc>
          <w:tcPr>
            <w:tcW w:w="4111" w:type="dxa"/>
          </w:tcPr>
          <w:p w14:paraId="3D35405C" w14:textId="77777777" w:rsidR="00A34EF2" w:rsidRPr="00E67AC6" w:rsidRDefault="00A34EF2" w:rsidP="001E5877">
            <w:pPr>
              <w:suppressAutoHyphens w:val="0"/>
              <w:spacing w:before="40" w:after="40" w:line="220" w:lineRule="exact"/>
              <w:ind w:right="113"/>
              <w:rPr>
                <w:b/>
                <w:sz w:val="18"/>
              </w:rPr>
            </w:pPr>
            <w:r w:rsidRPr="00E67AC6">
              <w:rPr>
                <w:sz w:val="18"/>
              </w:rPr>
              <w:t>Launching analytical work</w:t>
            </w:r>
          </w:p>
        </w:tc>
      </w:tr>
      <w:tr w:rsidR="00A34EF2" w:rsidRPr="00E67AC6" w14:paraId="33241518" w14:textId="77777777" w:rsidTr="00A34EF2">
        <w:tc>
          <w:tcPr>
            <w:tcW w:w="567" w:type="dxa"/>
            <w:shd w:val="clear" w:color="auto" w:fill="auto"/>
          </w:tcPr>
          <w:p w14:paraId="0CBF08BE" w14:textId="099D32B4" w:rsidR="00A34EF2" w:rsidRPr="00E67AC6" w:rsidRDefault="00A34EF2" w:rsidP="00C449B3">
            <w:pPr>
              <w:suppressAutoHyphens w:val="0"/>
              <w:spacing w:before="40" w:after="40" w:line="220" w:lineRule="exact"/>
              <w:ind w:right="113"/>
              <w:rPr>
                <w:b/>
                <w:sz w:val="18"/>
              </w:rPr>
            </w:pPr>
            <w:r w:rsidRPr="00E67AC6">
              <w:rPr>
                <w:b/>
                <w:sz w:val="18"/>
              </w:rPr>
              <w:t>19</w:t>
            </w:r>
          </w:p>
        </w:tc>
        <w:tc>
          <w:tcPr>
            <w:tcW w:w="4111" w:type="dxa"/>
          </w:tcPr>
          <w:p w14:paraId="17BF11F4" w14:textId="77777777" w:rsidR="00A34EF2" w:rsidRPr="00E67AC6" w:rsidRDefault="00A34EF2" w:rsidP="001E5877">
            <w:pPr>
              <w:suppressAutoHyphens w:val="0"/>
              <w:spacing w:before="40" w:after="40" w:line="220" w:lineRule="exact"/>
              <w:ind w:right="113"/>
              <w:rPr>
                <w:b/>
                <w:sz w:val="18"/>
              </w:rPr>
            </w:pPr>
            <w:r w:rsidRPr="00E67AC6">
              <w:rPr>
                <w:sz w:val="18"/>
              </w:rPr>
              <w:t>Contributing to capacity-building, education and awareness-raising, with special attention to emerging economies</w:t>
            </w:r>
          </w:p>
        </w:tc>
      </w:tr>
      <w:tr w:rsidR="00A34EF2" w:rsidRPr="00E67AC6" w14:paraId="0BDB6499" w14:textId="77777777" w:rsidTr="00A34EF2">
        <w:tc>
          <w:tcPr>
            <w:tcW w:w="567" w:type="dxa"/>
            <w:shd w:val="clear" w:color="auto" w:fill="auto"/>
          </w:tcPr>
          <w:p w14:paraId="5336F0A7" w14:textId="6EAEE314" w:rsidR="00A34EF2" w:rsidRPr="00E67AC6" w:rsidRDefault="00A34EF2" w:rsidP="00C449B3">
            <w:pPr>
              <w:suppressAutoHyphens w:val="0"/>
              <w:spacing w:before="40" w:after="40" w:line="220" w:lineRule="exact"/>
              <w:ind w:right="113"/>
              <w:rPr>
                <w:b/>
                <w:sz w:val="18"/>
              </w:rPr>
            </w:pPr>
            <w:r w:rsidRPr="00E67AC6">
              <w:rPr>
                <w:b/>
                <w:sz w:val="18"/>
              </w:rPr>
              <w:t>20</w:t>
            </w:r>
          </w:p>
        </w:tc>
        <w:tc>
          <w:tcPr>
            <w:tcW w:w="4111" w:type="dxa"/>
          </w:tcPr>
          <w:p w14:paraId="7DBB0CAF" w14:textId="77777777" w:rsidR="00A34EF2" w:rsidRPr="00E67AC6" w:rsidRDefault="00A34EF2" w:rsidP="001E5877">
            <w:pPr>
              <w:suppressAutoHyphens w:val="0"/>
              <w:spacing w:before="40" w:after="40" w:line="220" w:lineRule="exact"/>
              <w:ind w:right="113"/>
              <w:rPr>
                <w:sz w:val="18"/>
              </w:rPr>
            </w:pPr>
            <w:r w:rsidRPr="00E67AC6">
              <w:rPr>
                <w:sz w:val="18"/>
              </w:rPr>
              <w:t>Organizing the United Nations annual round table on ITS</w:t>
            </w:r>
          </w:p>
        </w:tc>
      </w:tr>
      <w:tr w:rsidR="00A34EF2" w:rsidRPr="00E67AC6" w14:paraId="1D8CB44E" w14:textId="77777777" w:rsidTr="00A34EF2">
        <w:tc>
          <w:tcPr>
            <w:tcW w:w="567" w:type="dxa"/>
            <w:shd w:val="clear" w:color="auto" w:fill="auto"/>
          </w:tcPr>
          <w:p w14:paraId="7AAF03AA" w14:textId="3208CEDC" w:rsidR="00A34EF2" w:rsidRPr="00C449B3" w:rsidRDefault="00C449B3" w:rsidP="001E5877">
            <w:pPr>
              <w:suppressAutoHyphens w:val="0"/>
              <w:spacing w:before="40" w:after="40" w:line="220" w:lineRule="exact"/>
              <w:ind w:right="113"/>
              <w:rPr>
                <w:b/>
                <w:sz w:val="18"/>
              </w:rPr>
            </w:pPr>
            <w:r w:rsidRPr="00C449B3">
              <w:rPr>
                <w:b/>
                <w:sz w:val="18"/>
              </w:rPr>
              <w:t>21</w:t>
            </w:r>
          </w:p>
        </w:tc>
        <w:tc>
          <w:tcPr>
            <w:tcW w:w="4111" w:type="dxa"/>
          </w:tcPr>
          <w:p w14:paraId="272C98E8" w14:textId="7666EA88" w:rsidR="00A34EF2" w:rsidRPr="00C449B3" w:rsidRDefault="00C449B3" w:rsidP="001E5877">
            <w:pPr>
              <w:suppressAutoHyphens w:val="0"/>
              <w:spacing w:before="40" w:after="40" w:line="220" w:lineRule="exact"/>
              <w:ind w:right="113"/>
              <w:rPr>
                <w:bCs/>
                <w:sz w:val="18"/>
              </w:rPr>
            </w:pPr>
            <w:r>
              <w:rPr>
                <w:bCs/>
                <w:sz w:val="18"/>
              </w:rPr>
              <w:t>Wheeled vehicle a</w:t>
            </w:r>
            <w:r w:rsidR="00A34EF2" w:rsidRPr="00C449B3">
              <w:rPr>
                <w:bCs/>
                <w:sz w:val="18"/>
              </w:rPr>
              <w:t>utomation and emerging technologies.</w:t>
            </w:r>
          </w:p>
        </w:tc>
      </w:tr>
      <w:bookmarkEnd w:id="1"/>
    </w:tbl>
    <w:p w14:paraId="53781A7D" w14:textId="77777777" w:rsidR="00A34EF2" w:rsidRPr="003841F4" w:rsidRDefault="00A34EF2" w:rsidP="003841F4">
      <w:pPr>
        <w:pStyle w:val="SingleTxtG"/>
      </w:pPr>
    </w:p>
    <w:p w14:paraId="31293EB8" w14:textId="0E3F8D72" w:rsidR="00FB2DB5" w:rsidRPr="00A70175" w:rsidRDefault="00C449B3" w:rsidP="00274F56">
      <w:pPr>
        <w:pStyle w:val="HChG"/>
        <w:numPr>
          <w:ilvl w:val="0"/>
          <w:numId w:val="23"/>
        </w:numPr>
        <w:tabs>
          <w:tab w:val="clear" w:pos="851"/>
        </w:tabs>
        <w:spacing w:line="240" w:lineRule="auto"/>
        <w:jc w:val="both"/>
        <w:rPr>
          <w:rFonts w:eastAsia="MS Mincho"/>
        </w:rPr>
      </w:pPr>
      <w:r>
        <w:rPr>
          <w:rFonts w:eastAsia="MS Mincho"/>
        </w:rPr>
        <w:lastRenderedPageBreak/>
        <w:t>Revised</w:t>
      </w:r>
      <w:r w:rsidR="00A34EF2">
        <w:rPr>
          <w:rFonts w:eastAsia="MS Mincho"/>
        </w:rPr>
        <w:t xml:space="preserve"> actions</w:t>
      </w:r>
      <w:r w:rsidR="00CA6A9D">
        <w:rPr>
          <w:rFonts w:eastAsia="MS Mincho"/>
        </w:rPr>
        <w:t xml:space="preserve"> (insertions are marked in bold)</w:t>
      </w:r>
    </w:p>
    <w:p w14:paraId="535E03B0" w14:textId="7D8BA9C6" w:rsidR="00A34EF2" w:rsidRPr="00E67AC6" w:rsidRDefault="00A34EF2" w:rsidP="00A34EF2">
      <w:pPr>
        <w:pStyle w:val="H1G"/>
      </w:pPr>
      <w:r>
        <w:tab/>
        <w:t>A.</w:t>
      </w:r>
      <w:r>
        <w:tab/>
      </w:r>
      <w:r w:rsidRPr="00E67AC6">
        <w:t>Action 1 - Reaching a common definition for ITS</w:t>
      </w:r>
    </w:p>
    <w:p w14:paraId="58C063BB" w14:textId="78969BB2" w:rsidR="00A34EF2" w:rsidRDefault="00A34EF2" w:rsidP="00A34EF2">
      <w:pPr>
        <w:pStyle w:val="SingleTxtG"/>
      </w:pPr>
      <w:r>
        <w:t>1.</w:t>
      </w:r>
      <w:r>
        <w:tab/>
      </w:r>
      <w:r w:rsidRPr="00E67AC6">
        <w:t xml:space="preserve">Applying information technologies in inland transport is generically named “Intelligent Transport Systems” (ITS). However, the ITS framework which provides the ability to gather, organize, </w:t>
      </w:r>
      <w:proofErr w:type="spellStart"/>
      <w:r w:rsidRPr="00E67AC6">
        <w:t>analyze</w:t>
      </w:r>
      <w:proofErr w:type="spellEnd"/>
      <w:r w:rsidRPr="00E67AC6">
        <w:t>, use and share information about transportation systems has different boundaries. Differing economic and development priorities of Governments and institutions drive ITS deployment in different directions. Accordingly, this</w:t>
      </w:r>
      <w:r>
        <w:t xml:space="preserve"> </w:t>
      </w:r>
      <w:r w:rsidRPr="00767FEB">
        <w:rPr>
          <w:b/>
          <w:bCs/>
        </w:rPr>
        <w:t>may</w:t>
      </w:r>
      <w:r w:rsidRPr="00E67AC6">
        <w:t xml:space="preserve"> lead to a lack of understanding</w:t>
      </w:r>
      <w:r>
        <w:t xml:space="preserve"> </w:t>
      </w:r>
      <w:r w:rsidRPr="00767FEB">
        <w:rPr>
          <w:b/>
          <w:bCs/>
        </w:rPr>
        <w:t>across borders</w:t>
      </w:r>
      <w:r>
        <w:t>.</w:t>
      </w:r>
      <w:r w:rsidRPr="00E67AC6">
        <w:t xml:space="preserve"> </w:t>
      </w:r>
      <w:r>
        <w:t>T</w:t>
      </w:r>
      <w:r w:rsidRPr="00E67AC6">
        <w:t>hus a commonly agreed upon</w:t>
      </w:r>
      <w:r>
        <w:t xml:space="preserve">, </w:t>
      </w:r>
      <w:proofErr w:type="spellStart"/>
      <w:proofErr w:type="gramStart"/>
      <w:r w:rsidRPr="00767FEB">
        <w:rPr>
          <w:b/>
          <w:bCs/>
        </w:rPr>
        <w:t>harmonized</w:t>
      </w:r>
      <w:r>
        <w:t>,</w:t>
      </w:r>
      <w:r w:rsidRPr="00E67AC6">
        <w:t>definition</w:t>
      </w:r>
      <w:proofErr w:type="spellEnd"/>
      <w:proofErr w:type="gramEnd"/>
      <w:r w:rsidRPr="00E67AC6">
        <w:t xml:space="preserve"> of ITS is warranted. </w:t>
      </w:r>
    </w:p>
    <w:p w14:paraId="67BEF33E" w14:textId="63D5E7D4" w:rsidR="00A34EF2" w:rsidRDefault="00A34EF2" w:rsidP="00A34EF2">
      <w:pPr>
        <w:pStyle w:val="SingleTxtG"/>
      </w:pPr>
      <w:r>
        <w:t>2.</w:t>
      </w:r>
      <w:r>
        <w:tab/>
      </w:r>
      <w:r w:rsidRPr="00E67AC6">
        <w:t>A myriad of variations exists, and different definitions are used. As a global partner, UNECE endeavours to facilitate the dialogue about ITS deployment, which should lead to a common definition that is used by all stakeholders. This definition should be designed in a holistic way.</w:t>
      </w:r>
    </w:p>
    <w:p w14:paraId="23868A76" w14:textId="5754ECA0" w:rsidR="00A34EF2" w:rsidRPr="00A34EF2" w:rsidRDefault="00A34EF2" w:rsidP="00A34EF2">
      <w:pPr>
        <w:pStyle w:val="H1G"/>
      </w:pPr>
      <w:r>
        <w:tab/>
        <w:t>B.</w:t>
      </w:r>
      <w:r>
        <w:tab/>
      </w:r>
      <w:r w:rsidRPr="00A34EF2">
        <w:t>Action 2 - Harmonising policies</w:t>
      </w:r>
      <w:r w:rsidR="00767FEB">
        <w:t xml:space="preserve"> (unchanged)</w:t>
      </w:r>
    </w:p>
    <w:p w14:paraId="7B7A8AC9" w14:textId="183FCCA0" w:rsidR="00A34EF2" w:rsidRDefault="00C449B3" w:rsidP="00A34EF2">
      <w:pPr>
        <w:pStyle w:val="SingleTxtG"/>
      </w:pPr>
      <w:r>
        <w:t>3.</w:t>
      </w:r>
      <w:r>
        <w:tab/>
      </w:r>
      <w:r w:rsidR="00A34EF2" w:rsidRPr="00E67AC6">
        <w:t>The lack of harmonized policies for ITS deployment</w:t>
      </w:r>
      <w:r w:rsidR="00A34EF2">
        <w:t xml:space="preserve"> </w:t>
      </w:r>
      <w:r w:rsidR="00A34EF2" w:rsidRPr="00E67AC6">
        <w:t xml:space="preserve">at global, and </w:t>
      </w:r>
      <w:proofErr w:type="gramStart"/>
      <w:r w:rsidR="00A34EF2" w:rsidRPr="00E67AC6">
        <w:t>in particular at</w:t>
      </w:r>
      <w:proofErr w:type="gramEnd"/>
      <w:r w:rsidR="00A34EF2" w:rsidRPr="00E67AC6">
        <w:t xml:space="preserve"> the Pan-European</w:t>
      </w:r>
      <w:r w:rsidR="00A34EF2">
        <w:t xml:space="preserve"> </w:t>
      </w:r>
      <w:r w:rsidR="00A34EF2" w:rsidRPr="00E67AC6">
        <w:t>level hampers the implementation of already existing</w:t>
      </w:r>
      <w:r w:rsidR="00A34EF2">
        <w:t xml:space="preserve"> </w:t>
      </w:r>
      <w:r w:rsidR="00A34EF2" w:rsidRPr="00E67AC6">
        <w:t>solutions.</w:t>
      </w:r>
      <w:r w:rsidR="00A34EF2">
        <w:t xml:space="preserve"> </w:t>
      </w:r>
    </w:p>
    <w:p w14:paraId="272B2A85" w14:textId="1428AF1A" w:rsidR="00A34EF2" w:rsidRPr="00E67AC6" w:rsidRDefault="00C449B3" w:rsidP="00A34EF2">
      <w:pPr>
        <w:pStyle w:val="SingleTxtG"/>
      </w:pPr>
      <w:r>
        <w:t>4.</w:t>
      </w:r>
      <w:r>
        <w:tab/>
      </w:r>
      <w:r w:rsidR="00A34EF2" w:rsidRPr="00E67AC6">
        <w:t>In this context, the UNECE offers an advantageous</w:t>
      </w:r>
      <w:r w:rsidR="00A34EF2">
        <w:t xml:space="preserve"> </w:t>
      </w:r>
      <w:r w:rsidR="00A34EF2" w:rsidRPr="00E67AC6">
        <w:t>platform through its intergovernmental structures</w:t>
      </w:r>
      <w:r w:rsidR="00A34EF2">
        <w:t xml:space="preserve"> </w:t>
      </w:r>
      <w:r w:rsidR="00A34EF2" w:rsidRPr="00E67AC6">
        <w:t>(such as the World Forum for Harmonization of Vehicle</w:t>
      </w:r>
      <w:r w:rsidR="00A34EF2">
        <w:t xml:space="preserve"> </w:t>
      </w:r>
      <w:r w:rsidR="00A34EF2" w:rsidRPr="00E67AC6">
        <w:t>Regulations and other Working Parties) to lead</w:t>
      </w:r>
      <w:r w:rsidR="00A34EF2">
        <w:t xml:space="preserve"> </w:t>
      </w:r>
      <w:r w:rsidR="00A34EF2" w:rsidRPr="00E67AC6">
        <w:t>and collaborate in shaping key ITS strategies, such</w:t>
      </w:r>
      <w:r w:rsidR="00A34EF2">
        <w:t xml:space="preserve"> </w:t>
      </w:r>
      <w:r w:rsidR="00A34EF2" w:rsidRPr="00E67AC6">
        <w:t>as harmonization and deployment. Within such a</w:t>
      </w:r>
      <w:r w:rsidR="00A34EF2">
        <w:t xml:space="preserve"> </w:t>
      </w:r>
      <w:r w:rsidR="00A34EF2" w:rsidRPr="00E67AC6">
        <w:t>framework, ITS infrastructure and services could</w:t>
      </w:r>
      <w:r w:rsidR="00A34EF2">
        <w:t xml:space="preserve"> </w:t>
      </w:r>
      <w:r w:rsidR="00A34EF2" w:rsidRPr="00E67AC6">
        <w:t>be more effectively planned and, coordinated, and</w:t>
      </w:r>
      <w:r w:rsidR="00A34EF2">
        <w:t xml:space="preserve"> </w:t>
      </w:r>
      <w:r w:rsidR="00A34EF2" w:rsidRPr="00E67AC6">
        <w:t>efficiently implemented both in terms of technical</w:t>
      </w:r>
      <w:r w:rsidR="00A34EF2">
        <w:t xml:space="preserve"> </w:t>
      </w:r>
      <w:r w:rsidR="00A34EF2" w:rsidRPr="00E67AC6">
        <w:t>regulations and legal instruments. When developed</w:t>
      </w:r>
      <w:r w:rsidR="00A34EF2">
        <w:t xml:space="preserve"> </w:t>
      </w:r>
      <w:r w:rsidR="00A34EF2" w:rsidRPr="00E67AC6">
        <w:t>through harmonized national policies, a common</w:t>
      </w:r>
      <w:r w:rsidR="00A34EF2">
        <w:t xml:space="preserve"> </w:t>
      </w:r>
      <w:r w:rsidR="00A34EF2" w:rsidRPr="00E67AC6">
        <w:t>ITS deployment strategy would be more effective</w:t>
      </w:r>
      <w:r w:rsidR="00A34EF2">
        <w:t xml:space="preserve"> </w:t>
      </w:r>
      <w:r w:rsidR="00A34EF2" w:rsidRPr="00E67AC6">
        <w:t>in offering a reliable, safe and seamless journey both</w:t>
      </w:r>
      <w:r w:rsidR="00A34EF2">
        <w:t xml:space="preserve"> </w:t>
      </w:r>
      <w:r w:rsidR="00A34EF2" w:rsidRPr="00E67AC6">
        <w:t>for freight and passengers at a global level.</w:t>
      </w:r>
    </w:p>
    <w:p w14:paraId="3E0B0091" w14:textId="767741F5" w:rsidR="00A34EF2" w:rsidRPr="00E67AC6" w:rsidRDefault="00A34EF2" w:rsidP="00A34EF2">
      <w:pPr>
        <w:pStyle w:val="H1G"/>
      </w:pPr>
      <w:r>
        <w:tab/>
        <w:t>C.</w:t>
      </w:r>
      <w:r>
        <w:tab/>
      </w:r>
      <w:r w:rsidRPr="00E67AC6">
        <w:t>Action 3</w:t>
      </w:r>
      <w:r>
        <w:t xml:space="preserve">- </w:t>
      </w:r>
      <w:r w:rsidRPr="00E67AC6">
        <w:t>Forging International cooperation</w:t>
      </w:r>
    </w:p>
    <w:p w14:paraId="472182C2" w14:textId="70068A44" w:rsidR="00A34EF2" w:rsidRDefault="00C449B3" w:rsidP="00A34EF2">
      <w:pPr>
        <w:pStyle w:val="SingleTxtG"/>
      </w:pPr>
      <w:r>
        <w:t>5.</w:t>
      </w:r>
      <w:r>
        <w:tab/>
      </w:r>
      <w:r w:rsidR="00A34EF2" w:rsidRPr="00767FEB">
        <w:rPr>
          <w:b/>
          <w:bCs/>
        </w:rPr>
        <w:t>The status and implementation of the UNECE ITS Road Map until 2020</w:t>
      </w:r>
      <w:r w:rsidR="00A34EF2">
        <w:t xml:space="preserve"> </w:t>
      </w:r>
      <w:r w:rsidR="00A34EF2" w:rsidRPr="00E67AC6">
        <w:t>showed that Governments and stakeholders support</w:t>
      </w:r>
      <w:r w:rsidR="00A34EF2">
        <w:t xml:space="preserve"> </w:t>
      </w:r>
      <w:r w:rsidR="00A34EF2" w:rsidRPr="00E67AC6">
        <w:t>the work of UNECE in this field, especially its</w:t>
      </w:r>
      <w:r w:rsidR="00A34EF2">
        <w:t xml:space="preserve"> </w:t>
      </w:r>
      <w:r w:rsidR="00A34EF2" w:rsidRPr="00E67AC6">
        <w:t>regulatory work</w:t>
      </w:r>
      <w:r w:rsidR="00A34EF2">
        <w:t>,</w:t>
      </w:r>
      <w:r w:rsidR="00A34EF2" w:rsidRPr="00767FEB">
        <w:rPr>
          <w:b/>
          <w:bCs/>
        </w:rPr>
        <w:t xml:space="preserve"> as ITS can provide benefits in terms of safety, environmental protection, energy efficiency and traffic management, and support the advancement towards numerous goals and targets within the UN Sustainable Development Agenda (SDGs) and the Decade of Action</w:t>
      </w:r>
      <w:r w:rsidR="00767FEB">
        <w:rPr>
          <w:b/>
          <w:bCs/>
        </w:rPr>
        <w:t>.</w:t>
      </w:r>
      <w:r w:rsidR="00A34EF2" w:rsidRPr="00E67AC6">
        <w:t xml:space="preserve"> In addition, </w:t>
      </w:r>
      <w:r w:rsidR="00A34EF2" w:rsidRPr="00767FEB">
        <w:rPr>
          <w:b/>
          <w:bCs/>
        </w:rPr>
        <w:t>UNECE</w:t>
      </w:r>
      <w:r w:rsidR="00A34EF2">
        <w:t>s</w:t>
      </w:r>
      <w:r w:rsidR="00A34EF2" w:rsidRPr="00E67AC6">
        <w:t xml:space="preserve"> bridging function</w:t>
      </w:r>
      <w:r w:rsidR="00A34EF2">
        <w:t xml:space="preserve"> </w:t>
      </w:r>
      <w:r w:rsidR="00A34EF2" w:rsidRPr="00E67AC6">
        <w:t>as the platform for international cooperation in</w:t>
      </w:r>
      <w:r w:rsidR="00A34EF2">
        <w:t xml:space="preserve"> </w:t>
      </w:r>
      <w:r w:rsidR="00A34EF2" w:rsidRPr="00E67AC6">
        <w:t xml:space="preserve">transport, </w:t>
      </w:r>
      <w:proofErr w:type="gramStart"/>
      <w:r w:rsidR="00A34EF2" w:rsidRPr="00E67AC6">
        <w:t>in particular with</w:t>
      </w:r>
      <w:proofErr w:type="gramEnd"/>
      <w:r w:rsidR="00A34EF2" w:rsidRPr="00E67AC6">
        <w:t xml:space="preserve"> non-EU countries</w:t>
      </w:r>
      <w:r w:rsidR="00A34EF2">
        <w:t>,</w:t>
      </w:r>
      <w:r w:rsidR="00A34EF2" w:rsidRPr="00E67AC6">
        <w:t xml:space="preserve"> is</w:t>
      </w:r>
      <w:r w:rsidR="00A34EF2">
        <w:t xml:space="preserve"> </w:t>
      </w:r>
      <w:r w:rsidR="00A34EF2" w:rsidRPr="00E67AC6">
        <w:t>seen as an added value. International cooperation</w:t>
      </w:r>
      <w:r w:rsidR="00A34EF2">
        <w:t xml:space="preserve"> </w:t>
      </w:r>
      <w:r w:rsidR="00A34EF2" w:rsidRPr="00E67AC6">
        <w:t>is considered essential for a successful change towards</w:t>
      </w:r>
      <w:r w:rsidR="00A34EF2">
        <w:t xml:space="preserve"> </w:t>
      </w:r>
      <w:r w:rsidR="00A34EF2" w:rsidRPr="00E67AC6">
        <w:t>future needs for mobility. UNECE is encouraged</w:t>
      </w:r>
      <w:r w:rsidR="00A34EF2">
        <w:t xml:space="preserve"> </w:t>
      </w:r>
      <w:r w:rsidR="00A34EF2" w:rsidRPr="00E67AC6">
        <w:t>to continue working in close cooperation with</w:t>
      </w:r>
      <w:r w:rsidR="00A34EF2">
        <w:t xml:space="preserve"> </w:t>
      </w:r>
      <w:r w:rsidR="00A34EF2" w:rsidRPr="00E67AC6">
        <w:t xml:space="preserve">the European Union, international </w:t>
      </w:r>
      <w:r w:rsidR="00A34EF2">
        <w:t>o</w:t>
      </w:r>
      <w:r w:rsidR="00A34EF2" w:rsidRPr="00E67AC6">
        <w:t>rganizations</w:t>
      </w:r>
      <w:r w:rsidR="00A34EF2">
        <w:t xml:space="preserve"> </w:t>
      </w:r>
      <w:r w:rsidR="00A34EF2" w:rsidRPr="00E67AC6">
        <w:t>and other relevant stakeholders.</w:t>
      </w:r>
      <w:r w:rsidR="00A34EF2">
        <w:t xml:space="preserve"> </w:t>
      </w:r>
    </w:p>
    <w:p w14:paraId="6BA21C46" w14:textId="574C6478" w:rsidR="00A34EF2" w:rsidRPr="00E67AC6" w:rsidRDefault="00A34EF2" w:rsidP="00A34EF2">
      <w:pPr>
        <w:pStyle w:val="H1G"/>
      </w:pPr>
      <w:r>
        <w:tab/>
        <w:t>D.</w:t>
      </w:r>
      <w:r>
        <w:tab/>
      </w:r>
      <w:r w:rsidRPr="00E67AC6">
        <w:t>Action 4 - Facilitating interoperability and the ITS architecture</w:t>
      </w:r>
    </w:p>
    <w:p w14:paraId="4523946D" w14:textId="01B8F74C" w:rsidR="00A34EF2" w:rsidRPr="00A47C2E" w:rsidRDefault="00C449B3" w:rsidP="00A34EF2">
      <w:pPr>
        <w:pStyle w:val="SingleTxtG"/>
        <w:rPr>
          <w:rFonts w:eastAsiaTheme="minorEastAsia"/>
          <w:lang w:eastAsia="zh-CN"/>
        </w:rPr>
      </w:pPr>
      <w:r>
        <w:rPr>
          <w:rFonts w:eastAsiaTheme="minorEastAsia"/>
          <w:lang w:eastAsia="zh-CN"/>
        </w:rPr>
        <w:t>6.</w:t>
      </w:r>
      <w:r>
        <w:rPr>
          <w:rFonts w:eastAsiaTheme="minorEastAsia"/>
          <w:lang w:eastAsia="zh-CN"/>
        </w:rPr>
        <w:tab/>
      </w:r>
      <w:r w:rsidR="00A34EF2" w:rsidRPr="00A47C2E">
        <w:rPr>
          <w:rFonts w:eastAsiaTheme="minorEastAsia"/>
          <w:lang w:eastAsia="zh-CN"/>
        </w:rPr>
        <w:t xml:space="preserve">Innovative technologies in various transport fields are rapidly developing and made available. Given that the design and industrial development cycle of innovative technologies is shorter than the policy cycle, national regulatory authorities often </w:t>
      </w:r>
      <w:proofErr w:type="gramStart"/>
      <w:r w:rsidR="00A34EF2" w:rsidRPr="00A47C2E">
        <w:rPr>
          <w:rFonts w:eastAsiaTheme="minorEastAsia"/>
          <w:lang w:eastAsia="zh-CN"/>
        </w:rPr>
        <w:t>lag behind</w:t>
      </w:r>
      <w:proofErr w:type="gramEnd"/>
      <w:r w:rsidR="00A34EF2" w:rsidRPr="00A47C2E">
        <w:rPr>
          <w:rFonts w:eastAsiaTheme="minorEastAsia"/>
          <w:lang w:eastAsia="zh-CN"/>
        </w:rPr>
        <w:t xml:space="preserve">, but this is particularly evident at the international level. This leads to technical fragmentation and eventual interoperability issues within and across the countries. Therefore, efforts to speed up development and implementation of regulations and agreements on technical and technological compatibility are warranted. </w:t>
      </w:r>
    </w:p>
    <w:p w14:paraId="01020220" w14:textId="3A7C6A17" w:rsidR="00A34EF2" w:rsidRPr="00A47C2E" w:rsidRDefault="00C449B3" w:rsidP="00A34EF2">
      <w:pPr>
        <w:pStyle w:val="SingleTxtG"/>
        <w:rPr>
          <w:rFonts w:eastAsiaTheme="minorEastAsia"/>
          <w:lang w:eastAsia="zh-CN"/>
        </w:rPr>
      </w:pPr>
      <w:r>
        <w:rPr>
          <w:rFonts w:eastAsiaTheme="minorEastAsia"/>
          <w:lang w:eastAsia="zh-CN"/>
        </w:rPr>
        <w:t>7.</w:t>
      </w:r>
      <w:r>
        <w:rPr>
          <w:rFonts w:eastAsiaTheme="minorEastAsia"/>
          <w:lang w:eastAsia="zh-CN"/>
        </w:rPr>
        <w:tab/>
      </w:r>
      <w:r w:rsidR="00A34EF2" w:rsidRPr="00A47C2E">
        <w:rPr>
          <w:rFonts w:eastAsiaTheme="minorEastAsia"/>
          <w:lang w:eastAsia="zh-CN"/>
        </w:rPr>
        <w:t xml:space="preserve">Some countries, like Japan and the United States of America have opted for an ITS architecture to avoid the problem of lack of interoperability and compatibility, and at the same time to ensure the necessary freedom for innovations and entrepreneurial initiatives. </w:t>
      </w:r>
      <w:r w:rsidR="00A34EF2" w:rsidRPr="00A47C2E">
        <w:rPr>
          <w:rFonts w:eastAsiaTheme="minorEastAsia"/>
          <w:lang w:eastAsia="zh-CN"/>
        </w:rPr>
        <w:lastRenderedPageBreak/>
        <w:t xml:space="preserve">The ITS architecture offers a technology neutral map of services incorporating current systems into future strategies. With a properly developed and implemented architecture, Governments and stakeholders can identify both the services required by users and the sources of data for those services. Such architecture can also describe how to optimize, coordinate, structure and share data sources and information services for the common benefit of the users. </w:t>
      </w:r>
    </w:p>
    <w:p w14:paraId="45184803" w14:textId="11051B01" w:rsidR="00A34EF2" w:rsidRPr="00A47C2E" w:rsidRDefault="00C449B3" w:rsidP="00A34EF2">
      <w:pPr>
        <w:pStyle w:val="SingleTxtG"/>
        <w:rPr>
          <w:rFonts w:eastAsiaTheme="minorEastAsia"/>
          <w:lang w:eastAsia="zh-CN"/>
        </w:rPr>
      </w:pPr>
      <w:r>
        <w:rPr>
          <w:rFonts w:eastAsiaTheme="minorEastAsia"/>
          <w:lang w:eastAsia="zh-CN"/>
        </w:rPr>
        <w:t>8.</w:t>
      </w:r>
      <w:r>
        <w:rPr>
          <w:rFonts w:eastAsiaTheme="minorEastAsia"/>
          <w:lang w:eastAsia="zh-CN"/>
        </w:rPr>
        <w:tab/>
      </w:r>
      <w:r w:rsidR="00A34EF2" w:rsidRPr="00A47C2E">
        <w:rPr>
          <w:rFonts w:eastAsiaTheme="minorEastAsia"/>
          <w:lang w:eastAsia="zh-CN"/>
        </w:rPr>
        <w:t xml:space="preserve">Additionally, through the sharing of data, services and information, the overall cost and the cost of providing each component of the system are reduced. The ability for the private sector to operate effectively is enhanced because already available data from existing systems could be shared at a lower cost. </w:t>
      </w:r>
    </w:p>
    <w:p w14:paraId="4F8F7262" w14:textId="47560605" w:rsidR="00A34EF2" w:rsidRPr="00A47C2E" w:rsidRDefault="00C449B3" w:rsidP="00A34EF2">
      <w:pPr>
        <w:pStyle w:val="SingleTxtG"/>
        <w:rPr>
          <w:rFonts w:eastAsiaTheme="minorEastAsia"/>
          <w:lang w:eastAsia="zh-CN"/>
        </w:rPr>
      </w:pPr>
      <w:r>
        <w:rPr>
          <w:rFonts w:eastAsiaTheme="minorEastAsia"/>
          <w:lang w:eastAsia="zh-CN"/>
        </w:rPr>
        <w:t>9.</w:t>
      </w:r>
      <w:r>
        <w:rPr>
          <w:rFonts w:eastAsiaTheme="minorEastAsia"/>
          <w:lang w:eastAsia="zh-CN"/>
        </w:rPr>
        <w:tab/>
      </w:r>
      <w:r w:rsidR="00A34EF2" w:rsidRPr="00A47C2E">
        <w:rPr>
          <w:rFonts w:eastAsiaTheme="minorEastAsia"/>
          <w:lang w:eastAsia="zh-CN"/>
        </w:rPr>
        <w:t xml:space="preserve">The European Union (EU) has launched major initiatives to overcome the slow and fragmented uptake and deployment of ITS </w:t>
      </w:r>
      <w:proofErr w:type="gramStart"/>
      <w:r w:rsidR="00A34EF2" w:rsidRPr="00A47C2E">
        <w:rPr>
          <w:rFonts w:eastAsiaTheme="minorEastAsia"/>
          <w:lang w:eastAsia="zh-CN"/>
        </w:rPr>
        <w:t>in road</w:t>
      </w:r>
      <w:proofErr w:type="gramEnd"/>
      <w:r w:rsidR="00A34EF2" w:rsidRPr="00A47C2E">
        <w:rPr>
          <w:rFonts w:eastAsiaTheme="minorEastAsia"/>
          <w:lang w:eastAsia="zh-CN"/>
        </w:rPr>
        <w:t xml:space="preserve"> transport. The European Commission’s ITS Action Plan and – in the form of the ITS Directive - dedicated EU legislation on ITS together constitute a concerted policy framework to boost ITS across Europe. </w:t>
      </w:r>
    </w:p>
    <w:p w14:paraId="4D23EFFE" w14:textId="18D81283" w:rsidR="00A34EF2" w:rsidRPr="00A47C2E" w:rsidRDefault="00C449B3" w:rsidP="00A34EF2">
      <w:pPr>
        <w:pStyle w:val="SingleTxtG"/>
        <w:rPr>
          <w:rFonts w:eastAsiaTheme="minorEastAsia"/>
          <w:lang w:eastAsia="zh-CN"/>
        </w:rPr>
      </w:pPr>
      <w:r>
        <w:rPr>
          <w:rFonts w:eastAsiaTheme="minorEastAsia"/>
          <w:lang w:eastAsia="zh-CN"/>
        </w:rPr>
        <w:t>10.</w:t>
      </w:r>
      <w:r>
        <w:rPr>
          <w:rFonts w:eastAsiaTheme="minorEastAsia"/>
          <w:lang w:eastAsia="zh-CN"/>
        </w:rPr>
        <w:tab/>
      </w:r>
      <w:r w:rsidR="00A34EF2" w:rsidRPr="00A47C2E">
        <w:rPr>
          <w:rFonts w:eastAsiaTheme="minorEastAsia"/>
          <w:lang w:eastAsia="zh-CN"/>
        </w:rPr>
        <w:t>With these two complementary elements in place, the EU Road Map is now clearly set</w:t>
      </w:r>
      <w:r w:rsidR="00A34EF2">
        <w:rPr>
          <w:rFonts w:eastAsiaTheme="minorEastAsia"/>
          <w:lang w:eastAsia="zh-CN"/>
        </w:rPr>
        <w:t>,</w:t>
      </w:r>
      <w:r w:rsidR="00A34EF2" w:rsidRPr="00A47C2E">
        <w:rPr>
          <w:rFonts w:eastAsiaTheme="minorEastAsia"/>
          <w:lang w:eastAsia="zh-CN"/>
        </w:rPr>
        <w:t xml:space="preserve"> and the tools are available to bring ITS deployment into a new era where integrated, interoperable systems and seamless transport services become the norm for Europe’s road transport system. EU Directive 2010/40 of the European Parliament and of the Council on the framework for the deployment of Intelligent Transport Systems in the field of road transport and for interfaces with other modes of transport was adopted in 2010 and entered into force later that year. The deadline for transposition by member States was set to February 2012. </w:t>
      </w:r>
    </w:p>
    <w:p w14:paraId="76BACDAB" w14:textId="72EF2D8C" w:rsidR="00A34EF2" w:rsidRPr="00A47C2E" w:rsidRDefault="00C449B3" w:rsidP="00A34EF2">
      <w:pPr>
        <w:pStyle w:val="SingleTxtG"/>
      </w:pPr>
      <w:r>
        <w:rPr>
          <w:rFonts w:eastAsiaTheme="minorEastAsia"/>
          <w:lang w:eastAsia="zh-CN"/>
        </w:rPr>
        <w:t>11.</w:t>
      </w:r>
      <w:r>
        <w:rPr>
          <w:rFonts w:eastAsiaTheme="minorEastAsia"/>
          <w:lang w:eastAsia="zh-CN"/>
        </w:rPr>
        <w:tab/>
      </w:r>
      <w:r w:rsidR="00A34EF2" w:rsidRPr="00A47C2E">
        <w:rPr>
          <w:rFonts w:eastAsiaTheme="minorEastAsia"/>
          <w:lang w:eastAsia="zh-CN"/>
        </w:rPr>
        <w:t xml:space="preserve">This development </w:t>
      </w:r>
      <w:r w:rsidR="00A34EF2" w:rsidRPr="00767FEB">
        <w:rPr>
          <w:rFonts w:eastAsiaTheme="minorEastAsia"/>
          <w:b/>
          <w:bCs/>
          <w:lang w:eastAsia="zh-CN"/>
        </w:rPr>
        <w:t>was</w:t>
      </w:r>
      <w:r w:rsidR="00A34EF2" w:rsidRPr="00A47C2E">
        <w:rPr>
          <w:rFonts w:eastAsiaTheme="minorEastAsia"/>
          <w:lang w:eastAsia="zh-CN"/>
        </w:rPr>
        <w:t xml:space="preserve"> an encouraging step towards the systematic and comprehensive implementation of ITS in the EU member countries. However, the full effect and the benefits of the ITS implementation could only be achieved and multiplied if a complementary strategy is developed for all other non-EU UNECE member countries at the pan-European level. It is with this objective that the </w:t>
      </w:r>
      <w:r w:rsidR="00A34EF2" w:rsidRPr="00767FEB">
        <w:rPr>
          <w:rFonts w:eastAsiaTheme="minorEastAsia"/>
          <w:b/>
          <w:bCs/>
          <w:lang w:eastAsia="zh-CN"/>
        </w:rPr>
        <w:t>updated</w:t>
      </w:r>
      <w:r w:rsidR="00A34EF2">
        <w:rPr>
          <w:rFonts w:eastAsiaTheme="minorEastAsia"/>
          <w:lang w:eastAsia="zh-CN"/>
        </w:rPr>
        <w:t xml:space="preserve"> </w:t>
      </w:r>
      <w:r w:rsidR="00A34EF2" w:rsidRPr="00A47C2E">
        <w:rPr>
          <w:rFonts w:eastAsiaTheme="minorEastAsia"/>
          <w:lang w:eastAsia="zh-CN"/>
        </w:rPr>
        <w:t xml:space="preserve">UNECE Road Map for ITS are being developed. </w:t>
      </w:r>
      <w:r w:rsidR="00A34EF2" w:rsidRPr="00767FEB">
        <w:rPr>
          <w:rFonts w:eastAsiaTheme="minorEastAsia"/>
          <w:b/>
          <w:bCs/>
          <w:lang w:eastAsia="zh-CN"/>
        </w:rPr>
        <w:t>It</w:t>
      </w:r>
      <w:r w:rsidR="00A34EF2" w:rsidRPr="00A47C2E">
        <w:rPr>
          <w:rFonts w:eastAsiaTheme="minorEastAsia"/>
          <w:lang w:eastAsia="zh-CN"/>
        </w:rPr>
        <w:t xml:space="preserve"> will harmonize and ensure full coverage and implementation of the commonly adopted strategy throughout its 56 member countries.</w:t>
      </w:r>
    </w:p>
    <w:p w14:paraId="7771169F" w14:textId="5DF15FF2" w:rsidR="00A34EF2" w:rsidRPr="00A47C2E" w:rsidRDefault="00A34EF2" w:rsidP="00A34EF2">
      <w:pPr>
        <w:pStyle w:val="H1G"/>
      </w:pPr>
      <w:r>
        <w:tab/>
        <w:t>E.</w:t>
      </w:r>
      <w:r>
        <w:tab/>
      </w:r>
      <w:r w:rsidRPr="00A47C2E">
        <w:t>Action 5 - Ensuring data security</w:t>
      </w:r>
      <w:r w:rsidR="00767FEB">
        <w:t xml:space="preserve"> (unchanged)</w:t>
      </w:r>
    </w:p>
    <w:p w14:paraId="487DDB8E" w14:textId="383C7248" w:rsidR="00A34EF2" w:rsidRPr="00A47C2E" w:rsidRDefault="00C449B3" w:rsidP="00A34EF2">
      <w:pPr>
        <w:pStyle w:val="SingleTxtG"/>
      </w:pPr>
      <w:r>
        <w:rPr>
          <w:rFonts w:eastAsiaTheme="minorEastAsia"/>
          <w:lang w:eastAsia="zh-CN"/>
        </w:rPr>
        <w:t>12.</w:t>
      </w:r>
      <w:r>
        <w:rPr>
          <w:rFonts w:eastAsiaTheme="minorEastAsia"/>
          <w:lang w:eastAsia="zh-CN"/>
        </w:rPr>
        <w:tab/>
      </w:r>
      <w:r w:rsidR="00A34EF2" w:rsidRPr="00A47C2E">
        <w:rPr>
          <w:rFonts w:eastAsiaTheme="minorEastAsia"/>
          <w:lang w:eastAsia="zh-CN"/>
        </w:rPr>
        <w:t xml:space="preserve">Security and privacy concerns could become potential barriers to ITS deployment. Data losses and the danger of identity theft could reduce the potential performance and benefits of ITS. ITS </w:t>
      </w:r>
      <w:proofErr w:type="gramStart"/>
      <w:r w:rsidR="00A34EF2" w:rsidRPr="00A47C2E">
        <w:rPr>
          <w:rFonts w:eastAsiaTheme="minorEastAsia"/>
          <w:lang w:eastAsia="zh-CN"/>
        </w:rPr>
        <w:t>have to</w:t>
      </w:r>
      <w:proofErr w:type="gramEnd"/>
      <w:r w:rsidR="00A34EF2" w:rsidRPr="00A47C2E">
        <w:rPr>
          <w:rFonts w:eastAsiaTheme="minorEastAsia"/>
          <w:lang w:eastAsia="zh-CN"/>
        </w:rPr>
        <w:t xml:space="preserve"> be implemented by way of viable business cases that require consistent standards and regulations on liability and highest levels of security for personal data. Future UNECE ITS legislation will ensure protection of privacy and data security.</w:t>
      </w:r>
    </w:p>
    <w:p w14:paraId="1F5CB1ED" w14:textId="60DE0EAC" w:rsidR="00A34EF2" w:rsidRPr="00A47C2E" w:rsidRDefault="006B7AF4" w:rsidP="00A34EF2">
      <w:pPr>
        <w:pStyle w:val="H1G"/>
      </w:pPr>
      <w:r>
        <w:tab/>
        <w:t>F.</w:t>
      </w:r>
      <w:r>
        <w:tab/>
      </w:r>
      <w:r w:rsidR="00A34EF2" w:rsidRPr="00A47C2E">
        <w:t>Action 6 - Scaling up the work on ITS in all Working Parties of the UNECE Inland Transport Committee (ITC)</w:t>
      </w:r>
      <w:r w:rsidR="00A34EF2">
        <w:t xml:space="preserve"> (This action </w:t>
      </w:r>
      <w:r w:rsidR="00767FEB">
        <w:t>may</w:t>
      </w:r>
      <w:r w:rsidR="00A34EF2">
        <w:t xml:space="preserve"> be removed, pending confirmation</w:t>
      </w:r>
      <w:r w:rsidR="00767FEB">
        <w:t xml:space="preserve"> of completion</w:t>
      </w:r>
      <w:r w:rsidR="00A34EF2">
        <w:t>)</w:t>
      </w:r>
    </w:p>
    <w:p w14:paraId="422294AF" w14:textId="5B917ECB" w:rsidR="00A34EF2" w:rsidRPr="00A47C2E" w:rsidRDefault="00C449B3" w:rsidP="00A34EF2">
      <w:pPr>
        <w:pStyle w:val="SingleTxtG"/>
        <w:rPr>
          <w:rFonts w:eastAsiaTheme="minorEastAsia"/>
          <w:lang w:eastAsia="zh-CN"/>
        </w:rPr>
      </w:pPr>
      <w:r>
        <w:rPr>
          <w:rFonts w:eastAsiaTheme="minorEastAsia"/>
          <w:lang w:eastAsia="zh-CN"/>
        </w:rPr>
        <w:t>13.</w:t>
      </w:r>
      <w:r>
        <w:rPr>
          <w:rFonts w:eastAsiaTheme="minorEastAsia"/>
          <w:lang w:eastAsia="zh-CN"/>
        </w:rPr>
        <w:tab/>
      </w:r>
      <w:r w:rsidR="00A34EF2" w:rsidRPr="00A47C2E">
        <w:rPr>
          <w:rFonts w:eastAsiaTheme="minorEastAsia"/>
          <w:lang w:eastAsia="zh-CN"/>
        </w:rPr>
        <w:t>In the transport sector the area of work Intelligent Transport Systems needs strengthening. The Sustainable Transport Division’s responsibility will be improving access to high-quality information on available ITS and their meaningful integration into the work of the intergovernmental bodies, e.g. through best practices. All Inland Transport Committee (ITC) Working Parties are encouraged to incorporate ITS related topics into their agendas. All UNECE Working Parties should continue:</w:t>
      </w:r>
    </w:p>
    <w:p w14:paraId="43AED145" w14:textId="2962F390"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to align their work with sustainable mobility principles that include safe, efficient, environmentally friendly and affordable transport services, and</w:t>
      </w:r>
    </w:p>
    <w:p w14:paraId="249F19C9" w14:textId="08A84A66"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to determine how relevant ITS solutions could assist in bringing this about.</w:t>
      </w:r>
    </w:p>
    <w:p w14:paraId="06AD0612" w14:textId="5837AFE3" w:rsidR="00A34EF2" w:rsidRPr="00A47C2E" w:rsidRDefault="00C449B3" w:rsidP="00A34EF2">
      <w:pPr>
        <w:pStyle w:val="SingleTxtG"/>
      </w:pPr>
      <w:r>
        <w:rPr>
          <w:rFonts w:eastAsiaTheme="minorEastAsia"/>
          <w:lang w:eastAsia="zh-CN"/>
        </w:rPr>
        <w:t>14.</w:t>
      </w:r>
      <w:r>
        <w:rPr>
          <w:rFonts w:eastAsiaTheme="minorEastAsia"/>
          <w:lang w:eastAsia="zh-CN"/>
        </w:rPr>
        <w:tab/>
      </w:r>
      <w:r w:rsidR="00A34EF2" w:rsidRPr="00A47C2E">
        <w:rPr>
          <w:rFonts w:eastAsiaTheme="minorEastAsia"/>
          <w:lang w:eastAsia="zh-CN"/>
        </w:rPr>
        <w:t xml:space="preserve">The figure below indicates the core values of UNECE one can build on in promoting the use of ITS (convening power, legal instruments, harmonisation activities etc). It also positions UNECE as one among the key stakeholders with whom close cooperation is </w:t>
      </w:r>
      <w:r w:rsidR="00A34EF2" w:rsidRPr="00A47C2E">
        <w:rPr>
          <w:rFonts w:eastAsiaTheme="minorEastAsia"/>
          <w:lang w:eastAsia="zh-CN"/>
        </w:rPr>
        <w:lastRenderedPageBreak/>
        <w:t>envisaged to avoid duplication and to leverage the activities and results of the players, governments, governmental bodies, industries and academia. In fact, UNECE can become a gateway or an institutional world forum for ITS.</w:t>
      </w:r>
    </w:p>
    <w:p w14:paraId="36CE900B" w14:textId="77777777" w:rsidR="00A34EF2" w:rsidRPr="00A47C2E" w:rsidRDefault="00A34EF2" w:rsidP="00A34EF2">
      <w:pPr>
        <w:jc w:val="center"/>
        <w:rPr>
          <w:rFonts w:asciiTheme="majorBidi" w:hAnsiTheme="majorBidi" w:cstheme="majorBidi"/>
          <w:sz w:val="22"/>
          <w:szCs w:val="22"/>
        </w:rPr>
      </w:pPr>
      <w:r w:rsidRPr="00A47C2E">
        <w:rPr>
          <w:rFonts w:asciiTheme="majorBidi" w:hAnsiTheme="majorBidi" w:cstheme="majorBidi"/>
          <w:noProof/>
          <w:sz w:val="22"/>
          <w:szCs w:val="22"/>
        </w:rPr>
        <w:drawing>
          <wp:inline distT="0" distB="0" distL="0" distR="0" wp14:anchorId="21E838C1" wp14:editId="64D601A1">
            <wp:extent cx="4094922" cy="244231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6411" cy="2455128"/>
                    </a:xfrm>
                    <a:prstGeom prst="rect">
                      <a:avLst/>
                    </a:prstGeom>
                    <a:noFill/>
                    <a:ln>
                      <a:noFill/>
                    </a:ln>
                  </pic:spPr>
                </pic:pic>
              </a:graphicData>
            </a:graphic>
          </wp:inline>
        </w:drawing>
      </w:r>
    </w:p>
    <w:p w14:paraId="2D78D5FB" w14:textId="4D007293" w:rsidR="00A34EF2" w:rsidRPr="00A47C2E" w:rsidRDefault="006B7AF4" w:rsidP="00A34EF2">
      <w:pPr>
        <w:pStyle w:val="H1G"/>
      </w:pPr>
      <w:r>
        <w:tab/>
        <w:t>G.</w:t>
      </w:r>
      <w:r>
        <w:tab/>
      </w:r>
      <w:r w:rsidR="00A34EF2" w:rsidRPr="00A47C2E">
        <w:t>Action 7 - Promoting vehicle to infrastructure communication</w:t>
      </w:r>
    </w:p>
    <w:p w14:paraId="0FB5CBD0" w14:textId="5E1B8439" w:rsidR="00A34EF2" w:rsidRPr="00A47C2E" w:rsidRDefault="00C449B3" w:rsidP="00A34EF2">
      <w:pPr>
        <w:pStyle w:val="SingleTxtG"/>
        <w:rPr>
          <w:rFonts w:eastAsiaTheme="minorEastAsia"/>
          <w:lang w:eastAsia="zh-CN"/>
        </w:rPr>
      </w:pPr>
      <w:r>
        <w:rPr>
          <w:rFonts w:eastAsiaTheme="minorEastAsia"/>
          <w:lang w:eastAsia="zh-CN"/>
        </w:rPr>
        <w:t>15.</w:t>
      </w:r>
      <w:r>
        <w:rPr>
          <w:rFonts w:eastAsiaTheme="minorEastAsia"/>
          <w:lang w:eastAsia="zh-CN"/>
        </w:rPr>
        <w:tab/>
      </w:r>
      <w:r w:rsidR="00A34EF2" w:rsidRPr="00A47C2E">
        <w:rPr>
          <w:rFonts w:eastAsiaTheme="minorEastAsia"/>
          <w:lang w:eastAsia="zh-CN"/>
        </w:rPr>
        <w:t>The World Forum for Harmonization of Vehicle Regulations (WP.29) is introducing technological innovations in vehicles by regulations that are applicable on worldwide scale.</w:t>
      </w:r>
    </w:p>
    <w:p w14:paraId="4C58A4EE" w14:textId="1405BFBD" w:rsidR="00A34EF2" w:rsidRPr="00A47C2E" w:rsidRDefault="00C449B3" w:rsidP="00A34EF2">
      <w:pPr>
        <w:pStyle w:val="SingleTxtG"/>
        <w:rPr>
          <w:rFonts w:eastAsiaTheme="minorEastAsia"/>
          <w:lang w:eastAsia="zh-CN"/>
        </w:rPr>
      </w:pPr>
      <w:r>
        <w:rPr>
          <w:rFonts w:eastAsiaTheme="minorEastAsia"/>
          <w:lang w:eastAsia="zh-CN"/>
        </w:rPr>
        <w:t>16.</w:t>
      </w:r>
      <w:r>
        <w:rPr>
          <w:rFonts w:eastAsiaTheme="minorEastAsia"/>
          <w:lang w:eastAsia="zh-CN"/>
        </w:rPr>
        <w:tab/>
      </w:r>
      <w:r w:rsidR="00A34EF2" w:rsidRPr="00A47C2E">
        <w:rPr>
          <w:rFonts w:eastAsiaTheme="minorEastAsia"/>
          <w:lang w:eastAsia="zh-CN"/>
        </w:rPr>
        <w:t>As a basic innovation, cooperative systems bring infrastructure and vehicle related intelligent transport devices that are active and ‘cooperate’ in order to perform a common service. Consequently, in cooperative systems, communication could be vehicle-to-vehicle or vehicle-to-infrastructure.</w:t>
      </w:r>
    </w:p>
    <w:p w14:paraId="7FBC2B67" w14:textId="4D912B0E" w:rsidR="00A34EF2" w:rsidRPr="00A47C2E" w:rsidRDefault="00C449B3" w:rsidP="00A34EF2">
      <w:pPr>
        <w:pStyle w:val="SingleTxtG"/>
        <w:rPr>
          <w:rFonts w:eastAsiaTheme="minorEastAsia"/>
          <w:lang w:eastAsia="zh-CN"/>
        </w:rPr>
      </w:pPr>
      <w:r>
        <w:rPr>
          <w:rFonts w:eastAsiaTheme="minorEastAsia"/>
          <w:lang w:eastAsia="zh-CN"/>
        </w:rPr>
        <w:t>17.</w:t>
      </w:r>
      <w:r>
        <w:rPr>
          <w:rFonts w:eastAsiaTheme="minorEastAsia"/>
          <w:lang w:eastAsia="zh-CN"/>
        </w:rPr>
        <w:tab/>
      </w:r>
      <w:r w:rsidR="00A34EF2" w:rsidRPr="00A47C2E">
        <w:rPr>
          <w:rFonts w:eastAsiaTheme="minorEastAsia"/>
          <w:lang w:eastAsia="zh-CN"/>
        </w:rPr>
        <w:t>Advanced Driver Assistance Systems (ADAS) technologies are important advances in vehicle safety and the optimization of their potential benefits is crucial. In 2002, WP.29 established an ITS Informal Group to consider the necessity for a regulatory framework on ADAS, which are becoming more common in vehicles.</w:t>
      </w:r>
    </w:p>
    <w:p w14:paraId="70DA12AA" w14:textId="65678B2D" w:rsidR="00A34EF2" w:rsidRPr="00A47C2E" w:rsidRDefault="00C449B3" w:rsidP="00A34EF2">
      <w:pPr>
        <w:pStyle w:val="SingleTxtG"/>
        <w:rPr>
          <w:rFonts w:eastAsiaTheme="minorEastAsia"/>
          <w:lang w:eastAsia="zh-CN"/>
        </w:rPr>
      </w:pPr>
      <w:r>
        <w:rPr>
          <w:rFonts w:eastAsiaTheme="minorEastAsia"/>
          <w:lang w:eastAsia="zh-CN"/>
        </w:rPr>
        <w:t>18.</w:t>
      </w:r>
      <w:r>
        <w:rPr>
          <w:rFonts w:eastAsiaTheme="minorEastAsia"/>
          <w:lang w:eastAsia="zh-CN"/>
        </w:rPr>
        <w:tab/>
      </w:r>
      <w:r w:rsidR="00A34EF2" w:rsidRPr="00A47C2E">
        <w:rPr>
          <w:rFonts w:eastAsiaTheme="minorEastAsia"/>
          <w:lang w:eastAsia="zh-CN"/>
        </w:rPr>
        <w:t xml:space="preserve">The development of provisions for ADAS - such as </w:t>
      </w:r>
      <w:r w:rsidR="00767FEB" w:rsidRPr="00767FEB">
        <w:rPr>
          <w:rFonts w:eastAsiaTheme="minorEastAsia"/>
          <w:b/>
          <w:bCs/>
          <w:lang w:eastAsia="zh-CN"/>
        </w:rPr>
        <w:t>Automatically Commanded Steering Functions (ACSF)</w:t>
      </w:r>
      <w:r w:rsidR="00A34EF2" w:rsidRPr="00A47C2E">
        <w:rPr>
          <w:rFonts w:eastAsiaTheme="minorEastAsia"/>
          <w:lang w:eastAsia="zh-CN"/>
        </w:rPr>
        <w:t xml:space="preserve"> and Advanced Emergency Braking Systems (AEBS), the actions of which are restricted to emergency situations - are expected to bring about draft regulatory text proposals that will take the form of new standalone </w:t>
      </w:r>
      <w:r w:rsidR="00A34EF2" w:rsidRPr="00767FEB">
        <w:rPr>
          <w:rFonts w:eastAsiaTheme="minorEastAsia"/>
          <w:b/>
          <w:bCs/>
          <w:lang w:eastAsia="zh-CN"/>
        </w:rPr>
        <w:t xml:space="preserve">UN </w:t>
      </w:r>
      <w:r w:rsidR="00A34EF2" w:rsidRPr="00A47C2E">
        <w:rPr>
          <w:rFonts w:eastAsiaTheme="minorEastAsia"/>
          <w:lang w:eastAsia="zh-CN"/>
        </w:rPr>
        <w:t>Regulations under the 1958 Agreement. According to an impact assessment made by the European Commission, the mandatory measures of these systems can prevent the loss of around 5,000 lives and avoid 35,000 serious injuries a year across the EU27.</w:t>
      </w:r>
    </w:p>
    <w:p w14:paraId="790AF486" w14:textId="5DB10B2F" w:rsidR="00A34EF2" w:rsidRPr="00A47C2E" w:rsidRDefault="00C449B3" w:rsidP="00A34EF2">
      <w:pPr>
        <w:pStyle w:val="SingleTxtG"/>
        <w:rPr>
          <w:rFonts w:eastAsiaTheme="minorEastAsia"/>
          <w:lang w:eastAsia="zh-CN"/>
        </w:rPr>
      </w:pPr>
      <w:r>
        <w:rPr>
          <w:rFonts w:eastAsiaTheme="minorEastAsia"/>
          <w:lang w:eastAsia="zh-CN"/>
        </w:rPr>
        <w:t>19.</w:t>
      </w:r>
      <w:r>
        <w:rPr>
          <w:rFonts w:eastAsiaTheme="minorEastAsia"/>
          <w:lang w:eastAsia="zh-CN"/>
        </w:rPr>
        <w:tab/>
      </w:r>
      <w:r w:rsidR="00A34EF2" w:rsidRPr="00A47C2E">
        <w:rPr>
          <w:rFonts w:eastAsiaTheme="minorEastAsia"/>
          <w:lang w:eastAsia="zh-CN"/>
        </w:rPr>
        <w:t xml:space="preserve">Additionally, the World Forum invited the UNECE </w:t>
      </w:r>
      <w:r w:rsidR="00A34EF2" w:rsidRPr="00767FEB">
        <w:rPr>
          <w:rFonts w:eastAsiaTheme="minorEastAsia"/>
          <w:b/>
          <w:bCs/>
          <w:lang w:eastAsia="zh-CN"/>
        </w:rPr>
        <w:t xml:space="preserve">Global Forum for </w:t>
      </w:r>
      <w:r w:rsidR="00A34EF2" w:rsidRPr="00A47C2E">
        <w:rPr>
          <w:rFonts w:eastAsiaTheme="minorEastAsia"/>
          <w:lang w:eastAsia="zh-CN"/>
        </w:rPr>
        <w:t xml:space="preserve">Road </w:t>
      </w:r>
      <w:r w:rsidR="00A34EF2">
        <w:rPr>
          <w:rFonts w:eastAsiaTheme="minorEastAsia"/>
          <w:lang w:eastAsia="zh-CN"/>
        </w:rPr>
        <w:t xml:space="preserve">Traffic </w:t>
      </w:r>
      <w:r w:rsidR="00A34EF2" w:rsidRPr="00A47C2E">
        <w:rPr>
          <w:rFonts w:eastAsiaTheme="minorEastAsia"/>
          <w:lang w:eastAsia="zh-CN"/>
        </w:rPr>
        <w:t xml:space="preserve">Safety </w:t>
      </w:r>
      <w:r w:rsidR="00A34EF2">
        <w:rPr>
          <w:rFonts w:eastAsiaTheme="minorEastAsia"/>
          <w:lang w:eastAsia="zh-CN"/>
        </w:rPr>
        <w:t>(</w:t>
      </w:r>
      <w:r w:rsidR="00A34EF2" w:rsidRPr="00A47C2E">
        <w:rPr>
          <w:rFonts w:eastAsiaTheme="minorEastAsia"/>
          <w:lang w:eastAsia="zh-CN"/>
        </w:rPr>
        <w:t>WP.1) and the Working Party on Road Transport (SC.1) to devote special attention to and accelerate their work on:</w:t>
      </w:r>
    </w:p>
    <w:p w14:paraId="3453A0C2" w14:textId="2EAF874C"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raising awareness on the safety issues and missed opportunities with non-communicating infrastructure;</w:t>
      </w:r>
    </w:p>
    <w:p w14:paraId="074AF17F" w14:textId="608CB563"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infrastructure standards to promote vehicle to infrastructure and vehicle to vehicle communication (AGR, Convention on Road Signs and Signals).</w:t>
      </w:r>
    </w:p>
    <w:p w14:paraId="611F3F65" w14:textId="345B1D9E" w:rsidR="00A34EF2" w:rsidRPr="00A47C2E" w:rsidRDefault="006B7AF4" w:rsidP="00A34EF2">
      <w:pPr>
        <w:pStyle w:val="H1G"/>
      </w:pPr>
      <w:r>
        <w:tab/>
        <w:t>H.</w:t>
      </w:r>
      <w:r>
        <w:tab/>
      </w:r>
      <w:r w:rsidR="00A34EF2" w:rsidRPr="00A47C2E">
        <w:t>Action 8 - Promoting vehicle - to – vehicle communication</w:t>
      </w:r>
      <w:r w:rsidR="00767FEB">
        <w:t xml:space="preserve"> </w:t>
      </w:r>
    </w:p>
    <w:p w14:paraId="06CFF09E" w14:textId="4D32E991" w:rsidR="00A34EF2" w:rsidRPr="00A47C2E" w:rsidRDefault="00C449B3" w:rsidP="00A34EF2">
      <w:pPr>
        <w:pStyle w:val="SingleTxtG"/>
        <w:rPr>
          <w:rFonts w:eastAsiaTheme="minorEastAsia"/>
          <w:lang w:eastAsia="zh-CN"/>
        </w:rPr>
      </w:pPr>
      <w:r>
        <w:rPr>
          <w:rFonts w:eastAsiaTheme="minorEastAsia"/>
          <w:lang w:eastAsia="zh-CN"/>
        </w:rPr>
        <w:t>20.</w:t>
      </w:r>
      <w:r>
        <w:rPr>
          <w:rFonts w:eastAsiaTheme="minorEastAsia"/>
          <w:lang w:eastAsia="zh-CN"/>
        </w:rPr>
        <w:tab/>
      </w:r>
      <w:r w:rsidR="00A34EF2" w:rsidRPr="00A47C2E">
        <w:rPr>
          <w:rFonts w:eastAsiaTheme="minorEastAsia"/>
          <w:lang w:eastAsia="zh-CN"/>
        </w:rPr>
        <w:t>Vehicle - to - vehicle (V2V) communication can be defined as the cooperative exchange of data between vehicles through wireless technology, with the objective of improving road safety, mobility, efficiency and improving the use of road capacity.</w:t>
      </w:r>
    </w:p>
    <w:p w14:paraId="724E9897" w14:textId="665154EB" w:rsidR="00A34EF2" w:rsidRPr="00A47C2E" w:rsidRDefault="00C449B3" w:rsidP="00A34EF2">
      <w:pPr>
        <w:pStyle w:val="SingleTxtG"/>
        <w:rPr>
          <w:rFonts w:eastAsiaTheme="minorEastAsia"/>
          <w:lang w:eastAsia="zh-CN"/>
        </w:rPr>
      </w:pPr>
      <w:r>
        <w:rPr>
          <w:rFonts w:eastAsiaTheme="minorEastAsia"/>
          <w:lang w:eastAsia="zh-CN"/>
        </w:rPr>
        <w:t>21.</w:t>
      </w:r>
      <w:r>
        <w:rPr>
          <w:rFonts w:eastAsiaTheme="minorEastAsia"/>
          <w:lang w:eastAsia="zh-CN"/>
        </w:rPr>
        <w:tab/>
      </w:r>
      <w:r w:rsidR="00A34EF2" w:rsidRPr="00A47C2E">
        <w:rPr>
          <w:rFonts w:eastAsiaTheme="minorEastAsia"/>
          <w:lang w:eastAsia="zh-CN"/>
        </w:rPr>
        <w:t xml:space="preserve">Cooperative systems are expected to make use of state - of - the - art communication facilities allowing the driver access to all road and traffic information. Imagine using one </w:t>
      </w:r>
      <w:r w:rsidR="00A34EF2" w:rsidRPr="00A47C2E">
        <w:rPr>
          <w:rFonts w:eastAsiaTheme="minorEastAsia"/>
          <w:lang w:eastAsia="zh-CN"/>
        </w:rPr>
        <w:lastRenderedPageBreak/>
        <w:t>single device onboard of your vehicle allowing you to plug-in and synchronise your mobile phone, iPad or laptop and access all relevant information via one application. Close cooperation between UNECE, the International Telecommunication Union (ITU)</w:t>
      </w:r>
      <w:r w:rsidR="00767FEB">
        <w:rPr>
          <w:rFonts w:eastAsiaTheme="minorEastAsia"/>
          <w:lang w:eastAsia="zh-CN"/>
        </w:rPr>
        <w:t>,</w:t>
      </w:r>
      <w:r w:rsidR="00A34EF2" w:rsidRPr="00A47C2E">
        <w:rPr>
          <w:rFonts w:eastAsiaTheme="minorEastAsia"/>
          <w:lang w:eastAsia="zh-CN"/>
        </w:rPr>
        <w:t xml:space="preserve"> the </w:t>
      </w:r>
      <w:r>
        <w:rPr>
          <w:rFonts w:eastAsiaTheme="minorEastAsia"/>
          <w:lang w:eastAsia="zh-CN"/>
        </w:rPr>
        <w:tab/>
      </w:r>
      <w:r w:rsidR="00A34EF2" w:rsidRPr="00A47C2E">
        <w:rPr>
          <w:rFonts w:eastAsiaTheme="minorEastAsia"/>
          <w:lang w:eastAsia="zh-CN"/>
        </w:rPr>
        <w:t>International Organization for Standardization (ISO)</w:t>
      </w:r>
      <w:r w:rsidR="00767FEB">
        <w:rPr>
          <w:rFonts w:eastAsiaTheme="minorEastAsia"/>
          <w:lang w:eastAsia="zh-CN"/>
        </w:rPr>
        <w:t xml:space="preserve"> </w:t>
      </w:r>
      <w:r w:rsidR="00767FEB" w:rsidRPr="00767FEB">
        <w:rPr>
          <w:rFonts w:eastAsiaTheme="minorEastAsia"/>
          <w:b/>
          <w:bCs/>
          <w:lang w:eastAsia="zh-CN"/>
        </w:rPr>
        <w:t>and potentially other standard developing organizations</w:t>
      </w:r>
      <w:r w:rsidR="00A34EF2" w:rsidRPr="00A47C2E">
        <w:rPr>
          <w:rFonts w:eastAsiaTheme="minorEastAsia"/>
          <w:lang w:eastAsia="zh-CN"/>
        </w:rPr>
        <w:t xml:space="preserve"> is essential and </w:t>
      </w:r>
      <w:r w:rsidR="00767FEB" w:rsidRPr="00767FEB">
        <w:rPr>
          <w:rFonts w:eastAsiaTheme="minorEastAsia"/>
          <w:b/>
          <w:bCs/>
          <w:lang w:eastAsia="zh-CN"/>
        </w:rPr>
        <w:t>may</w:t>
      </w:r>
      <w:r w:rsidR="00A34EF2" w:rsidRPr="00A47C2E">
        <w:rPr>
          <w:rFonts w:eastAsiaTheme="minorEastAsia"/>
          <w:lang w:eastAsia="zh-CN"/>
        </w:rPr>
        <w:t xml:space="preserve"> be further broadened on frequencies and international standards. </w:t>
      </w:r>
    </w:p>
    <w:p w14:paraId="4C40C5BA" w14:textId="34803FC0" w:rsidR="00A34EF2" w:rsidRPr="00A47C2E" w:rsidRDefault="00C449B3" w:rsidP="00A34EF2">
      <w:pPr>
        <w:pStyle w:val="SingleTxtG"/>
        <w:rPr>
          <w:rFonts w:eastAsiaTheme="minorEastAsia"/>
          <w:lang w:eastAsia="zh-CN"/>
        </w:rPr>
      </w:pPr>
      <w:r>
        <w:rPr>
          <w:rFonts w:eastAsiaTheme="minorEastAsia"/>
          <w:lang w:eastAsia="zh-CN"/>
        </w:rPr>
        <w:t>22.</w:t>
      </w:r>
      <w:r>
        <w:rPr>
          <w:rFonts w:eastAsiaTheme="minorEastAsia"/>
          <w:lang w:eastAsia="zh-CN"/>
        </w:rPr>
        <w:tab/>
      </w:r>
      <w:r w:rsidR="00A34EF2" w:rsidRPr="00A47C2E">
        <w:rPr>
          <w:rFonts w:eastAsiaTheme="minorEastAsia"/>
          <w:lang w:eastAsia="zh-CN"/>
        </w:rPr>
        <w:t>The competent UNECE body that will interact with Governments and global players, dealing with cooperative systems in information technologies has yet to be identified.</w:t>
      </w:r>
    </w:p>
    <w:p w14:paraId="6BEE478F" w14:textId="41047905" w:rsidR="00A34EF2" w:rsidRPr="00A47C2E" w:rsidRDefault="006B7AF4" w:rsidP="00A34EF2">
      <w:pPr>
        <w:pStyle w:val="H1G"/>
      </w:pPr>
      <w:r>
        <w:tab/>
        <w:t>I.</w:t>
      </w:r>
      <w:r>
        <w:tab/>
      </w:r>
      <w:r w:rsidR="00A34EF2" w:rsidRPr="00A47C2E">
        <w:t xml:space="preserve">Action 9 - </w:t>
      </w:r>
      <w:r w:rsidR="00A34EF2">
        <w:t>Improving road safety</w:t>
      </w:r>
    </w:p>
    <w:p w14:paraId="2F3C34BB" w14:textId="75473ADA" w:rsidR="00A34EF2" w:rsidRPr="00A47C2E" w:rsidRDefault="00C449B3" w:rsidP="00A34EF2">
      <w:pPr>
        <w:pStyle w:val="SingleTxtG"/>
        <w:rPr>
          <w:rFonts w:eastAsiaTheme="minorEastAsia"/>
          <w:lang w:eastAsia="zh-CN"/>
        </w:rPr>
      </w:pPr>
      <w:r>
        <w:rPr>
          <w:rFonts w:eastAsiaTheme="minorEastAsia"/>
          <w:lang w:eastAsia="zh-CN"/>
        </w:rPr>
        <w:t>23.</w:t>
      </w:r>
      <w:r>
        <w:rPr>
          <w:rFonts w:eastAsiaTheme="minorEastAsia"/>
          <w:lang w:eastAsia="zh-CN"/>
        </w:rPr>
        <w:tab/>
      </w:r>
      <w:r w:rsidR="00A34EF2" w:rsidRPr="00A47C2E">
        <w:rPr>
          <w:rFonts w:eastAsiaTheme="minorEastAsia"/>
          <w:lang w:eastAsia="zh-CN"/>
        </w:rPr>
        <w:t xml:space="preserve">UNECE is actively involved </w:t>
      </w:r>
      <w:r w:rsidR="00A34EF2" w:rsidRPr="00767FEB">
        <w:rPr>
          <w:rFonts w:eastAsiaTheme="minorEastAsia"/>
          <w:b/>
          <w:bCs/>
          <w:lang w:eastAsia="zh-CN"/>
        </w:rPr>
        <w:t xml:space="preserve">in promoting solutions that can lead to improved national, regional and global road safety through implementing a continuous stream of tailored </w:t>
      </w:r>
      <w:r w:rsidR="00A34EF2" w:rsidRPr="00A47C2E">
        <w:rPr>
          <w:rFonts w:eastAsiaTheme="minorEastAsia"/>
          <w:lang w:eastAsia="zh-CN"/>
        </w:rPr>
        <w:t xml:space="preserve">road safety activities to educate, raise awareness, to induce action and to create dynamic and effective responses to road safety </w:t>
      </w:r>
      <w:r w:rsidR="00A34EF2" w:rsidRPr="00767FEB">
        <w:rPr>
          <w:rFonts w:eastAsiaTheme="minorEastAsia"/>
          <w:b/>
          <w:bCs/>
          <w:lang w:eastAsia="zh-CN"/>
        </w:rPr>
        <w:t>challenges</w:t>
      </w:r>
      <w:r w:rsidR="00A34EF2" w:rsidRPr="00A47C2E">
        <w:rPr>
          <w:rFonts w:eastAsiaTheme="minorEastAsia"/>
          <w:lang w:eastAsia="zh-CN"/>
        </w:rPr>
        <w:t>.</w:t>
      </w:r>
      <w:r w:rsidR="00A34EF2">
        <w:rPr>
          <w:rFonts w:eastAsiaTheme="minorEastAsia"/>
          <w:lang w:eastAsia="zh-CN"/>
        </w:rPr>
        <w:t xml:space="preserve"> </w:t>
      </w:r>
    </w:p>
    <w:p w14:paraId="33BFC679" w14:textId="19EEF01E" w:rsidR="00A34EF2" w:rsidRDefault="00C449B3" w:rsidP="00A34EF2">
      <w:pPr>
        <w:pStyle w:val="SingleTxtG"/>
        <w:rPr>
          <w:rFonts w:eastAsiaTheme="minorEastAsia"/>
          <w:lang w:eastAsia="zh-CN"/>
        </w:rPr>
      </w:pPr>
      <w:r>
        <w:rPr>
          <w:rFonts w:eastAsiaTheme="minorEastAsia"/>
          <w:lang w:eastAsia="zh-CN"/>
        </w:rPr>
        <w:t>24.</w:t>
      </w:r>
      <w:r>
        <w:rPr>
          <w:rFonts w:eastAsiaTheme="minorEastAsia"/>
          <w:lang w:eastAsia="zh-CN"/>
        </w:rPr>
        <w:tab/>
      </w:r>
      <w:r w:rsidR="00A34EF2" w:rsidRPr="00A47C2E">
        <w:rPr>
          <w:rFonts w:eastAsiaTheme="minorEastAsia"/>
          <w:lang w:eastAsia="zh-CN"/>
        </w:rPr>
        <w:t xml:space="preserve">Those actions </w:t>
      </w:r>
      <w:r w:rsidR="00A34EF2">
        <w:rPr>
          <w:rFonts w:eastAsiaTheme="minorEastAsia"/>
          <w:lang w:eastAsia="zh-CN"/>
        </w:rPr>
        <w:t>are</w:t>
      </w:r>
      <w:r w:rsidR="00A34EF2" w:rsidRPr="00A47C2E">
        <w:rPr>
          <w:rFonts w:eastAsiaTheme="minorEastAsia"/>
          <w:lang w:eastAsia="zh-CN"/>
        </w:rPr>
        <w:t xml:space="preserve"> performed primarily by – but not limited to </w:t>
      </w:r>
      <w:r w:rsidR="00A34EF2">
        <w:rPr>
          <w:rFonts w:eastAsiaTheme="minorEastAsia"/>
          <w:lang w:eastAsia="zh-CN"/>
        </w:rPr>
        <w:t>–</w:t>
      </w:r>
      <w:r w:rsidR="00A34EF2" w:rsidRPr="00A47C2E">
        <w:rPr>
          <w:rFonts w:eastAsiaTheme="minorEastAsia"/>
          <w:lang w:eastAsia="zh-CN"/>
        </w:rPr>
        <w:t xml:space="preserve"> </w:t>
      </w:r>
      <w:r w:rsidR="00A34EF2" w:rsidRPr="00767FEB">
        <w:rPr>
          <w:rFonts w:eastAsiaTheme="minorEastAsia"/>
          <w:b/>
          <w:bCs/>
          <w:lang w:eastAsia="zh-CN"/>
        </w:rPr>
        <w:t>the secretariat of the UN Road Safety Trust Fund, the secretariat of the UN Secretary General Special Envoy for Road Safety, the Global Forum for Road Traffic Safety</w:t>
      </w:r>
      <w:r w:rsidR="00A34EF2" w:rsidRPr="00A47C2E">
        <w:rPr>
          <w:rFonts w:eastAsiaTheme="minorEastAsia"/>
          <w:lang w:eastAsia="zh-CN"/>
        </w:rPr>
        <w:t xml:space="preserve"> </w:t>
      </w:r>
      <w:r w:rsidR="00A34EF2">
        <w:rPr>
          <w:rFonts w:eastAsiaTheme="minorEastAsia"/>
          <w:lang w:eastAsia="zh-CN"/>
        </w:rPr>
        <w:t>(</w:t>
      </w:r>
      <w:r w:rsidR="00A34EF2" w:rsidRPr="00A47C2E">
        <w:rPr>
          <w:rFonts w:eastAsiaTheme="minorEastAsia"/>
          <w:lang w:eastAsia="zh-CN"/>
        </w:rPr>
        <w:t>WP.1) and the World Forum for Harmonization of Vehicle Regulations (WP.29), including promoting accession to and, where necessary, more effective worldwide implementation of UNECE legal instruments.</w:t>
      </w:r>
    </w:p>
    <w:p w14:paraId="5F2DCFF2" w14:textId="3261082D" w:rsidR="00A34EF2" w:rsidRPr="00A47C2E" w:rsidRDefault="00C449B3" w:rsidP="00A34EF2">
      <w:pPr>
        <w:pStyle w:val="SingleTxtG"/>
        <w:rPr>
          <w:rFonts w:eastAsiaTheme="minorEastAsia"/>
          <w:lang w:eastAsia="zh-CN"/>
        </w:rPr>
      </w:pPr>
      <w:r>
        <w:rPr>
          <w:rFonts w:eastAsiaTheme="minorEastAsia"/>
          <w:lang w:eastAsia="zh-CN"/>
        </w:rPr>
        <w:t>25.</w:t>
      </w:r>
      <w:r>
        <w:rPr>
          <w:rFonts w:eastAsiaTheme="minorEastAsia"/>
          <w:lang w:eastAsia="zh-CN"/>
        </w:rPr>
        <w:tab/>
      </w:r>
      <w:r w:rsidR="00A34EF2" w:rsidRPr="00767FEB">
        <w:rPr>
          <w:rFonts w:eastAsiaTheme="minorEastAsia"/>
          <w:b/>
          <w:bCs/>
          <w:lang w:eastAsia="zh-CN"/>
        </w:rPr>
        <w:t>Technologies are essential tools in the design and management of national road safety systems, and key enablers of progress across the five pillars of a national road safety system – safe users, vehicles, infrastructure, post-crash response and the overarching road safety management pillar. ITS linked technologies have a documented track record of improving road safety, such as the impact that driving assistance systems embodied in UN Vehicle Regulations have had in reducing road traffic casualty rates since their introduction.</w:t>
      </w:r>
    </w:p>
    <w:p w14:paraId="7B8F5565" w14:textId="68587817" w:rsidR="00A34EF2" w:rsidRPr="00A47C2E" w:rsidRDefault="006B7AF4" w:rsidP="00A34EF2">
      <w:pPr>
        <w:pStyle w:val="H1G"/>
      </w:pPr>
      <w:r>
        <w:tab/>
        <w:t>J.</w:t>
      </w:r>
      <w:r>
        <w:tab/>
      </w:r>
      <w:r w:rsidR="00A34EF2" w:rsidRPr="00A47C2E">
        <w:t>Action 10 - Addressing the liability concerns</w:t>
      </w:r>
      <w:r w:rsidR="00CA6A9D">
        <w:t xml:space="preserve"> (unchanged)</w:t>
      </w:r>
    </w:p>
    <w:p w14:paraId="44CC05C4" w14:textId="692532CE" w:rsidR="00A34EF2" w:rsidRPr="00A47C2E" w:rsidRDefault="00C449B3" w:rsidP="00A34EF2">
      <w:pPr>
        <w:pStyle w:val="SingleTxtG"/>
        <w:rPr>
          <w:rFonts w:eastAsiaTheme="minorEastAsia"/>
          <w:lang w:eastAsia="zh-CN"/>
        </w:rPr>
      </w:pPr>
      <w:r>
        <w:rPr>
          <w:rFonts w:eastAsiaTheme="minorEastAsia"/>
          <w:lang w:eastAsia="zh-CN"/>
        </w:rPr>
        <w:t>26.</w:t>
      </w:r>
      <w:r>
        <w:rPr>
          <w:rFonts w:eastAsiaTheme="minorEastAsia"/>
          <w:lang w:eastAsia="zh-CN"/>
        </w:rPr>
        <w:tab/>
      </w:r>
      <w:r w:rsidR="00A34EF2" w:rsidRPr="00A47C2E">
        <w:rPr>
          <w:rFonts w:eastAsiaTheme="minorEastAsia"/>
          <w:lang w:eastAsia="zh-CN"/>
        </w:rPr>
        <w:t>The 1968 Convention on Road Traffic states that “Every driver of a vehicle shall in all circumstances have his vehicle under control...”. How are ITS solutions linked to the issue of liability? Devices that assist the driver to drive safely already exist. UNECE has played a crucial role in that development. Technologies such as navigation systems, cruise control and systems optimizing the braking of vehicles are already widely used and have contributed to fewer accidents and better fuel consumption.</w:t>
      </w:r>
    </w:p>
    <w:p w14:paraId="620616A1" w14:textId="1DDC4349" w:rsidR="00A34EF2" w:rsidRPr="00A47C2E" w:rsidRDefault="00C449B3" w:rsidP="00A34EF2">
      <w:pPr>
        <w:pStyle w:val="SingleTxtG"/>
        <w:rPr>
          <w:rFonts w:eastAsiaTheme="minorEastAsia"/>
          <w:lang w:eastAsia="zh-CN"/>
        </w:rPr>
      </w:pPr>
      <w:r>
        <w:rPr>
          <w:rFonts w:eastAsiaTheme="minorEastAsia"/>
          <w:lang w:eastAsia="zh-CN"/>
        </w:rPr>
        <w:t>27.</w:t>
      </w:r>
      <w:r>
        <w:rPr>
          <w:rFonts w:eastAsiaTheme="minorEastAsia"/>
          <w:lang w:eastAsia="zh-CN"/>
        </w:rPr>
        <w:tab/>
      </w:r>
      <w:r w:rsidR="00A34EF2" w:rsidRPr="00A47C2E">
        <w:rPr>
          <w:rFonts w:eastAsiaTheme="minorEastAsia"/>
          <w:lang w:eastAsia="zh-CN"/>
        </w:rPr>
        <w:t xml:space="preserve">Other vehicle-based systems are at various stages of development and will be incorporated into UNECE Vehicle Regulations later. ITS devices are also widely applied in traffic management and control through, for example, variable message signs, speed cameras, electronic vehicle detection and toll charging systems, and vehicle positioning and tracking. </w:t>
      </w:r>
    </w:p>
    <w:p w14:paraId="1E9F03F2" w14:textId="639E0A73" w:rsidR="00A34EF2" w:rsidRPr="00A47C2E" w:rsidRDefault="00C449B3" w:rsidP="00A34EF2">
      <w:pPr>
        <w:pStyle w:val="SingleTxtG"/>
        <w:rPr>
          <w:rFonts w:eastAsiaTheme="minorEastAsia"/>
          <w:lang w:eastAsia="zh-CN"/>
        </w:rPr>
      </w:pPr>
      <w:r>
        <w:rPr>
          <w:rFonts w:eastAsiaTheme="minorEastAsia"/>
          <w:lang w:eastAsia="zh-CN"/>
        </w:rPr>
        <w:t>28.</w:t>
      </w:r>
      <w:r>
        <w:rPr>
          <w:rFonts w:eastAsiaTheme="minorEastAsia"/>
          <w:lang w:eastAsia="zh-CN"/>
        </w:rPr>
        <w:tab/>
      </w:r>
      <w:r w:rsidR="00A34EF2" w:rsidRPr="00A47C2E">
        <w:rPr>
          <w:rFonts w:eastAsiaTheme="minorEastAsia"/>
          <w:lang w:eastAsia="zh-CN"/>
        </w:rPr>
        <w:t>The current critical debate concerns devices that act on behalf of the driver, or even override the driver’s decisions. While driver assistance systems contribute to intelligent and efficient mobility as well as to efficient and safe roads, they also introduce new challenges. For example, in a system failure and accident situation: who is legally liable? In some European countries, for example, the law in this respect clearly states that the liability of driving remains exclusively with the driver.</w:t>
      </w:r>
    </w:p>
    <w:p w14:paraId="55670C24" w14:textId="7FA08C4D" w:rsidR="00A34EF2" w:rsidRPr="00A47C2E" w:rsidRDefault="00C449B3" w:rsidP="00A34EF2">
      <w:pPr>
        <w:pStyle w:val="SingleTxtG"/>
        <w:rPr>
          <w:rFonts w:eastAsiaTheme="minorEastAsia"/>
          <w:lang w:eastAsia="zh-CN"/>
        </w:rPr>
      </w:pPr>
      <w:r>
        <w:rPr>
          <w:rFonts w:eastAsiaTheme="minorEastAsia"/>
          <w:lang w:eastAsia="zh-CN"/>
        </w:rPr>
        <w:t>29.</w:t>
      </w:r>
      <w:r>
        <w:rPr>
          <w:rFonts w:eastAsiaTheme="minorEastAsia"/>
          <w:lang w:eastAsia="zh-CN"/>
        </w:rPr>
        <w:tab/>
      </w:r>
      <w:r w:rsidR="00A34EF2" w:rsidRPr="00A47C2E">
        <w:rPr>
          <w:rFonts w:eastAsiaTheme="minorEastAsia"/>
          <w:lang w:eastAsia="zh-CN"/>
        </w:rPr>
        <w:t xml:space="preserve">WP.1 and WP.29 already closely cooperate on this matter and will present a solution </w:t>
      </w:r>
      <w:proofErr w:type="gramStart"/>
      <w:r w:rsidR="00A34EF2" w:rsidRPr="00A47C2E">
        <w:rPr>
          <w:rFonts w:eastAsiaTheme="minorEastAsia"/>
          <w:lang w:eastAsia="zh-CN"/>
        </w:rPr>
        <w:t>in the near future</w:t>
      </w:r>
      <w:proofErr w:type="gramEnd"/>
      <w:r w:rsidR="00A34EF2" w:rsidRPr="00A47C2E">
        <w:rPr>
          <w:rFonts w:eastAsiaTheme="minorEastAsia"/>
          <w:lang w:eastAsia="zh-CN"/>
        </w:rPr>
        <w:t>, particularly in the case of ADAS systems. To bridge the gap, an agreement over the following overarching principle is emerging: ITS assisted driving is in harmony with the current legal instruments, while most of the governments are not ready to accept ITS that replace driver’s decisions.</w:t>
      </w:r>
    </w:p>
    <w:p w14:paraId="6D49A7E1" w14:textId="38A4F6EB" w:rsidR="00A34EF2" w:rsidRPr="00A47C2E" w:rsidRDefault="006B7AF4" w:rsidP="00A34EF2">
      <w:pPr>
        <w:pStyle w:val="H1G"/>
      </w:pPr>
      <w:r>
        <w:lastRenderedPageBreak/>
        <w:tab/>
        <w:t>K.</w:t>
      </w:r>
      <w:r>
        <w:tab/>
      </w:r>
      <w:r w:rsidR="00A34EF2" w:rsidRPr="00A47C2E">
        <w:t>Action 11 - Harmonizing Variable Message Signs</w:t>
      </w:r>
    </w:p>
    <w:p w14:paraId="3DBA44AC" w14:textId="46B6FCF6" w:rsidR="00A34EF2" w:rsidRPr="00A47C2E" w:rsidRDefault="00C449B3" w:rsidP="00A34EF2">
      <w:pPr>
        <w:pStyle w:val="SingleTxtG"/>
        <w:rPr>
          <w:rFonts w:eastAsiaTheme="minorEastAsia"/>
          <w:lang w:eastAsia="zh-CN"/>
        </w:rPr>
      </w:pPr>
      <w:r>
        <w:rPr>
          <w:rFonts w:eastAsiaTheme="minorEastAsia"/>
          <w:lang w:eastAsia="zh-CN"/>
        </w:rPr>
        <w:t>30.</w:t>
      </w:r>
      <w:r>
        <w:rPr>
          <w:rFonts w:eastAsiaTheme="minorEastAsia"/>
          <w:lang w:eastAsia="zh-CN"/>
        </w:rPr>
        <w:tab/>
      </w:r>
      <w:r w:rsidR="00A34EF2" w:rsidRPr="00A47C2E">
        <w:rPr>
          <w:rFonts w:eastAsiaTheme="minorEastAsia"/>
          <w:lang w:eastAsia="zh-CN"/>
        </w:rPr>
        <w:t xml:space="preserve">The </w:t>
      </w:r>
      <w:r w:rsidR="00A34EF2" w:rsidRPr="00CA6A9D">
        <w:rPr>
          <w:rFonts w:eastAsiaTheme="minorEastAsia"/>
          <w:b/>
          <w:bCs/>
          <w:lang w:eastAsia="zh-CN"/>
        </w:rPr>
        <w:t>Global Forum for</w:t>
      </w:r>
      <w:r w:rsidR="00A34EF2" w:rsidRPr="00A47C2E">
        <w:rPr>
          <w:rFonts w:eastAsiaTheme="minorEastAsia"/>
          <w:lang w:eastAsia="zh-CN"/>
        </w:rPr>
        <w:t xml:space="preserve"> Road Traffic Safety (WP.1) established an ad hoc group of experts on Variable Message Signs (VMS). Its wider mandate is to analyse new technological developments that increase road safety and to draw up proposals for including these developments in the relevant United Nations legal instruments.</w:t>
      </w:r>
    </w:p>
    <w:p w14:paraId="2DE93D8C" w14:textId="099FBC0C" w:rsidR="00A34EF2" w:rsidRPr="00A47C2E" w:rsidRDefault="00C449B3" w:rsidP="00A34EF2">
      <w:pPr>
        <w:pStyle w:val="SingleTxtG"/>
        <w:rPr>
          <w:rFonts w:eastAsiaTheme="minorEastAsia"/>
          <w:lang w:eastAsia="zh-CN"/>
        </w:rPr>
      </w:pPr>
      <w:r>
        <w:rPr>
          <w:rFonts w:eastAsiaTheme="minorEastAsia"/>
          <w:lang w:eastAsia="zh-CN"/>
        </w:rPr>
        <w:t>31.</w:t>
      </w:r>
      <w:r>
        <w:rPr>
          <w:rFonts w:eastAsiaTheme="minorEastAsia"/>
          <w:lang w:eastAsia="zh-CN"/>
        </w:rPr>
        <w:tab/>
      </w:r>
      <w:r w:rsidR="00A34EF2" w:rsidRPr="00A47C2E">
        <w:rPr>
          <w:rFonts w:eastAsiaTheme="minorEastAsia"/>
          <w:lang w:eastAsia="zh-CN"/>
        </w:rPr>
        <w:t>The VMS expert group proposes that WP.1 considers restructuring the 1968 Convention on Road Traffic according to the following groupings:</w:t>
      </w:r>
    </w:p>
    <w:p w14:paraId="67EAED23" w14:textId="1D0BF27E"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road markings;</w:t>
      </w:r>
    </w:p>
    <w:p w14:paraId="3A984A48" w14:textId="5A4F1BF0"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posted signs;</w:t>
      </w:r>
    </w:p>
    <w:p w14:paraId="7F667B94" w14:textId="6F4644BE" w:rsidR="00A34EF2" w:rsidRPr="00A47C2E" w:rsidRDefault="00A34EF2" w:rsidP="00A34EF2">
      <w:pPr>
        <w:pStyle w:val="SingleTxtG"/>
        <w:rPr>
          <w:rFonts w:eastAsiaTheme="minorEastAsia"/>
          <w:lang w:eastAsia="zh-CN"/>
        </w:rPr>
      </w:pPr>
      <w:r>
        <w:rPr>
          <w:rFonts w:eastAsiaTheme="minorEastAsia"/>
          <w:lang w:eastAsia="zh-CN"/>
        </w:rPr>
        <w:t>(c)</w:t>
      </w:r>
      <w:r>
        <w:rPr>
          <w:rFonts w:eastAsiaTheme="minorEastAsia"/>
          <w:lang w:eastAsia="zh-CN"/>
        </w:rPr>
        <w:tab/>
      </w:r>
      <w:r w:rsidRPr="00A47C2E">
        <w:rPr>
          <w:rFonts w:eastAsiaTheme="minorEastAsia"/>
          <w:lang w:eastAsia="zh-CN"/>
        </w:rPr>
        <w:t>electronic signs.</w:t>
      </w:r>
    </w:p>
    <w:p w14:paraId="199FCB4A" w14:textId="1FD86E07" w:rsidR="00A34EF2" w:rsidRPr="00A47C2E" w:rsidRDefault="00C449B3" w:rsidP="00A34EF2">
      <w:pPr>
        <w:pStyle w:val="SingleTxtG"/>
        <w:rPr>
          <w:rFonts w:eastAsiaTheme="minorEastAsia"/>
          <w:lang w:eastAsia="zh-CN"/>
        </w:rPr>
      </w:pPr>
      <w:r>
        <w:rPr>
          <w:rFonts w:eastAsiaTheme="minorEastAsia"/>
          <w:lang w:eastAsia="zh-CN"/>
        </w:rPr>
        <w:t>32.</w:t>
      </w:r>
      <w:r>
        <w:rPr>
          <w:rFonts w:eastAsiaTheme="minorEastAsia"/>
          <w:lang w:eastAsia="zh-CN"/>
        </w:rPr>
        <w:tab/>
      </w:r>
      <w:r w:rsidR="00A34EF2" w:rsidRPr="00A47C2E">
        <w:rPr>
          <w:rFonts w:eastAsiaTheme="minorEastAsia"/>
          <w:lang w:eastAsia="zh-CN"/>
        </w:rPr>
        <w:t>The idea behind this proposal is that “we need controlled change in order to keep cohesion” of road displays, whatever the signing domain, particularly between posted and electronic signs (shapes, design principles, contents). As it turned out in the case of VMS and their heterogeneous use through different European administrations, there is the real danger today that competing industries driven by marketing interests could take road signing for promotion purposes of particular brands (more fashionable, aesthetics, etc.).</w:t>
      </w:r>
    </w:p>
    <w:p w14:paraId="2246865D" w14:textId="7D5A2A6A" w:rsidR="00A34EF2" w:rsidRPr="00A47C2E" w:rsidRDefault="00C449B3" w:rsidP="00A34EF2">
      <w:pPr>
        <w:pStyle w:val="SingleTxtG"/>
        <w:rPr>
          <w:rFonts w:eastAsiaTheme="minorEastAsia"/>
          <w:lang w:eastAsia="zh-CN"/>
        </w:rPr>
      </w:pPr>
      <w:r>
        <w:rPr>
          <w:rFonts w:eastAsiaTheme="minorEastAsia"/>
          <w:lang w:eastAsia="zh-CN"/>
        </w:rPr>
        <w:t>33.</w:t>
      </w:r>
      <w:r>
        <w:rPr>
          <w:rFonts w:eastAsiaTheme="minorEastAsia"/>
          <w:lang w:eastAsia="zh-CN"/>
        </w:rPr>
        <w:tab/>
      </w:r>
      <w:r w:rsidR="00A34EF2" w:rsidRPr="00A47C2E">
        <w:rPr>
          <w:rFonts w:eastAsiaTheme="minorEastAsia"/>
          <w:lang w:eastAsia="zh-CN"/>
        </w:rPr>
        <w:t>Electronic signing, in principle, concerns the following devices:</w:t>
      </w:r>
    </w:p>
    <w:p w14:paraId="069D6545" w14:textId="0E002ED2"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traffic lights;</w:t>
      </w:r>
    </w:p>
    <w:p w14:paraId="5F42C67B" w14:textId="6D2CC19F"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traffic signals;</w:t>
      </w:r>
    </w:p>
    <w:p w14:paraId="1FC5424A" w14:textId="53278540" w:rsidR="00A34EF2" w:rsidRPr="00A47C2E" w:rsidRDefault="00A34EF2" w:rsidP="00A34EF2">
      <w:pPr>
        <w:pStyle w:val="SingleTxtG"/>
        <w:rPr>
          <w:rFonts w:eastAsiaTheme="minorEastAsia"/>
          <w:lang w:eastAsia="zh-CN"/>
        </w:rPr>
      </w:pPr>
      <w:r>
        <w:rPr>
          <w:rFonts w:eastAsiaTheme="minorEastAsia"/>
          <w:lang w:eastAsia="zh-CN"/>
        </w:rPr>
        <w:t>(c)</w:t>
      </w:r>
      <w:r>
        <w:rPr>
          <w:rFonts w:eastAsiaTheme="minorEastAsia"/>
          <w:lang w:eastAsia="zh-CN"/>
        </w:rPr>
        <w:tab/>
      </w:r>
      <w:r w:rsidRPr="00A47C2E">
        <w:rPr>
          <w:rFonts w:eastAsiaTheme="minorEastAsia"/>
          <w:lang w:eastAsia="zh-CN"/>
        </w:rPr>
        <w:t>VMS.</w:t>
      </w:r>
    </w:p>
    <w:p w14:paraId="6D8CD00B" w14:textId="0EF46C9B" w:rsidR="00A34EF2" w:rsidRPr="00A47C2E" w:rsidRDefault="00C449B3" w:rsidP="00A34EF2">
      <w:pPr>
        <w:pStyle w:val="SingleTxtG"/>
        <w:rPr>
          <w:rFonts w:eastAsiaTheme="minorEastAsia"/>
          <w:lang w:eastAsia="zh-CN"/>
        </w:rPr>
      </w:pPr>
      <w:r>
        <w:rPr>
          <w:rFonts w:eastAsiaTheme="minorEastAsia"/>
          <w:lang w:eastAsia="zh-CN"/>
        </w:rPr>
        <w:t>34.</w:t>
      </w:r>
      <w:r>
        <w:rPr>
          <w:rFonts w:eastAsiaTheme="minorEastAsia"/>
          <w:lang w:eastAsia="zh-CN"/>
        </w:rPr>
        <w:tab/>
      </w:r>
      <w:r w:rsidR="00A34EF2" w:rsidRPr="00A47C2E">
        <w:rPr>
          <w:rFonts w:eastAsiaTheme="minorEastAsia"/>
          <w:lang w:eastAsia="zh-CN"/>
        </w:rPr>
        <w:t>Consensus is sought for all types of road signs as a new platform for current and future work. At a later stage, an implementation programme will be warranted. This means:</w:t>
      </w:r>
    </w:p>
    <w:p w14:paraId="4E163AEB" w14:textId="364CF0ED" w:rsidR="00A34EF2" w:rsidRPr="00A47C2E" w:rsidRDefault="00A34EF2" w:rsidP="00A34EF2">
      <w:pPr>
        <w:pStyle w:val="SingleTxtG"/>
        <w:rPr>
          <w:rFonts w:eastAsiaTheme="minorEastAsia"/>
          <w:lang w:eastAsia="zh-CN"/>
        </w:rPr>
      </w:pPr>
      <w:r>
        <w:rPr>
          <w:rFonts w:eastAsiaTheme="minorEastAsia"/>
          <w:lang w:eastAsia="zh-CN"/>
        </w:rPr>
        <w:t>(a)</w:t>
      </w:r>
      <w:r>
        <w:rPr>
          <w:rFonts w:eastAsiaTheme="minorEastAsia"/>
          <w:lang w:eastAsia="zh-CN"/>
        </w:rPr>
        <w:tab/>
      </w:r>
      <w:r w:rsidRPr="00A47C2E">
        <w:rPr>
          <w:rFonts w:eastAsiaTheme="minorEastAsia"/>
          <w:lang w:eastAsia="zh-CN"/>
        </w:rPr>
        <w:t>reform following a step by step approach;</w:t>
      </w:r>
    </w:p>
    <w:p w14:paraId="45DF2C34" w14:textId="74937ABF" w:rsidR="00A34EF2" w:rsidRPr="00A47C2E" w:rsidRDefault="00A34EF2" w:rsidP="00A34EF2">
      <w:pPr>
        <w:pStyle w:val="SingleTxtG"/>
        <w:rPr>
          <w:rFonts w:eastAsiaTheme="minorEastAsia"/>
          <w:lang w:eastAsia="zh-CN"/>
        </w:rPr>
      </w:pPr>
      <w:r>
        <w:rPr>
          <w:rFonts w:eastAsiaTheme="minorEastAsia"/>
          <w:lang w:eastAsia="zh-CN"/>
        </w:rPr>
        <w:t>(b)</w:t>
      </w:r>
      <w:r>
        <w:rPr>
          <w:rFonts w:eastAsiaTheme="minorEastAsia"/>
          <w:lang w:eastAsia="zh-CN"/>
        </w:rPr>
        <w:tab/>
      </w:r>
      <w:r w:rsidRPr="00A47C2E">
        <w:rPr>
          <w:rFonts w:eastAsiaTheme="minorEastAsia"/>
          <w:lang w:eastAsia="zh-CN"/>
        </w:rPr>
        <w:t>consider the main issues, the main pictograms, creating proposals, etc.</w:t>
      </w:r>
    </w:p>
    <w:p w14:paraId="1DAF90C6" w14:textId="742852F1" w:rsidR="00A34EF2" w:rsidRPr="00A47C2E" w:rsidRDefault="006B7AF4" w:rsidP="00A34EF2">
      <w:pPr>
        <w:pStyle w:val="H1G"/>
      </w:pPr>
      <w:r>
        <w:tab/>
        <w:t>L.</w:t>
      </w:r>
      <w:r>
        <w:tab/>
      </w:r>
      <w:r w:rsidR="00A34EF2" w:rsidRPr="00A47C2E">
        <w:t>Action 12 - Making Transport of Dangerous Goods less dangerous</w:t>
      </w:r>
      <w:r w:rsidR="00CA6A9D">
        <w:t xml:space="preserve"> (unchanged)</w:t>
      </w:r>
    </w:p>
    <w:p w14:paraId="7351B326" w14:textId="12B206CC" w:rsidR="00A34EF2" w:rsidRPr="00A47C2E" w:rsidRDefault="00C449B3" w:rsidP="00A34EF2">
      <w:pPr>
        <w:pStyle w:val="SingleTxtG"/>
        <w:rPr>
          <w:rFonts w:eastAsiaTheme="minorEastAsia"/>
          <w:lang w:eastAsia="zh-CN"/>
        </w:rPr>
      </w:pPr>
      <w:r>
        <w:rPr>
          <w:rFonts w:eastAsiaTheme="minorEastAsia"/>
          <w:lang w:eastAsia="zh-CN"/>
        </w:rPr>
        <w:t>35.</w:t>
      </w:r>
      <w:r>
        <w:rPr>
          <w:rFonts w:eastAsiaTheme="minorEastAsia"/>
          <w:lang w:eastAsia="zh-CN"/>
        </w:rPr>
        <w:tab/>
      </w:r>
      <w:r w:rsidR="00A34EF2" w:rsidRPr="00A47C2E">
        <w:rPr>
          <w:rFonts w:eastAsiaTheme="minorEastAsia"/>
          <w:lang w:eastAsia="zh-CN"/>
        </w:rPr>
        <w:t>The Working Party on the Transport of Dangerous Goods (WP.15) will continue to further consider how ITS applications such as telematics could be used to improve safety, security and facilitate the transport of dangerous goods by standardization and by using monitoring and tracking systems linking consignors, transport operators, emergency responders, enforcement and control authorities and regulators.</w:t>
      </w:r>
    </w:p>
    <w:p w14:paraId="2052B3FD" w14:textId="312F3DEA" w:rsidR="00A34EF2" w:rsidRPr="00A47C2E" w:rsidRDefault="006B7AF4" w:rsidP="00A34EF2">
      <w:pPr>
        <w:pStyle w:val="H1G"/>
      </w:pPr>
      <w:r>
        <w:tab/>
        <w:t>M.</w:t>
      </w:r>
      <w:r>
        <w:tab/>
      </w:r>
      <w:r w:rsidR="00A34EF2" w:rsidRPr="00A47C2E">
        <w:t>Action 13 - Integrating with Rail Transport</w:t>
      </w:r>
      <w:r w:rsidR="00CA6A9D">
        <w:t xml:space="preserve"> (unchanged)</w:t>
      </w:r>
    </w:p>
    <w:p w14:paraId="1FCFBC11" w14:textId="60A6E418" w:rsidR="00A34EF2" w:rsidRPr="00A47C2E" w:rsidRDefault="00C449B3" w:rsidP="00A34EF2">
      <w:pPr>
        <w:pStyle w:val="SingleTxtG"/>
        <w:rPr>
          <w:rFonts w:eastAsiaTheme="minorEastAsia"/>
          <w:lang w:eastAsia="zh-CN"/>
        </w:rPr>
      </w:pPr>
      <w:r>
        <w:rPr>
          <w:rFonts w:eastAsiaTheme="minorEastAsia"/>
          <w:lang w:eastAsia="zh-CN"/>
        </w:rPr>
        <w:t>36.</w:t>
      </w:r>
      <w:r>
        <w:rPr>
          <w:rFonts w:eastAsiaTheme="minorEastAsia"/>
          <w:lang w:eastAsia="zh-CN"/>
        </w:rPr>
        <w:tab/>
      </w:r>
      <w:r w:rsidR="00A34EF2" w:rsidRPr="00A47C2E">
        <w:rPr>
          <w:rFonts w:eastAsiaTheme="minorEastAsia"/>
          <w:lang w:eastAsia="zh-CN"/>
        </w:rPr>
        <w:t>Interoperability is a key for improving rail infrastructure and thus the efficiency of railway operations. This would ensure that the railway sector could contribute to sustainable transport in a competitive environment with a level playing field for all modes.</w:t>
      </w:r>
    </w:p>
    <w:p w14:paraId="7F6E92C4" w14:textId="0055CCEA" w:rsidR="00A34EF2" w:rsidRPr="00A47C2E" w:rsidRDefault="00C449B3" w:rsidP="00A34EF2">
      <w:pPr>
        <w:pStyle w:val="SingleTxtG"/>
        <w:rPr>
          <w:rFonts w:eastAsiaTheme="minorEastAsia"/>
          <w:lang w:eastAsia="zh-CN"/>
        </w:rPr>
      </w:pPr>
      <w:r>
        <w:rPr>
          <w:rFonts w:eastAsiaTheme="minorEastAsia"/>
          <w:lang w:eastAsia="zh-CN"/>
        </w:rPr>
        <w:t>37.</w:t>
      </w:r>
      <w:r>
        <w:rPr>
          <w:rFonts w:eastAsiaTheme="minorEastAsia"/>
          <w:lang w:eastAsia="zh-CN"/>
        </w:rPr>
        <w:tab/>
      </w:r>
      <w:r w:rsidR="00A34EF2" w:rsidRPr="00A47C2E">
        <w:rPr>
          <w:rFonts w:eastAsiaTheme="minorEastAsia"/>
          <w:lang w:eastAsia="zh-CN"/>
        </w:rPr>
        <w:t xml:space="preserve">The revised Master Plans of the UNECE TEM (Trans-European North-South Motorway) and TER (Trans-European Railway) Projects published in autumn 2011, devote a whole chapter to both road and rail ITS, summarizing the present status of implementation as well as their expected future development. It also presents the experience gained by the individual member countries of TEM and TER Projects in these fields. It is expected that work in this field will continue. </w:t>
      </w:r>
    </w:p>
    <w:p w14:paraId="50016B0E" w14:textId="66C9F048" w:rsidR="00A34EF2" w:rsidRPr="00A47C2E" w:rsidRDefault="006B7AF4" w:rsidP="00A34EF2">
      <w:pPr>
        <w:pStyle w:val="H1G"/>
      </w:pPr>
      <w:r>
        <w:lastRenderedPageBreak/>
        <w:tab/>
        <w:t>N.</w:t>
      </w:r>
      <w:r>
        <w:tab/>
      </w:r>
      <w:r w:rsidR="00A34EF2" w:rsidRPr="00A47C2E">
        <w:t>Action 14 - Integrating with Inland Water Transport</w:t>
      </w:r>
      <w:r w:rsidR="00CA6A9D">
        <w:t xml:space="preserve"> (unchanged)</w:t>
      </w:r>
    </w:p>
    <w:p w14:paraId="6174C9AE" w14:textId="5D92A796" w:rsidR="00A34EF2" w:rsidRPr="00A47C2E" w:rsidRDefault="00C449B3" w:rsidP="00A34EF2">
      <w:pPr>
        <w:pStyle w:val="SingleTxtG"/>
        <w:rPr>
          <w:rFonts w:eastAsiaTheme="minorEastAsia"/>
          <w:lang w:eastAsia="zh-CN"/>
        </w:rPr>
      </w:pPr>
      <w:r>
        <w:rPr>
          <w:rFonts w:eastAsiaTheme="minorEastAsia"/>
          <w:lang w:eastAsia="zh-CN"/>
        </w:rPr>
        <w:t>38.</w:t>
      </w:r>
      <w:r>
        <w:rPr>
          <w:rFonts w:eastAsiaTheme="minorEastAsia"/>
          <w:lang w:eastAsia="zh-CN"/>
        </w:rPr>
        <w:tab/>
      </w:r>
      <w:r w:rsidR="00A34EF2" w:rsidRPr="00A47C2E">
        <w:rPr>
          <w:rFonts w:eastAsiaTheme="minorEastAsia"/>
          <w:lang w:eastAsia="zh-CN"/>
        </w:rPr>
        <w:t>The UNECE “White Paper on Efficient and Sustainable Inland Water Transport in Europe” identifies River Information Systems (RIS) as one of the seven strategic areas of inland waterway transport developments. Under Policy Recommendation No. 3 the White paper calls on Governments, river navigation commissions, international organizations and the inland navigation industry to “promote the use of River Information Service and other information communication technologies (ICT)”. It proposes a series of UNECE actions in this area, including supporting a pan-European dialogue on the implementation and further development of RIS and encouraging other uses of ICT for facilitating IWT operations and inspections of inland navigation vessels. The UNECE Working Party on Inland Water Transport (SC.3) will carry out this work.</w:t>
      </w:r>
    </w:p>
    <w:p w14:paraId="586A10FF" w14:textId="7506336C" w:rsidR="00A34EF2" w:rsidRPr="00A47C2E" w:rsidRDefault="006B7AF4" w:rsidP="00A34EF2">
      <w:pPr>
        <w:pStyle w:val="H1G"/>
      </w:pPr>
      <w:r>
        <w:tab/>
        <w:t>O.</w:t>
      </w:r>
      <w:r>
        <w:tab/>
      </w:r>
      <w:r w:rsidR="00A34EF2" w:rsidRPr="00A47C2E">
        <w:t>Action 15 - Enhancing the modal integrator’s role of ITS</w:t>
      </w:r>
      <w:r w:rsidR="00CA6A9D">
        <w:t xml:space="preserve"> (unchanged)</w:t>
      </w:r>
    </w:p>
    <w:p w14:paraId="781AD8FB" w14:textId="70546AD7" w:rsidR="00A34EF2" w:rsidRPr="00A47C2E" w:rsidRDefault="00C449B3" w:rsidP="00A34EF2">
      <w:pPr>
        <w:pStyle w:val="SingleTxtG"/>
        <w:rPr>
          <w:rFonts w:eastAsiaTheme="minorEastAsia"/>
          <w:lang w:eastAsia="zh-CN"/>
        </w:rPr>
      </w:pPr>
      <w:r>
        <w:rPr>
          <w:rFonts w:eastAsiaTheme="minorEastAsia"/>
          <w:lang w:eastAsia="zh-CN"/>
        </w:rPr>
        <w:t>39.</w:t>
      </w:r>
      <w:r>
        <w:rPr>
          <w:rFonts w:eastAsiaTheme="minorEastAsia"/>
          <w:lang w:eastAsia="zh-CN"/>
        </w:rPr>
        <w:tab/>
      </w:r>
      <w:r w:rsidR="00A34EF2" w:rsidRPr="00A47C2E">
        <w:rPr>
          <w:rFonts w:eastAsiaTheme="minorEastAsia"/>
          <w:lang w:eastAsia="zh-CN"/>
        </w:rPr>
        <w:t>The Working Party on Intermodal Transport and Logistics (WP.24) as well as the Working Party on Road Transport (SC.1) will take actions to simplify the rules and requirements on international road and intermodal transport and the relevant administrative procedures and documentation. Integration of different transport modes and their information systems will allow inclusion of electronic information on road freight traffic operations in the intermodal transport operations and supply chains, making logistics and security more integrated and automated, thus increasing the efficiency and security of administrative procedures.</w:t>
      </w:r>
    </w:p>
    <w:p w14:paraId="390306ED" w14:textId="63AFAB3A" w:rsidR="00A34EF2" w:rsidRPr="00A47C2E" w:rsidRDefault="006B7AF4" w:rsidP="00A34EF2">
      <w:pPr>
        <w:pStyle w:val="H1G"/>
      </w:pPr>
      <w:r>
        <w:tab/>
        <w:t>P.</w:t>
      </w:r>
      <w:r>
        <w:tab/>
      </w:r>
      <w:r w:rsidR="00A34EF2" w:rsidRPr="00A47C2E">
        <w:t>Action 16 Developing Cost-benefit assessment methodologies</w:t>
      </w:r>
      <w:r w:rsidR="00CA6A9D">
        <w:t xml:space="preserve"> (unchanged)</w:t>
      </w:r>
    </w:p>
    <w:p w14:paraId="442D81BF" w14:textId="68A47DFD" w:rsidR="00A34EF2" w:rsidRPr="00A47C2E" w:rsidRDefault="00C449B3" w:rsidP="00A34EF2">
      <w:pPr>
        <w:pStyle w:val="SingleTxtG"/>
        <w:rPr>
          <w:rFonts w:eastAsiaTheme="minorEastAsia"/>
          <w:lang w:eastAsia="zh-CN"/>
        </w:rPr>
      </w:pPr>
      <w:r>
        <w:rPr>
          <w:rFonts w:eastAsiaTheme="minorEastAsia"/>
          <w:lang w:eastAsia="zh-CN"/>
        </w:rPr>
        <w:t>40.</w:t>
      </w:r>
      <w:r>
        <w:rPr>
          <w:rFonts w:eastAsiaTheme="minorEastAsia"/>
          <w:lang w:eastAsia="zh-CN"/>
        </w:rPr>
        <w:tab/>
      </w:r>
      <w:r w:rsidR="00A34EF2" w:rsidRPr="00A47C2E">
        <w:rPr>
          <w:rFonts w:eastAsiaTheme="minorEastAsia"/>
          <w:lang w:eastAsia="zh-CN"/>
        </w:rPr>
        <w:t xml:space="preserve">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special interest to Governments and </w:t>
      </w:r>
      <w:proofErr w:type="gramStart"/>
      <w:r w:rsidR="00A34EF2" w:rsidRPr="00A47C2E">
        <w:rPr>
          <w:rFonts w:eastAsiaTheme="minorEastAsia"/>
          <w:lang w:eastAsia="zh-CN"/>
        </w:rPr>
        <w:t>policy-makers</w:t>
      </w:r>
      <w:proofErr w:type="gramEnd"/>
      <w:r w:rsidR="00A34EF2" w:rsidRPr="00A47C2E">
        <w:rPr>
          <w:rFonts w:eastAsiaTheme="minorEastAsia"/>
          <w:lang w:eastAsia="zh-CN"/>
        </w:rPr>
        <w:t>.</w:t>
      </w:r>
    </w:p>
    <w:p w14:paraId="20D75973" w14:textId="1152F154" w:rsidR="00A34EF2" w:rsidRPr="00A47C2E" w:rsidRDefault="00C449B3" w:rsidP="00A34EF2">
      <w:pPr>
        <w:pStyle w:val="SingleTxtG"/>
        <w:rPr>
          <w:rFonts w:eastAsiaTheme="minorEastAsia"/>
          <w:lang w:eastAsia="zh-CN"/>
        </w:rPr>
      </w:pPr>
      <w:r>
        <w:rPr>
          <w:rFonts w:eastAsiaTheme="minorEastAsia"/>
          <w:lang w:eastAsia="zh-CN"/>
        </w:rPr>
        <w:t>41.</w:t>
      </w:r>
      <w:r>
        <w:rPr>
          <w:rFonts w:eastAsiaTheme="minorEastAsia"/>
          <w:lang w:eastAsia="zh-CN"/>
        </w:rPr>
        <w:tab/>
      </w:r>
      <w:r w:rsidR="00A34EF2" w:rsidRPr="00A47C2E">
        <w:rPr>
          <w:rFonts w:eastAsiaTheme="minorEastAsia"/>
          <w:lang w:eastAsia="zh-CN"/>
        </w:rPr>
        <w:t xml:space="preserve">It is an area where UNECE and </w:t>
      </w:r>
      <w:proofErr w:type="gramStart"/>
      <w:r w:rsidR="00A34EF2" w:rsidRPr="00A47C2E">
        <w:rPr>
          <w:rFonts w:eastAsiaTheme="minorEastAsia"/>
          <w:lang w:eastAsia="zh-CN"/>
        </w:rPr>
        <w:t>in particular WP</w:t>
      </w:r>
      <w:proofErr w:type="gramEnd"/>
      <w:r w:rsidR="00A34EF2" w:rsidRPr="00A47C2E">
        <w:rPr>
          <w:rFonts w:eastAsiaTheme="minorEastAsia"/>
          <w:lang w:eastAsia="zh-CN"/>
        </w:rPr>
        <w:t>.5 are also tasked to work more and to provide guidance, building on earlier achievements and technical assistance in investment assessment methodologies. Transport Canada and the United States Department of Transportation might be of assistance since they have advanced knowledge and experience in this area.</w:t>
      </w:r>
    </w:p>
    <w:p w14:paraId="008F5B2F" w14:textId="2E3DE8EC" w:rsidR="00A34EF2" w:rsidRPr="00A47C2E" w:rsidRDefault="006B7AF4" w:rsidP="00A34EF2">
      <w:pPr>
        <w:pStyle w:val="H1G"/>
      </w:pPr>
      <w:r>
        <w:tab/>
        <w:t>Q.</w:t>
      </w:r>
      <w:r>
        <w:tab/>
      </w:r>
      <w:r w:rsidR="00A34EF2" w:rsidRPr="00A47C2E">
        <w:t xml:space="preserve">Action 17 - </w:t>
      </w:r>
      <w:r w:rsidR="00A34EF2">
        <w:t>Improving the long-term environmental sustainability of transport</w:t>
      </w:r>
    </w:p>
    <w:p w14:paraId="16A9DBB7" w14:textId="3F63808D" w:rsidR="00A34EF2" w:rsidRPr="00A47C2E" w:rsidRDefault="00C449B3" w:rsidP="00A34EF2">
      <w:pPr>
        <w:pStyle w:val="SingleTxtG"/>
        <w:rPr>
          <w:rFonts w:eastAsiaTheme="minorEastAsia"/>
          <w:lang w:eastAsia="zh-CN"/>
        </w:rPr>
      </w:pPr>
      <w:r>
        <w:rPr>
          <w:rFonts w:eastAsiaTheme="minorEastAsia"/>
          <w:lang w:eastAsia="zh-CN"/>
        </w:rPr>
        <w:t>42.</w:t>
      </w:r>
      <w:r>
        <w:rPr>
          <w:rFonts w:eastAsiaTheme="minorEastAsia"/>
          <w:lang w:eastAsia="zh-CN"/>
        </w:rPr>
        <w:tab/>
      </w:r>
      <w:r w:rsidR="00A34EF2" w:rsidRPr="00A47C2E">
        <w:rPr>
          <w:rFonts w:eastAsiaTheme="minorEastAsia"/>
          <w:lang w:eastAsia="zh-CN"/>
        </w:rPr>
        <w:t xml:space="preserve">The potential contribution of ITS to reduced pollution and congestion is crucial. In January 2011 the UNECE Sustainable Transport Division launched the United Nations Development Account funded project on climate change and transport. The goal </w:t>
      </w:r>
      <w:r w:rsidR="00A34EF2">
        <w:rPr>
          <w:rFonts w:eastAsiaTheme="minorEastAsia"/>
          <w:lang w:eastAsia="zh-CN"/>
        </w:rPr>
        <w:t>was</w:t>
      </w:r>
      <w:r w:rsidR="00A34EF2" w:rsidRPr="00A47C2E">
        <w:rPr>
          <w:rFonts w:eastAsiaTheme="minorEastAsia"/>
          <w:lang w:eastAsia="zh-CN"/>
        </w:rPr>
        <w:t xml:space="preserve"> to develop and implement a monitoring and assessment tool for CO</w:t>
      </w:r>
      <w:r w:rsidR="00A34EF2" w:rsidRPr="001E5877">
        <w:rPr>
          <w:rFonts w:eastAsiaTheme="minorEastAsia"/>
          <w:vertAlign w:val="subscript"/>
          <w:lang w:eastAsia="zh-CN"/>
        </w:rPr>
        <w:t>2</w:t>
      </w:r>
      <w:r w:rsidR="00A34EF2" w:rsidRPr="00A47C2E">
        <w:rPr>
          <w:rFonts w:eastAsiaTheme="minorEastAsia"/>
          <w:lang w:eastAsia="zh-CN"/>
        </w:rPr>
        <w:t xml:space="preserve"> emissions in inland transport to facilitate climate change mitigation.</w:t>
      </w:r>
    </w:p>
    <w:p w14:paraId="0D5EB375" w14:textId="524A399F" w:rsidR="00A34EF2" w:rsidRPr="00A47C2E" w:rsidRDefault="00C449B3" w:rsidP="00A34EF2">
      <w:pPr>
        <w:pStyle w:val="SingleTxtG"/>
        <w:rPr>
          <w:rFonts w:eastAsiaTheme="minorEastAsia"/>
          <w:lang w:eastAsia="zh-CN"/>
        </w:rPr>
      </w:pPr>
      <w:r>
        <w:rPr>
          <w:rFonts w:eastAsiaTheme="minorEastAsia"/>
          <w:lang w:eastAsia="zh-CN"/>
        </w:rPr>
        <w:t>43.</w:t>
      </w:r>
      <w:r>
        <w:rPr>
          <w:rFonts w:eastAsiaTheme="minorEastAsia"/>
          <w:lang w:eastAsia="zh-CN"/>
        </w:rPr>
        <w:tab/>
      </w:r>
      <w:r w:rsidR="00A34EF2" w:rsidRPr="00CA6A9D">
        <w:rPr>
          <w:rFonts w:eastAsiaTheme="minorEastAsia"/>
          <w:b/>
          <w:bCs/>
          <w:lang w:eastAsia="zh-CN"/>
        </w:rPr>
        <w:t xml:space="preserve">As the outcome of this project, the </w:t>
      </w:r>
      <w:proofErr w:type="spellStart"/>
      <w:r w:rsidR="00A34EF2" w:rsidRPr="00CA6A9D">
        <w:rPr>
          <w:rFonts w:eastAsiaTheme="minorEastAsia"/>
          <w:b/>
          <w:bCs/>
          <w:lang w:eastAsia="zh-CN"/>
        </w:rPr>
        <w:t>ForFITS</w:t>
      </w:r>
      <w:proofErr w:type="spellEnd"/>
      <w:r w:rsidR="00A34EF2" w:rsidRPr="00CA6A9D">
        <w:rPr>
          <w:rFonts w:eastAsiaTheme="minorEastAsia"/>
          <w:b/>
          <w:bCs/>
          <w:lang w:eastAsia="zh-CN"/>
        </w:rPr>
        <w:t xml:space="preserve"> (For Future Inland Transport Systems) tool is primarily focused on CO</w:t>
      </w:r>
      <w:r w:rsidR="00A34EF2" w:rsidRPr="00CA6A9D">
        <w:rPr>
          <w:rFonts w:eastAsiaTheme="minorEastAsia"/>
          <w:b/>
          <w:bCs/>
          <w:vertAlign w:val="subscript"/>
          <w:lang w:eastAsia="zh-CN"/>
        </w:rPr>
        <w:t>2</w:t>
      </w:r>
      <w:r w:rsidR="00A34EF2" w:rsidRPr="00CA6A9D">
        <w:rPr>
          <w:rFonts w:eastAsiaTheme="minorEastAsia"/>
          <w:b/>
          <w:bCs/>
          <w:lang w:eastAsia="zh-CN"/>
        </w:rPr>
        <w:t xml:space="preserve"> emissions from inland transport, including road, rail and inland waterways, and predicts future emissions based on current patterns. The </w:t>
      </w:r>
      <w:r w:rsidR="00A34EF2" w:rsidRPr="00A47C2E">
        <w:rPr>
          <w:rFonts w:eastAsiaTheme="minorEastAsia"/>
          <w:lang w:eastAsia="zh-CN"/>
        </w:rPr>
        <w:t xml:space="preserve">tool </w:t>
      </w:r>
      <w:r w:rsidR="00A34EF2">
        <w:rPr>
          <w:rFonts w:eastAsiaTheme="minorEastAsia"/>
          <w:lang w:eastAsia="zh-CN"/>
        </w:rPr>
        <w:t>is</w:t>
      </w:r>
      <w:r w:rsidR="00A34EF2" w:rsidRPr="00A47C2E">
        <w:rPr>
          <w:rFonts w:eastAsiaTheme="minorEastAsia"/>
          <w:lang w:eastAsia="zh-CN"/>
        </w:rPr>
        <w:t xml:space="preserve"> freely available to all United Nations Member States. It provide</w:t>
      </w:r>
      <w:r w:rsidR="00A34EF2">
        <w:rPr>
          <w:rFonts w:eastAsiaTheme="minorEastAsia"/>
          <w:lang w:eastAsia="zh-CN"/>
        </w:rPr>
        <w:t>s</w:t>
      </w:r>
      <w:r w:rsidR="00A34EF2" w:rsidRPr="00A47C2E">
        <w:rPr>
          <w:rFonts w:eastAsiaTheme="minorEastAsia"/>
          <w:lang w:eastAsia="zh-CN"/>
        </w:rPr>
        <w:t xml:space="preserve"> a robust framework for analysing different scenarios of sustainable transport, proposing transport-policy strategies, among them the further development of ITS. </w:t>
      </w:r>
    </w:p>
    <w:p w14:paraId="0517426C" w14:textId="53A20136" w:rsidR="00A34EF2" w:rsidRPr="00A47C2E" w:rsidRDefault="006B7AF4" w:rsidP="00A34EF2">
      <w:pPr>
        <w:pStyle w:val="H1G"/>
      </w:pPr>
      <w:r>
        <w:lastRenderedPageBreak/>
        <w:tab/>
        <w:t>R.</w:t>
      </w:r>
      <w:r>
        <w:tab/>
      </w:r>
      <w:r w:rsidR="00A34EF2" w:rsidRPr="00A47C2E">
        <w:t>Action 18 - Launching analytical work</w:t>
      </w:r>
    </w:p>
    <w:p w14:paraId="685BD9D3" w14:textId="50A2DD1B" w:rsidR="00A34EF2" w:rsidRPr="00A47C2E" w:rsidRDefault="00C449B3" w:rsidP="00A34EF2">
      <w:pPr>
        <w:pStyle w:val="SingleTxtG"/>
        <w:rPr>
          <w:rFonts w:eastAsiaTheme="minorEastAsia"/>
          <w:lang w:eastAsia="zh-CN"/>
        </w:rPr>
      </w:pPr>
      <w:r>
        <w:rPr>
          <w:rFonts w:eastAsiaTheme="minorEastAsia"/>
          <w:lang w:eastAsia="zh-CN"/>
        </w:rPr>
        <w:t>44.</w:t>
      </w:r>
      <w:r>
        <w:rPr>
          <w:rFonts w:eastAsiaTheme="minorEastAsia"/>
          <w:lang w:eastAsia="zh-CN"/>
        </w:rPr>
        <w:tab/>
      </w:r>
      <w:r w:rsidR="00A34EF2" w:rsidRPr="00A47C2E">
        <w:rPr>
          <w:rFonts w:eastAsiaTheme="minorEastAsia"/>
          <w:lang w:eastAsia="zh-CN"/>
        </w:rPr>
        <w:t>Every ITS service depends on the availability of an Information and Communication Technology (ICT) backbone and enabling systems that constitute the core of ICT infrastructure.</w:t>
      </w:r>
    </w:p>
    <w:p w14:paraId="26C058C5" w14:textId="55506032" w:rsidR="00A34EF2" w:rsidRPr="00A47C2E" w:rsidRDefault="00C449B3" w:rsidP="00A34EF2">
      <w:pPr>
        <w:pStyle w:val="SingleTxtG"/>
        <w:rPr>
          <w:rFonts w:eastAsiaTheme="minorEastAsia"/>
          <w:lang w:eastAsia="zh-CN"/>
        </w:rPr>
      </w:pPr>
      <w:r>
        <w:rPr>
          <w:rFonts w:eastAsiaTheme="minorEastAsia"/>
          <w:lang w:eastAsia="zh-CN"/>
        </w:rPr>
        <w:t>45.</w:t>
      </w:r>
      <w:r>
        <w:rPr>
          <w:rFonts w:eastAsiaTheme="minorEastAsia"/>
          <w:lang w:eastAsia="zh-CN"/>
        </w:rPr>
        <w:tab/>
      </w:r>
      <w:r w:rsidR="00A34EF2" w:rsidRPr="00A47C2E">
        <w:rPr>
          <w:rFonts w:eastAsiaTheme="minorEastAsia"/>
          <w:lang w:eastAsia="zh-CN"/>
        </w:rPr>
        <w:t>The success rate of ITS implementation is closely related to the availability of ICT infrastructure. The capability to deliver ITS services does not grow in a linear direction with the augmentation of available technology, but for most ITS services a minimum critical mass is needed in order to perform a wide number of tasks.</w:t>
      </w:r>
    </w:p>
    <w:p w14:paraId="3C1A48F2" w14:textId="13840ECB" w:rsidR="00A34EF2" w:rsidRPr="00A47C2E" w:rsidRDefault="00C449B3" w:rsidP="00A34EF2">
      <w:pPr>
        <w:pStyle w:val="SingleTxtG"/>
        <w:rPr>
          <w:rFonts w:eastAsiaTheme="minorEastAsia"/>
          <w:lang w:eastAsia="zh-CN"/>
        </w:rPr>
      </w:pPr>
      <w:r>
        <w:rPr>
          <w:rFonts w:eastAsiaTheme="minorEastAsia"/>
          <w:lang w:eastAsia="zh-CN"/>
        </w:rPr>
        <w:t>46.</w:t>
      </w:r>
      <w:r>
        <w:rPr>
          <w:rFonts w:eastAsiaTheme="minorEastAsia"/>
          <w:lang w:eastAsia="zh-CN"/>
        </w:rPr>
        <w:tab/>
      </w:r>
      <w:r w:rsidR="00A34EF2" w:rsidRPr="00A47C2E">
        <w:rPr>
          <w:rFonts w:eastAsiaTheme="minorEastAsia"/>
          <w:lang w:eastAsia="zh-CN"/>
        </w:rPr>
        <w:t>More research and analysis in this field should be carried out by UNECE - obviously through leveraging the benefits of inter-agency cooperation – to assist governments and to provide advice.</w:t>
      </w:r>
    </w:p>
    <w:p w14:paraId="576D3B69" w14:textId="7AA73DC3" w:rsidR="00A34EF2" w:rsidRPr="00A47C2E" w:rsidRDefault="006B7AF4" w:rsidP="00A34EF2">
      <w:pPr>
        <w:pStyle w:val="H1G"/>
      </w:pPr>
      <w:r>
        <w:tab/>
        <w:t>S.</w:t>
      </w:r>
      <w:r>
        <w:tab/>
      </w:r>
      <w:r w:rsidR="00A34EF2" w:rsidRPr="00A47C2E">
        <w:t>Action 19 - Contributing to capacity building, education and awareness raising, with special attention to emerging economies</w:t>
      </w:r>
    </w:p>
    <w:p w14:paraId="148D20A3" w14:textId="23282462" w:rsidR="00A34EF2" w:rsidRPr="00A47C2E" w:rsidRDefault="00C449B3" w:rsidP="00C449B3">
      <w:pPr>
        <w:pStyle w:val="H23G"/>
        <w:rPr>
          <w:rFonts w:eastAsiaTheme="minorEastAsia"/>
          <w:lang w:eastAsia="zh-CN"/>
        </w:rPr>
      </w:pPr>
      <w:r>
        <w:rPr>
          <w:rFonts w:eastAsiaTheme="minorEastAsia"/>
          <w:lang w:eastAsia="zh-CN"/>
        </w:rPr>
        <w:tab/>
        <w:t>(a)</w:t>
      </w:r>
      <w:r>
        <w:rPr>
          <w:rFonts w:eastAsiaTheme="minorEastAsia"/>
          <w:lang w:eastAsia="zh-CN"/>
        </w:rPr>
        <w:tab/>
      </w:r>
      <w:r w:rsidR="00A34EF2" w:rsidRPr="00A47C2E">
        <w:rPr>
          <w:rFonts w:eastAsiaTheme="minorEastAsia"/>
          <w:lang w:eastAsia="zh-CN"/>
        </w:rPr>
        <w:t>Assisting Governments</w:t>
      </w:r>
    </w:p>
    <w:p w14:paraId="0529B980" w14:textId="011F8284" w:rsidR="00A34EF2" w:rsidRPr="00A47C2E" w:rsidRDefault="00C449B3" w:rsidP="00A34EF2">
      <w:pPr>
        <w:pStyle w:val="SingleTxtG"/>
        <w:rPr>
          <w:rFonts w:eastAsiaTheme="minorEastAsia"/>
          <w:lang w:eastAsia="zh-CN"/>
        </w:rPr>
      </w:pPr>
      <w:r>
        <w:rPr>
          <w:rFonts w:eastAsiaTheme="minorEastAsia"/>
          <w:lang w:eastAsia="zh-CN"/>
        </w:rPr>
        <w:t>47.</w:t>
      </w:r>
      <w:r>
        <w:rPr>
          <w:rFonts w:eastAsiaTheme="minorEastAsia"/>
          <w:lang w:eastAsia="zh-CN"/>
        </w:rPr>
        <w:tab/>
      </w:r>
      <w:r w:rsidR="00A34EF2" w:rsidRPr="00A47C2E">
        <w:rPr>
          <w:rFonts w:eastAsiaTheme="minorEastAsia"/>
          <w:lang w:eastAsia="zh-CN"/>
        </w:rPr>
        <w:t xml:space="preserve">The major aim of the UNECE is to promote economic integration. To this end, it provides analysis, policy advice and assistance to Governments; it supports the United Nations global mandates in the economic field, in cooperation with other global players and key stakeholders. </w:t>
      </w:r>
      <w:proofErr w:type="gramStart"/>
      <w:r w:rsidR="00A34EF2" w:rsidRPr="00A47C2E">
        <w:rPr>
          <w:rFonts w:eastAsiaTheme="minorEastAsia"/>
          <w:lang w:eastAsia="zh-CN"/>
        </w:rPr>
        <w:t>In light of</w:t>
      </w:r>
      <w:proofErr w:type="gramEnd"/>
      <w:r w:rsidR="00A34EF2" w:rsidRPr="00A47C2E">
        <w:rPr>
          <w:rFonts w:eastAsiaTheme="minorEastAsia"/>
          <w:lang w:eastAsia="zh-CN"/>
        </w:rPr>
        <w:t xml:space="preserve"> this mandate, the Sustainable Transport Division has the necessary experience and is prepared to assist Governments and stakeholders in the deployment of ITS. This could be done through capacity building workshops and in cooperation with the other regional commissions (the Economic and Social Commission for Asia and the Pacific (ESCAP), the Economic Commission for Latin America and the Caribbean (ECLAC), the Economic Commission for Africa (ECA) and the Economic and Social Commission for Western Asia (ESCWA)).</w:t>
      </w:r>
    </w:p>
    <w:p w14:paraId="2CBE2464" w14:textId="687E49A0" w:rsidR="00A34EF2" w:rsidRPr="00A47C2E" w:rsidRDefault="00C449B3" w:rsidP="00A34EF2">
      <w:pPr>
        <w:pStyle w:val="SingleTxtG"/>
        <w:rPr>
          <w:rFonts w:eastAsiaTheme="minorEastAsia"/>
          <w:lang w:eastAsia="zh-CN"/>
        </w:rPr>
      </w:pPr>
      <w:r>
        <w:rPr>
          <w:rFonts w:eastAsiaTheme="minorEastAsia"/>
          <w:lang w:eastAsia="zh-CN"/>
        </w:rPr>
        <w:t>48.</w:t>
      </w:r>
      <w:r>
        <w:rPr>
          <w:rFonts w:eastAsiaTheme="minorEastAsia"/>
          <w:lang w:eastAsia="zh-CN"/>
        </w:rPr>
        <w:tab/>
      </w:r>
      <w:r w:rsidR="00A34EF2" w:rsidRPr="00A47C2E">
        <w:rPr>
          <w:rFonts w:eastAsiaTheme="minorEastAsia"/>
          <w:lang w:eastAsia="zh-CN"/>
        </w:rPr>
        <w:t xml:space="preserve">The growth of road transport continues to be significant, especially in emerging economies. </w:t>
      </w:r>
      <w:r w:rsidR="00A34EF2">
        <w:rPr>
          <w:rFonts w:eastAsiaTheme="minorEastAsia"/>
          <w:lang w:eastAsia="zh-CN"/>
        </w:rPr>
        <w:t>T</w:t>
      </w:r>
      <w:r w:rsidR="00A34EF2" w:rsidRPr="00A47C2E">
        <w:rPr>
          <w:rFonts w:eastAsiaTheme="minorEastAsia"/>
          <w:lang w:eastAsia="zh-CN"/>
        </w:rPr>
        <w:t>he growth has been accompanied by rapid urbanization that is expected to continue unabated in the future. The rising concentration of population in cities is accompanied by growing social problems such as worsening traffic congestion, increasing air pollution and an escalating number of road accidents. However, not only urban areas are affected by these developments. Road transport growth exceeds the capacity of existing infrastructures and reform requirements in modern transport management are needed. These are all areas where ITS offers practicable solutions.</w:t>
      </w:r>
    </w:p>
    <w:p w14:paraId="1586CF59" w14:textId="04D8D5B8" w:rsidR="00A34EF2" w:rsidRPr="00A47C2E" w:rsidRDefault="00C449B3" w:rsidP="00A34EF2">
      <w:pPr>
        <w:pStyle w:val="SingleTxtG"/>
        <w:rPr>
          <w:rFonts w:eastAsiaTheme="minorEastAsia"/>
          <w:lang w:eastAsia="zh-CN"/>
        </w:rPr>
      </w:pPr>
      <w:r>
        <w:rPr>
          <w:rFonts w:eastAsiaTheme="minorEastAsia"/>
          <w:lang w:eastAsia="zh-CN"/>
        </w:rPr>
        <w:t>49.</w:t>
      </w:r>
      <w:r>
        <w:rPr>
          <w:rFonts w:eastAsiaTheme="minorEastAsia"/>
          <w:lang w:eastAsia="zh-CN"/>
        </w:rPr>
        <w:tab/>
      </w:r>
      <w:r w:rsidR="00A34EF2" w:rsidRPr="00A47C2E">
        <w:rPr>
          <w:rFonts w:eastAsiaTheme="minorEastAsia"/>
          <w:lang w:eastAsia="zh-CN"/>
        </w:rPr>
        <w:t>Education and awareness-raising is the key to innovation in transport. There is a need to inform the public how the future mobility will look like in order to foster this new culture, to keep the public abreast of what is going on, to plant understanding and gain acceptance and support.</w:t>
      </w:r>
    </w:p>
    <w:p w14:paraId="6FCD3397" w14:textId="0F07608A" w:rsidR="00A34EF2" w:rsidRPr="00A47C2E" w:rsidRDefault="00C449B3" w:rsidP="00C449B3">
      <w:pPr>
        <w:pStyle w:val="H23G"/>
        <w:rPr>
          <w:rFonts w:eastAsiaTheme="minorEastAsia"/>
          <w:lang w:eastAsia="zh-CN"/>
        </w:rPr>
      </w:pPr>
      <w:r>
        <w:rPr>
          <w:rFonts w:eastAsiaTheme="minorEastAsia"/>
          <w:lang w:eastAsia="zh-CN"/>
        </w:rPr>
        <w:tab/>
        <w:t>(b)</w:t>
      </w:r>
      <w:r>
        <w:rPr>
          <w:rFonts w:eastAsiaTheme="minorEastAsia"/>
          <w:lang w:eastAsia="zh-CN"/>
        </w:rPr>
        <w:tab/>
      </w:r>
      <w:r w:rsidR="00A34EF2" w:rsidRPr="00A47C2E">
        <w:rPr>
          <w:rFonts w:eastAsiaTheme="minorEastAsia"/>
          <w:lang w:eastAsia="zh-CN"/>
        </w:rPr>
        <w:t>Leapfrogging</w:t>
      </w:r>
    </w:p>
    <w:p w14:paraId="2E4112C8" w14:textId="18777D9B" w:rsidR="00A34EF2" w:rsidRPr="00A47C2E" w:rsidRDefault="00C449B3" w:rsidP="00A34EF2">
      <w:pPr>
        <w:pStyle w:val="SingleTxtG"/>
        <w:rPr>
          <w:rFonts w:eastAsiaTheme="minorEastAsia"/>
          <w:lang w:eastAsia="zh-CN"/>
        </w:rPr>
      </w:pPr>
      <w:r>
        <w:rPr>
          <w:rFonts w:eastAsiaTheme="minorEastAsia"/>
          <w:lang w:eastAsia="zh-CN"/>
        </w:rPr>
        <w:t>50.</w:t>
      </w:r>
      <w:r>
        <w:rPr>
          <w:rFonts w:eastAsiaTheme="minorEastAsia"/>
          <w:lang w:eastAsia="zh-CN"/>
        </w:rPr>
        <w:tab/>
      </w:r>
      <w:r w:rsidR="00A34EF2" w:rsidRPr="00A47C2E">
        <w:rPr>
          <w:rFonts w:eastAsiaTheme="minorEastAsia"/>
          <w:lang w:eastAsia="zh-CN"/>
        </w:rPr>
        <w:t>The UNECE platform could be used as a bridge to disseminate knowledge and best practices and become the umbrella for coordinated policy action in the field of Intelligent Transport Systems worldwide. Developing countries can leapfrog far more rapidly to an ITS-enabled infrastructure and far less expensively than developed countries. The important role of UNECE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117A3DED" w14:textId="3957CD41" w:rsidR="00A34EF2" w:rsidRPr="00A47C2E" w:rsidRDefault="006B7AF4" w:rsidP="00A34EF2">
      <w:pPr>
        <w:pStyle w:val="H1G"/>
      </w:pPr>
      <w:r>
        <w:lastRenderedPageBreak/>
        <w:tab/>
        <w:t>T.</w:t>
      </w:r>
      <w:r>
        <w:tab/>
      </w:r>
      <w:r w:rsidR="00A34EF2" w:rsidRPr="00A47C2E">
        <w:t>Action 20 - Organising the United Nations Annual Round Table on Intelligent Transport Systems</w:t>
      </w:r>
    </w:p>
    <w:p w14:paraId="19A67A94" w14:textId="3F46296F" w:rsidR="00A34EF2" w:rsidRPr="00A47C2E" w:rsidRDefault="00C449B3" w:rsidP="00A34EF2">
      <w:pPr>
        <w:pStyle w:val="SingleTxtG"/>
        <w:rPr>
          <w:rFonts w:eastAsiaTheme="minorEastAsia"/>
          <w:lang w:eastAsia="zh-CN"/>
        </w:rPr>
      </w:pPr>
      <w:r>
        <w:rPr>
          <w:rFonts w:eastAsiaTheme="minorEastAsia"/>
          <w:lang w:eastAsia="zh-CN"/>
        </w:rPr>
        <w:t>51.</w:t>
      </w:r>
      <w:r>
        <w:rPr>
          <w:rFonts w:eastAsiaTheme="minorEastAsia"/>
          <w:lang w:eastAsia="zh-CN"/>
        </w:rPr>
        <w:tab/>
      </w:r>
      <w:r w:rsidR="00A34EF2" w:rsidRPr="00A47C2E">
        <w:rPr>
          <w:rFonts w:eastAsiaTheme="minorEastAsia"/>
          <w:lang w:eastAsia="zh-CN"/>
        </w:rPr>
        <w:t xml:space="preserve">Under the aegis of the UNECE, all countries will have the opportunity for dialogue and develop cooperation on ITS issues through round table discussions convened annually. </w:t>
      </w:r>
    </w:p>
    <w:p w14:paraId="22B92C33" w14:textId="11E6DCE3" w:rsidR="00A34EF2" w:rsidRPr="00A47C2E" w:rsidRDefault="00C449B3" w:rsidP="00A34EF2">
      <w:pPr>
        <w:pStyle w:val="SingleTxtG"/>
        <w:rPr>
          <w:rFonts w:eastAsiaTheme="minorEastAsia"/>
          <w:lang w:eastAsia="zh-CN"/>
        </w:rPr>
      </w:pPr>
      <w:r>
        <w:rPr>
          <w:rFonts w:eastAsiaTheme="minorEastAsia"/>
          <w:lang w:eastAsia="zh-CN"/>
        </w:rPr>
        <w:t>52.</w:t>
      </w:r>
      <w:r>
        <w:rPr>
          <w:rFonts w:eastAsiaTheme="minorEastAsia"/>
          <w:lang w:eastAsia="zh-CN"/>
        </w:rPr>
        <w:tab/>
      </w:r>
      <w:r w:rsidR="00A34EF2" w:rsidRPr="00A47C2E">
        <w:rPr>
          <w:rFonts w:eastAsiaTheme="minorEastAsia"/>
          <w:lang w:eastAsia="zh-CN"/>
        </w:rPr>
        <w:t>The outcome of these round tables would provide guidance for and direct the work of the relevant UNECE bodies where actions would be initiated by Governments, other key stakeholders and global players, including the business community.</w:t>
      </w:r>
    </w:p>
    <w:p w14:paraId="34E16F5A" w14:textId="5E629073" w:rsidR="00A34EF2" w:rsidRDefault="00C449B3" w:rsidP="00A34EF2">
      <w:pPr>
        <w:pStyle w:val="SingleTxtG"/>
        <w:rPr>
          <w:rFonts w:eastAsiaTheme="minorEastAsia"/>
          <w:lang w:eastAsia="zh-CN"/>
        </w:rPr>
      </w:pPr>
      <w:r>
        <w:rPr>
          <w:rFonts w:eastAsiaTheme="minorEastAsia"/>
          <w:lang w:eastAsia="zh-CN"/>
        </w:rPr>
        <w:t>53.</w:t>
      </w:r>
      <w:r>
        <w:rPr>
          <w:rFonts w:eastAsiaTheme="minorEastAsia"/>
          <w:lang w:eastAsia="zh-CN"/>
        </w:rPr>
        <w:tab/>
      </w:r>
      <w:r w:rsidR="00A34EF2" w:rsidRPr="00A47C2E">
        <w:rPr>
          <w:rFonts w:eastAsiaTheme="minorEastAsia"/>
          <w:lang w:eastAsia="zh-CN"/>
        </w:rPr>
        <w:t>The UNECE Sustainable Transport Division will provide the platform for exchange of views, provide analytical inputs, policy advice and assistance to Governments, and will ensure that the United Nations global mandate in this field of transport is maintained.</w:t>
      </w:r>
    </w:p>
    <w:p w14:paraId="62BF4A95" w14:textId="073D7035" w:rsidR="00A34EF2" w:rsidRPr="00A47C2E" w:rsidRDefault="006B7AF4" w:rsidP="00A34EF2">
      <w:pPr>
        <w:pStyle w:val="H1G"/>
        <w:rPr>
          <w:rFonts w:eastAsiaTheme="minorEastAsia"/>
          <w:lang w:eastAsia="zh-CN"/>
        </w:rPr>
      </w:pPr>
      <w:r>
        <w:rPr>
          <w:rFonts w:eastAsiaTheme="minorEastAsia"/>
          <w:lang w:eastAsia="zh-CN"/>
        </w:rPr>
        <w:tab/>
        <w:t>U.</w:t>
      </w:r>
      <w:r>
        <w:rPr>
          <w:rFonts w:eastAsiaTheme="minorEastAsia"/>
          <w:lang w:eastAsia="zh-CN"/>
        </w:rPr>
        <w:tab/>
      </w:r>
      <w:r w:rsidR="00A34EF2">
        <w:rPr>
          <w:rFonts w:eastAsiaTheme="minorEastAsia"/>
          <w:lang w:eastAsia="zh-CN"/>
        </w:rPr>
        <w:t>Action 21 –</w:t>
      </w:r>
      <w:r w:rsidR="00C449B3">
        <w:rPr>
          <w:rFonts w:eastAsiaTheme="minorEastAsia"/>
          <w:lang w:eastAsia="zh-CN"/>
        </w:rPr>
        <w:t xml:space="preserve"> W</w:t>
      </w:r>
      <w:r w:rsidR="00A34EF2">
        <w:rPr>
          <w:rFonts w:eastAsiaTheme="minorEastAsia"/>
          <w:lang w:eastAsia="zh-CN"/>
        </w:rPr>
        <w:t>heeled vehicle automation</w:t>
      </w:r>
      <w:r w:rsidR="00C449B3">
        <w:rPr>
          <w:rFonts w:eastAsiaTheme="minorEastAsia"/>
          <w:lang w:eastAsia="zh-CN"/>
        </w:rPr>
        <w:t xml:space="preserve"> and emerging technologies</w:t>
      </w:r>
    </w:p>
    <w:p w14:paraId="1657E69F" w14:textId="29F313A3" w:rsidR="00FB2DB5" w:rsidRPr="00CA6A9D" w:rsidRDefault="00C449B3" w:rsidP="00A34EF2">
      <w:pPr>
        <w:pStyle w:val="SingleTxtG"/>
        <w:rPr>
          <w:b/>
          <w:bCs/>
        </w:rPr>
      </w:pPr>
      <w:r w:rsidRPr="00CA6A9D">
        <w:rPr>
          <w:b/>
          <w:bCs/>
        </w:rPr>
        <w:t>54.</w:t>
      </w:r>
      <w:r w:rsidRPr="00CA6A9D">
        <w:rPr>
          <w:b/>
          <w:bCs/>
        </w:rPr>
        <w:tab/>
      </w:r>
      <w:r w:rsidR="00F95021" w:rsidRPr="00CA6A9D">
        <w:rPr>
          <w:b/>
          <w:bCs/>
        </w:rPr>
        <w:t>(</w:t>
      </w:r>
      <w:r w:rsidR="00A34EF2" w:rsidRPr="00CA6A9D">
        <w:rPr>
          <w:b/>
          <w:bCs/>
        </w:rPr>
        <w:t>Forthcoming</w:t>
      </w:r>
      <w:r w:rsidR="00F95021" w:rsidRPr="00CA6A9D">
        <w:rPr>
          <w:b/>
          <w:bCs/>
        </w:rPr>
        <w:t>)</w:t>
      </w:r>
    </w:p>
    <w:p w14:paraId="25C052E0" w14:textId="51E00584" w:rsidR="00A319B6" w:rsidRPr="00A319B6" w:rsidRDefault="00A319B6" w:rsidP="00A319B6">
      <w:pPr>
        <w:spacing w:before="240"/>
        <w:jc w:val="center"/>
        <w:rPr>
          <w:u w:val="single"/>
        </w:rPr>
      </w:pPr>
      <w:bookmarkStart w:id="2" w:name="_GoBack"/>
      <w:bookmarkEnd w:id="2"/>
      <w:r>
        <w:rPr>
          <w:u w:val="single"/>
        </w:rPr>
        <w:tab/>
      </w:r>
      <w:r>
        <w:rPr>
          <w:u w:val="single"/>
        </w:rPr>
        <w:tab/>
      </w:r>
      <w:r>
        <w:rPr>
          <w:u w:val="single"/>
        </w:rPr>
        <w:tab/>
      </w:r>
    </w:p>
    <w:sectPr w:rsidR="00A319B6" w:rsidRPr="00A319B6" w:rsidSect="004B23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4265" w14:textId="77777777" w:rsidR="00FB59FD" w:rsidRDefault="00FB59FD"/>
  </w:endnote>
  <w:endnote w:type="continuationSeparator" w:id="0">
    <w:p w14:paraId="38DC37EF" w14:textId="77777777" w:rsidR="00FB59FD" w:rsidRDefault="00FB59FD"/>
  </w:endnote>
  <w:endnote w:type="continuationNotice" w:id="1">
    <w:p w14:paraId="75BDB182" w14:textId="77777777" w:rsidR="00FB59FD" w:rsidRDefault="00FB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441E26C7" w:rsidR="004B2383" w:rsidRPr="004B2383" w:rsidRDefault="00467030" w:rsidP="004B2383">
    <w:pPr>
      <w:pStyle w:val="Footer"/>
      <w:tabs>
        <w:tab w:val="right" w:pos="9638"/>
      </w:tabs>
      <w:rPr>
        <w:sz w:val="18"/>
      </w:rPr>
    </w:pPr>
    <w:r>
      <w:rPr>
        <w:b/>
        <w:sz w:val="18"/>
      </w:rPr>
      <w:t>2</w:t>
    </w:r>
    <w:r w:rsidR="004B23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77777777" w:rsidR="004B2383" w:rsidRPr="004B2383" w:rsidRDefault="004B2383" w:rsidP="004B2383">
    <w:pPr>
      <w:pStyle w:val="Footer"/>
      <w:tabs>
        <w:tab w:val="right" w:pos="9638"/>
      </w:tabs>
      <w:rPr>
        <w:b/>
        <w:sz w:val="18"/>
      </w:rPr>
    </w:pPr>
    <w:r>
      <w:tab/>
    </w:r>
    <w:r w:rsidRPr="004B2383">
      <w:rPr>
        <w:b/>
        <w:sz w:val="18"/>
      </w:rPr>
      <w:fldChar w:fldCharType="begin"/>
    </w:r>
    <w:r w:rsidRPr="004B2383">
      <w:rPr>
        <w:b/>
        <w:sz w:val="18"/>
      </w:rPr>
      <w:instrText xml:space="preserve"> PAGE  \* MERGEFORMAT </w:instrText>
    </w:r>
    <w:r w:rsidRPr="004B2383">
      <w:rPr>
        <w:b/>
        <w:sz w:val="18"/>
      </w:rPr>
      <w:fldChar w:fldCharType="separate"/>
    </w:r>
    <w:r w:rsidRPr="004B2383">
      <w:rPr>
        <w:b/>
        <w:noProof/>
        <w:sz w:val="18"/>
      </w:rPr>
      <w:t>3</w:t>
    </w:r>
    <w:r w:rsidRPr="004B23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F015" w14:textId="2AE3AAC2" w:rsidR="0048737D" w:rsidRPr="001C20D1" w:rsidRDefault="0048737D" w:rsidP="001C20D1">
    <w:pPr>
      <w:pStyle w:val="Footer"/>
    </w:pPr>
    <w:r>
      <w:rPr>
        <w:noProof/>
        <w:lang w:eastAsia="zh-CN"/>
      </w:rPr>
      <w:drawing>
        <wp:anchor distT="0" distB="0" distL="114300" distR="114300" simplePos="0" relativeHeight="251659264" behindDoc="1" locked="1" layoutInCell="1" allowOverlap="1" wp14:anchorId="77E42B2F" wp14:editId="075998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B013" w14:textId="77777777" w:rsidR="00FB59FD" w:rsidRPr="000B175B" w:rsidRDefault="00FB59FD" w:rsidP="000B175B">
      <w:pPr>
        <w:tabs>
          <w:tab w:val="right" w:pos="2155"/>
        </w:tabs>
        <w:spacing w:after="80"/>
        <w:ind w:left="680"/>
        <w:rPr>
          <w:u w:val="single"/>
        </w:rPr>
      </w:pPr>
      <w:r>
        <w:rPr>
          <w:u w:val="single"/>
        </w:rPr>
        <w:tab/>
      </w:r>
    </w:p>
  </w:footnote>
  <w:footnote w:type="continuationSeparator" w:id="0">
    <w:p w14:paraId="1B28D201" w14:textId="77777777" w:rsidR="00FB59FD" w:rsidRPr="00FC68B7" w:rsidRDefault="00FB59FD" w:rsidP="00FC68B7">
      <w:pPr>
        <w:tabs>
          <w:tab w:val="left" w:pos="2155"/>
        </w:tabs>
        <w:spacing w:after="80"/>
        <w:ind w:left="680"/>
        <w:rPr>
          <w:u w:val="single"/>
        </w:rPr>
      </w:pPr>
      <w:r>
        <w:rPr>
          <w:u w:val="single"/>
        </w:rPr>
        <w:tab/>
      </w:r>
    </w:p>
  </w:footnote>
  <w:footnote w:type="continuationNotice" w:id="1">
    <w:p w14:paraId="7D8EC4F8" w14:textId="77777777" w:rsidR="00FB59FD" w:rsidRDefault="00FB5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0511045F" w:rsidR="004B2383" w:rsidRPr="000B1802" w:rsidRDefault="004B2383" w:rsidP="000B180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78E16D47" w:rsidR="004B2383" w:rsidRPr="00F95021" w:rsidRDefault="004B2383" w:rsidP="000B1802">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gridCol w:w="1130"/>
    </w:tblGrid>
    <w:tr w:rsidR="000B1802" w14:paraId="4B682750" w14:textId="77777777" w:rsidTr="00A12D8D">
      <w:trPr>
        <w:gridAfter w:val="1"/>
        <w:wAfter w:w="1130" w:type="dxa"/>
      </w:trPr>
      <w:tc>
        <w:tcPr>
          <w:tcW w:w="9639" w:type="dxa"/>
          <w:gridSpan w:val="2"/>
        </w:tcPr>
        <w:p w14:paraId="4AE196EF" w14:textId="3BBF7B1A" w:rsidR="000B1802" w:rsidRPr="000B1802" w:rsidRDefault="000B1802" w:rsidP="000B1802">
          <w:pPr>
            <w:pStyle w:val="Header"/>
            <w:pBdr>
              <w:bottom w:val="none" w:sz="0" w:space="0" w:color="auto"/>
            </w:pBdr>
            <w:jc w:val="right"/>
            <w:rPr>
              <w:b w:val="0"/>
              <w:bCs/>
            </w:rPr>
          </w:pPr>
        </w:p>
      </w:tc>
    </w:tr>
    <w:tr w:rsidR="000B1802" w14:paraId="6E4CAF7F" w14:textId="77777777" w:rsidTr="000B1802">
      <w:tc>
        <w:tcPr>
          <w:tcW w:w="5954" w:type="dxa"/>
        </w:tcPr>
        <w:p w14:paraId="0556FD99" w14:textId="5A76933E" w:rsidR="000B1802" w:rsidRDefault="000B1802" w:rsidP="000B1802">
          <w:pPr>
            <w:pStyle w:val="Header"/>
            <w:pBdr>
              <w:bottom w:val="none" w:sz="0" w:space="0" w:color="auto"/>
            </w:pBdr>
          </w:pPr>
          <w:r>
            <w:t>Note by the secretariat</w:t>
          </w:r>
        </w:p>
      </w:tc>
      <w:tc>
        <w:tcPr>
          <w:tcW w:w="4815" w:type="dxa"/>
          <w:gridSpan w:val="2"/>
        </w:tcPr>
        <w:p w14:paraId="065346DE" w14:textId="0CFEAD95" w:rsidR="000B1802" w:rsidRDefault="009F0F2A" w:rsidP="000B1802">
          <w:pPr>
            <w:pStyle w:val="Header"/>
            <w:pBdr>
              <w:bottom w:val="none" w:sz="0" w:space="0" w:color="auto"/>
            </w:pBdr>
            <w:rPr>
              <w:b w:val="0"/>
              <w:bCs/>
            </w:rPr>
          </w:pPr>
          <w:r>
            <w:rPr>
              <w:b w:val="0"/>
              <w:bCs/>
            </w:rPr>
            <w:t xml:space="preserve">Based on </w:t>
          </w:r>
          <w:r w:rsidR="000B1802" w:rsidRPr="000B1802">
            <w:rPr>
              <w:b w:val="0"/>
              <w:bCs/>
            </w:rPr>
            <w:t>Informal document WP.5 (2020) No. 10</w:t>
          </w:r>
        </w:p>
        <w:p w14:paraId="78123D66" w14:textId="77777777" w:rsidR="000B1802" w:rsidRDefault="000B1802" w:rsidP="000B1802">
          <w:pPr>
            <w:pStyle w:val="Header"/>
            <w:pBdr>
              <w:bottom w:val="none" w:sz="0" w:space="0" w:color="auto"/>
            </w:pBdr>
            <w:rPr>
              <w:b w:val="0"/>
              <w:bCs/>
              <w:u w:val="single"/>
            </w:rPr>
          </w:pPr>
        </w:p>
        <w:p w14:paraId="754B8C27" w14:textId="43D25BA2" w:rsidR="000B1802" w:rsidRPr="000B1802" w:rsidRDefault="000B1802" w:rsidP="000B1802">
          <w:pPr>
            <w:pStyle w:val="Header"/>
            <w:pBdr>
              <w:bottom w:val="none" w:sz="0" w:space="0" w:color="auto"/>
            </w:pBdr>
            <w:rPr>
              <w:b w:val="0"/>
              <w:bCs/>
            </w:rPr>
          </w:pPr>
          <w:r w:rsidRPr="000B1802">
            <w:rPr>
              <w:b w:val="0"/>
              <w:bCs/>
              <w:u w:val="single"/>
            </w:rPr>
            <w:t xml:space="preserve">Informal </w:t>
          </w:r>
          <w:r>
            <w:rPr>
              <w:b w:val="0"/>
              <w:bCs/>
              <w:u w:val="single"/>
            </w:rPr>
            <w:t>d</w:t>
          </w:r>
          <w:r w:rsidRPr="000B1802">
            <w:rPr>
              <w:b w:val="0"/>
              <w:bCs/>
              <w:u w:val="single"/>
            </w:rPr>
            <w:t xml:space="preserve">ocument </w:t>
          </w:r>
          <w:r>
            <w:t>GRVA-07-14</w:t>
          </w:r>
          <w:r>
            <w:br/>
          </w:r>
          <w:r>
            <w:rPr>
              <w:b w:val="0"/>
              <w:bCs/>
            </w:rPr>
            <w:t>7</w:t>
          </w:r>
          <w:r w:rsidRPr="000B1802">
            <w:rPr>
              <w:b w:val="0"/>
              <w:bCs/>
              <w:vertAlign w:val="superscript"/>
            </w:rPr>
            <w:t>th</w:t>
          </w:r>
          <w:r>
            <w:rPr>
              <w:b w:val="0"/>
              <w:bCs/>
            </w:rPr>
            <w:t xml:space="preserve"> GRVA, 21-25 September 2020</w:t>
          </w:r>
          <w:r>
            <w:rPr>
              <w:b w:val="0"/>
              <w:bCs/>
            </w:rPr>
            <w:br/>
            <w:t>Agenda item 12(c)</w:t>
          </w:r>
        </w:p>
      </w:tc>
    </w:tr>
  </w:tbl>
  <w:p w14:paraId="2CEBFBA8" w14:textId="77777777" w:rsidR="000B1802" w:rsidRDefault="000B1802" w:rsidP="000B18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B0C08"/>
    <w:multiLevelType w:val="hybridMultilevel"/>
    <w:tmpl w:val="8162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3302E0"/>
    <w:multiLevelType w:val="hybridMultilevel"/>
    <w:tmpl w:val="0B1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35CCD"/>
    <w:multiLevelType w:val="hybridMultilevel"/>
    <w:tmpl w:val="CEF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3"/>
  </w:num>
  <w:num w:numId="19">
    <w:abstractNumId w:val="11"/>
  </w:num>
  <w:num w:numId="20">
    <w:abstractNumId w:val="11"/>
  </w:num>
  <w:num w:numId="21">
    <w:abstractNumId w:val="19"/>
  </w:num>
  <w:num w:numId="22">
    <w:abstractNumId w:val="22"/>
  </w:num>
  <w:num w:numId="23">
    <w:abstractNumId w:val="24"/>
  </w:num>
  <w:num w:numId="24">
    <w:abstractNumId w:val="21"/>
  </w:num>
  <w:num w:numId="25">
    <w:abstractNumId w:val="16"/>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3E0D"/>
    <w:rsid w:val="00006790"/>
    <w:rsid w:val="000211BF"/>
    <w:rsid w:val="00027624"/>
    <w:rsid w:val="00050F6B"/>
    <w:rsid w:val="000678CD"/>
    <w:rsid w:val="00072C8C"/>
    <w:rsid w:val="00081CE0"/>
    <w:rsid w:val="00084D30"/>
    <w:rsid w:val="00090320"/>
    <w:rsid w:val="000931C0"/>
    <w:rsid w:val="000A2E09"/>
    <w:rsid w:val="000B175B"/>
    <w:rsid w:val="000B1802"/>
    <w:rsid w:val="000B3A0F"/>
    <w:rsid w:val="000E0415"/>
    <w:rsid w:val="000E499D"/>
    <w:rsid w:val="000F7715"/>
    <w:rsid w:val="00156B99"/>
    <w:rsid w:val="00166124"/>
    <w:rsid w:val="00184DDA"/>
    <w:rsid w:val="001900CD"/>
    <w:rsid w:val="001A0452"/>
    <w:rsid w:val="001B4B04"/>
    <w:rsid w:val="001B5875"/>
    <w:rsid w:val="001C20D1"/>
    <w:rsid w:val="001C4B9C"/>
    <w:rsid w:val="001C6663"/>
    <w:rsid w:val="001C7895"/>
    <w:rsid w:val="001D26DF"/>
    <w:rsid w:val="001F1599"/>
    <w:rsid w:val="001F19C4"/>
    <w:rsid w:val="001F394A"/>
    <w:rsid w:val="002043F0"/>
    <w:rsid w:val="00211E0B"/>
    <w:rsid w:val="002152C4"/>
    <w:rsid w:val="002267FF"/>
    <w:rsid w:val="00232575"/>
    <w:rsid w:val="00247258"/>
    <w:rsid w:val="00257CAC"/>
    <w:rsid w:val="0027237A"/>
    <w:rsid w:val="00274F56"/>
    <w:rsid w:val="002944A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41F4"/>
    <w:rsid w:val="003A46BB"/>
    <w:rsid w:val="003A4EC7"/>
    <w:rsid w:val="003A7295"/>
    <w:rsid w:val="003B1F60"/>
    <w:rsid w:val="003C2CC4"/>
    <w:rsid w:val="003D4B23"/>
    <w:rsid w:val="003E278A"/>
    <w:rsid w:val="00413520"/>
    <w:rsid w:val="004325CB"/>
    <w:rsid w:val="00440A07"/>
    <w:rsid w:val="00462880"/>
    <w:rsid w:val="00467030"/>
    <w:rsid w:val="00476F24"/>
    <w:rsid w:val="0048737D"/>
    <w:rsid w:val="004947FA"/>
    <w:rsid w:val="004B2383"/>
    <w:rsid w:val="004C55B0"/>
    <w:rsid w:val="004E2731"/>
    <w:rsid w:val="004F6BA0"/>
    <w:rsid w:val="00503BEA"/>
    <w:rsid w:val="00533616"/>
    <w:rsid w:val="00535ABA"/>
    <w:rsid w:val="0053768B"/>
    <w:rsid w:val="005420F2"/>
    <w:rsid w:val="0054285C"/>
    <w:rsid w:val="0057577B"/>
    <w:rsid w:val="00584173"/>
    <w:rsid w:val="00595520"/>
    <w:rsid w:val="005A44B9"/>
    <w:rsid w:val="005B1BA0"/>
    <w:rsid w:val="005B3DB3"/>
    <w:rsid w:val="005D15CA"/>
    <w:rsid w:val="005F08DF"/>
    <w:rsid w:val="005F3066"/>
    <w:rsid w:val="005F3E61"/>
    <w:rsid w:val="00604DDD"/>
    <w:rsid w:val="006115CC"/>
    <w:rsid w:val="00611FC4"/>
    <w:rsid w:val="006176FB"/>
    <w:rsid w:val="00627569"/>
    <w:rsid w:val="00630FCB"/>
    <w:rsid w:val="00640B26"/>
    <w:rsid w:val="00646ED6"/>
    <w:rsid w:val="0065766B"/>
    <w:rsid w:val="006770B2"/>
    <w:rsid w:val="00686A48"/>
    <w:rsid w:val="006940E1"/>
    <w:rsid w:val="006A3C72"/>
    <w:rsid w:val="006A7392"/>
    <w:rsid w:val="006B03A1"/>
    <w:rsid w:val="006B67D9"/>
    <w:rsid w:val="006B7AF4"/>
    <w:rsid w:val="006C5535"/>
    <w:rsid w:val="006D0589"/>
    <w:rsid w:val="006D661E"/>
    <w:rsid w:val="006E564B"/>
    <w:rsid w:val="006E7154"/>
    <w:rsid w:val="007003CD"/>
    <w:rsid w:val="0070701E"/>
    <w:rsid w:val="0072632A"/>
    <w:rsid w:val="007358E8"/>
    <w:rsid w:val="00736ECE"/>
    <w:rsid w:val="0074533B"/>
    <w:rsid w:val="007643BC"/>
    <w:rsid w:val="00766637"/>
    <w:rsid w:val="00767FEB"/>
    <w:rsid w:val="00774DE3"/>
    <w:rsid w:val="00780C68"/>
    <w:rsid w:val="007959FE"/>
    <w:rsid w:val="007A0CF1"/>
    <w:rsid w:val="007A7FA0"/>
    <w:rsid w:val="007B6BA5"/>
    <w:rsid w:val="007C3390"/>
    <w:rsid w:val="007C42D8"/>
    <w:rsid w:val="007C4F4B"/>
    <w:rsid w:val="007C760D"/>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4381"/>
    <w:rsid w:val="008979B1"/>
    <w:rsid w:val="008A49D5"/>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0F2A"/>
    <w:rsid w:val="009F2EAC"/>
    <w:rsid w:val="009F57E3"/>
    <w:rsid w:val="00A10F4F"/>
    <w:rsid w:val="00A11067"/>
    <w:rsid w:val="00A1704A"/>
    <w:rsid w:val="00A319B6"/>
    <w:rsid w:val="00A34EF2"/>
    <w:rsid w:val="00A425EB"/>
    <w:rsid w:val="00A72F22"/>
    <w:rsid w:val="00A733BC"/>
    <w:rsid w:val="00A748A6"/>
    <w:rsid w:val="00A76A69"/>
    <w:rsid w:val="00A879A4"/>
    <w:rsid w:val="00AA0FF8"/>
    <w:rsid w:val="00AB134D"/>
    <w:rsid w:val="00AC0F2C"/>
    <w:rsid w:val="00AC502A"/>
    <w:rsid w:val="00AF58C1"/>
    <w:rsid w:val="00B04A3F"/>
    <w:rsid w:val="00B06643"/>
    <w:rsid w:val="00B111E9"/>
    <w:rsid w:val="00B15055"/>
    <w:rsid w:val="00B20551"/>
    <w:rsid w:val="00B243AB"/>
    <w:rsid w:val="00B30179"/>
    <w:rsid w:val="00B33FC7"/>
    <w:rsid w:val="00B37B15"/>
    <w:rsid w:val="00B45C02"/>
    <w:rsid w:val="00B505B9"/>
    <w:rsid w:val="00B70B63"/>
    <w:rsid w:val="00B72A1E"/>
    <w:rsid w:val="00B81E12"/>
    <w:rsid w:val="00BA339B"/>
    <w:rsid w:val="00BC1E7E"/>
    <w:rsid w:val="00BC74E9"/>
    <w:rsid w:val="00BE36A9"/>
    <w:rsid w:val="00BE618E"/>
    <w:rsid w:val="00BE7BEC"/>
    <w:rsid w:val="00BF0A5A"/>
    <w:rsid w:val="00BF0E63"/>
    <w:rsid w:val="00BF12A3"/>
    <w:rsid w:val="00BF16D7"/>
    <w:rsid w:val="00BF2373"/>
    <w:rsid w:val="00BF579C"/>
    <w:rsid w:val="00C044E2"/>
    <w:rsid w:val="00C048CB"/>
    <w:rsid w:val="00C066F3"/>
    <w:rsid w:val="00C31337"/>
    <w:rsid w:val="00C449B3"/>
    <w:rsid w:val="00C463DD"/>
    <w:rsid w:val="00C6124E"/>
    <w:rsid w:val="00C745C3"/>
    <w:rsid w:val="00C978F5"/>
    <w:rsid w:val="00CA24A4"/>
    <w:rsid w:val="00CA6A9D"/>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044A8"/>
    <w:rsid w:val="00E12E27"/>
    <w:rsid w:val="00E22D5B"/>
    <w:rsid w:val="00E423C0"/>
    <w:rsid w:val="00E6414C"/>
    <w:rsid w:val="00E7260F"/>
    <w:rsid w:val="00E8702D"/>
    <w:rsid w:val="00E905F4"/>
    <w:rsid w:val="00E916A9"/>
    <w:rsid w:val="00E916DE"/>
    <w:rsid w:val="00E925AD"/>
    <w:rsid w:val="00E96630"/>
    <w:rsid w:val="00EB267E"/>
    <w:rsid w:val="00EB7E66"/>
    <w:rsid w:val="00ED18DC"/>
    <w:rsid w:val="00ED6201"/>
    <w:rsid w:val="00ED7A2A"/>
    <w:rsid w:val="00EF1D7F"/>
    <w:rsid w:val="00F0137E"/>
    <w:rsid w:val="00F0260A"/>
    <w:rsid w:val="00F06536"/>
    <w:rsid w:val="00F21786"/>
    <w:rsid w:val="00F3742B"/>
    <w:rsid w:val="00F40BB2"/>
    <w:rsid w:val="00F41FDB"/>
    <w:rsid w:val="00F56D63"/>
    <w:rsid w:val="00F609A9"/>
    <w:rsid w:val="00F80C99"/>
    <w:rsid w:val="00F867EC"/>
    <w:rsid w:val="00F91B2B"/>
    <w:rsid w:val="00F95021"/>
    <w:rsid w:val="00FA1044"/>
    <w:rsid w:val="00FB2DB5"/>
    <w:rsid w:val="00FB59FD"/>
    <w:rsid w:val="00FC03CD"/>
    <w:rsid w:val="00FC0646"/>
    <w:rsid w:val="00FC68B7"/>
    <w:rsid w:val="00FE6985"/>
    <w:rsid w:val="00FF03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character" w:styleId="UnresolvedMention">
    <w:name w:val="Unresolved Mention"/>
    <w:basedOn w:val="DefaultParagraphFont"/>
    <w:uiPriority w:val="99"/>
    <w:semiHidden/>
    <w:unhideWhenUsed/>
    <w:rsid w:val="000B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tIgg7XLAaax0t-WuiMrdU8WFxH3eOO6/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4011</Words>
  <Characters>22869</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WP.5 (2020) No. 10</vt:lpstr>
      <vt:lpstr>United Nations</vt:lpstr>
    </vt:vector>
  </TitlesOfParts>
  <Company>CSD</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WP.5 (2020) No. 10 - GRVA-07-14</dc:title>
  <dc:subject>2009093</dc:subject>
  <dc:creator>Francois Guichard</dc:creator>
  <cp:keywords/>
  <dc:description/>
  <cp:lastModifiedBy>FG</cp:lastModifiedBy>
  <cp:revision>3</cp:revision>
  <cp:lastPrinted>2020-07-08T08:24:00Z</cp:lastPrinted>
  <dcterms:created xsi:type="dcterms:W3CDTF">2020-09-16T18:55:00Z</dcterms:created>
  <dcterms:modified xsi:type="dcterms:W3CDTF">2020-09-16T19:03:00Z</dcterms:modified>
</cp:coreProperties>
</file>