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A7A28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52EAE67" w14:textId="77777777" w:rsidR="002D5AAC" w:rsidRDefault="002D5AAC" w:rsidP="005431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E5934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4F561E" w14:textId="77777777" w:rsidR="002D5AAC" w:rsidRDefault="005431A2" w:rsidP="005431A2">
            <w:pPr>
              <w:jc w:val="right"/>
            </w:pPr>
            <w:r w:rsidRPr="005431A2">
              <w:rPr>
                <w:sz w:val="40"/>
              </w:rPr>
              <w:t>ECE</w:t>
            </w:r>
            <w:r>
              <w:t>/TRANS/WP.29/GRVA/2020/28</w:t>
            </w:r>
          </w:p>
        </w:tc>
      </w:tr>
      <w:tr w:rsidR="002D5AAC" w:rsidRPr="00B31D2B" w14:paraId="070A26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11EE0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D445EB" wp14:editId="0E8B482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E5611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0CB0521" w14:textId="77777777" w:rsidR="002D5AAC" w:rsidRDefault="005431A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7907EEF" w14:textId="77777777" w:rsidR="005431A2" w:rsidRDefault="005431A2" w:rsidP="00543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July 2020</w:t>
            </w:r>
          </w:p>
          <w:p w14:paraId="4D62564A" w14:textId="77777777" w:rsidR="005431A2" w:rsidRDefault="005431A2" w:rsidP="00543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953474" w14:textId="77777777" w:rsidR="005431A2" w:rsidRPr="008D53B6" w:rsidRDefault="005431A2" w:rsidP="005431A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B8505D4" w14:textId="77777777" w:rsidR="005431A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93D6FC8" w14:textId="77777777" w:rsidR="005431A2" w:rsidRPr="00BE49BB" w:rsidRDefault="005431A2" w:rsidP="005431A2">
      <w:pPr>
        <w:spacing w:before="120"/>
        <w:rPr>
          <w:rFonts w:asciiTheme="majorBidi" w:hAnsiTheme="majorBidi"/>
          <w:sz w:val="28"/>
          <w:szCs w:val="28"/>
        </w:rPr>
      </w:pPr>
      <w:r w:rsidRPr="00BE49BB">
        <w:rPr>
          <w:sz w:val="28"/>
          <w:szCs w:val="28"/>
        </w:rPr>
        <w:t>Комитет по внутреннему транспорту</w:t>
      </w:r>
    </w:p>
    <w:p w14:paraId="34F6165C" w14:textId="77777777" w:rsidR="005431A2" w:rsidRPr="00BE49BB" w:rsidRDefault="005431A2" w:rsidP="005431A2">
      <w:pPr>
        <w:spacing w:before="120"/>
        <w:rPr>
          <w:rFonts w:asciiTheme="majorBidi" w:hAnsiTheme="majorBidi"/>
          <w:b/>
          <w:sz w:val="24"/>
          <w:szCs w:val="24"/>
        </w:rPr>
      </w:pPr>
      <w:r w:rsidRPr="00BE49B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CD4286">
        <w:rPr>
          <w:b/>
          <w:bCs/>
          <w:sz w:val="24"/>
          <w:szCs w:val="24"/>
        </w:rPr>
        <w:br/>
      </w:r>
      <w:r w:rsidRPr="00BE49BB">
        <w:rPr>
          <w:b/>
          <w:bCs/>
          <w:sz w:val="24"/>
          <w:szCs w:val="24"/>
        </w:rPr>
        <w:t>в области транспортных средств</w:t>
      </w:r>
    </w:p>
    <w:p w14:paraId="5FC4A4EE" w14:textId="77777777" w:rsidR="005431A2" w:rsidRPr="00BE49BB" w:rsidRDefault="005431A2" w:rsidP="005431A2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 w:rsidR="00CD4286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15F832AD" w14:textId="77777777" w:rsidR="005431A2" w:rsidRPr="00BE49BB" w:rsidRDefault="005431A2" w:rsidP="005431A2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6DBCE61F" w14:textId="77777777" w:rsidR="005431A2" w:rsidRPr="00BE49BB" w:rsidRDefault="005431A2" w:rsidP="005431A2">
      <w:r>
        <w:t>Женева, 21−25 сентября 2020 года</w:t>
      </w:r>
    </w:p>
    <w:p w14:paraId="02D513D9" w14:textId="77777777" w:rsidR="005431A2" w:rsidRPr="00BE49BB" w:rsidRDefault="005431A2" w:rsidP="005431A2">
      <w:r>
        <w:t>Пункт 7 предварительной повестки дня</w:t>
      </w:r>
    </w:p>
    <w:p w14:paraId="4367248E" w14:textId="77777777" w:rsidR="00E12C5F" w:rsidRDefault="005431A2" w:rsidP="005431A2">
      <w:r>
        <w:rPr>
          <w:b/>
          <w:bCs/>
        </w:rPr>
        <w:t>Системы автоматического экстренного торможения</w:t>
      </w:r>
    </w:p>
    <w:p w14:paraId="66F22252" w14:textId="77777777" w:rsidR="005431A2" w:rsidRPr="00BE49BB" w:rsidRDefault="005431A2" w:rsidP="00CD4286">
      <w:pPr>
        <w:pStyle w:val="HChG"/>
        <w:rPr>
          <w:rFonts w:asciiTheme="majorBidi" w:hAnsiTheme="majorBidi" w:cstheme="majorBidi"/>
          <w:szCs w:val="28"/>
        </w:rPr>
      </w:pPr>
      <w:r>
        <w:tab/>
      </w:r>
      <w:r>
        <w:tab/>
        <w:t xml:space="preserve">Предложение по тексту поправок серии 02 </w:t>
      </w:r>
      <w:r w:rsidR="00CD4286">
        <w:br/>
      </w:r>
      <w:r>
        <w:t>к Правилам № 152 ООН (системы автоматического экстренного торможения для транспортных средств категорий М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</w:t>
      </w:r>
    </w:p>
    <w:p w14:paraId="721B803F" w14:textId="77777777" w:rsidR="005431A2" w:rsidRPr="00BE49BB" w:rsidRDefault="005431A2" w:rsidP="005431A2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неофициальной рабочей группы по</w:t>
      </w:r>
      <w:r w:rsidR="00CD4286">
        <w:rPr>
          <w:bCs/>
          <w:lang w:val="en-US"/>
        </w:rPr>
        <w:t> </w:t>
      </w:r>
      <w:r>
        <w:rPr>
          <w:bCs/>
        </w:rPr>
        <w:t>системам автоматического экстренного торможения для</w:t>
      </w:r>
      <w:r w:rsidR="00CD4286">
        <w:rPr>
          <w:bCs/>
          <w:lang w:val="en-US"/>
        </w:rPr>
        <w:t> </w:t>
      </w:r>
      <w:r>
        <w:rPr>
          <w:bCs/>
        </w:rPr>
        <w:t>транспортных средств категорий М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 w:rsidRPr="00CD428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413F6A3" w14:textId="77777777" w:rsidR="005431A2" w:rsidRDefault="005431A2" w:rsidP="005431A2">
      <w:pPr>
        <w:pStyle w:val="SingleTxtG"/>
      </w:pPr>
      <w:r>
        <w:tab/>
      </w:r>
      <w:r>
        <w:tab/>
        <w:t>Воспроизведенный ниже текст был подготовлен экспертами неофициальной рабочей группы по системам автоматического экстренного торможения (САЭТ)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, с тем чтобы ввести положения, касающиеся сценария столкновения автомобиля с велосипедом, в качестве второго этапа двухэтапного подхода. В другом, отдельном документе представлен первый этап этого двухэтапного подхода. В третьем документе в качестве альтернативы предлагается одноэтапный подход. Рабочей группе по автоматизированным/автономным и подключенным транспортным средствам (GRVA) предлагается принять решение о том, следует ли вводить сценарий столкновения автомобиля с велосипедом в один этап или на основе двухэтапного подхода.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2CE98789" w14:textId="77777777" w:rsidR="005431A2" w:rsidRDefault="005431A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6014EB7" w14:textId="77777777" w:rsidR="005431A2" w:rsidRPr="00BE49BB" w:rsidRDefault="005431A2" w:rsidP="005431A2">
      <w:pPr>
        <w:pStyle w:val="HChG"/>
        <w:ind w:right="567"/>
        <w:rPr>
          <w:rFonts w:asciiTheme="majorBidi" w:eastAsiaTheme="minorEastAsia" w:hAnsiTheme="majorBidi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B3581F2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</w:rPr>
      </w:pPr>
      <w:r>
        <w:rPr>
          <w:i/>
          <w:iCs/>
        </w:rPr>
        <w:t xml:space="preserve">Пункт 5.2.3.3 </w:t>
      </w:r>
      <w:r>
        <w:t>изменить следующим образом:</w:t>
      </w:r>
    </w:p>
    <w:p w14:paraId="5EC6F4FB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</w:rPr>
      </w:pPr>
      <w:r>
        <w:t>«5.2.3.3</w:t>
      </w:r>
      <w:r>
        <w:tab/>
        <w:t>Диапазон скоростей</w:t>
      </w:r>
    </w:p>
    <w:p w14:paraId="11B139BF" w14:textId="77777777" w:rsidR="005431A2" w:rsidRPr="00BE49BB" w:rsidRDefault="005431A2" w:rsidP="005431A2">
      <w:pPr>
        <w:pStyle w:val="SingleTxtG"/>
        <w:ind w:left="2268"/>
        <w:rPr>
          <w:rFonts w:asciiTheme="majorBidi" w:hAnsiTheme="majorBidi"/>
        </w:rPr>
      </w:pPr>
      <w:r>
        <w:t xml:space="preserve">Система должна функционировать по крайней мере в тех случаях, когда скорость транспортного средства находится в диапазоне от </w:t>
      </w:r>
      <w:r>
        <w:rPr>
          <w:strike/>
        </w:rPr>
        <w:t>30 км/ч</w:t>
      </w:r>
      <w:r>
        <w:t xml:space="preserve"> </w:t>
      </w:r>
      <w:r>
        <w:rPr>
          <w:b/>
          <w:bCs/>
        </w:rPr>
        <w:t>20</w:t>
      </w:r>
      <w:r w:rsidR="00E04C24">
        <w:rPr>
          <w:b/>
          <w:bCs/>
          <w:lang w:val="en-US"/>
        </w:rPr>
        <w:t> </w:t>
      </w:r>
      <w:r>
        <w:rPr>
          <w:b/>
          <w:bCs/>
        </w:rPr>
        <w:t>км/ч</w:t>
      </w:r>
      <w:r>
        <w:t xml:space="preserve"> до 60 км/ч, а также при всех условиях загрузки транспортного средства, за исключением тех случаев, когда она деактивирована в соответствии с пунктом 5.4.».</w:t>
      </w:r>
    </w:p>
    <w:p w14:paraId="570111D4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</w:rPr>
      </w:pPr>
      <w:r>
        <w:rPr>
          <w:i/>
          <w:iCs/>
        </w:rPr>
        <w:t>Пункт 5.2.3.4, таблицы,</w:t>
      </w:r>
      <w:r>
        <w:t xml:space="preserve"> изменить следующим образом:</w:t>
      </w:r>
    </w:p>
    <w:p w14:paraId="5F15C9C1" w14:textId="77777777" w:rsidR="005431A2" w:rsidRPr="00BE49BB" w:rsidRDefault="005431A2" w:rsidP="00E04C24">
      <w:pPr>
        <w:pStyle w:val="SingleTxtG"/>
        <w:rPr>
          <w:b/>
          <w:kern w:val="2"/>
        </w:rPr>
      </w:pPr>
      <w:r w:rsidRPr="00CC7A46">
        <w:t>«</w:t>
      </w:r>
      <w:r>
        <w:rPr>
          <w:b/>
          <w:bCs/>
        </w:rPr>
        <w:t>Максимальная скорость при ударе (км/ч) для транспортных средств категории</w:t>
      </w:r>
      <w:r w:rsidR="00E04C24">
        <w:rPr>
          <w:b/>
          <w:bCs/>
          <w:lang w:val="en-US"/>
        </w:rPr>
        <w:t> </w:t>
      </w:r>
      <w:r>
        <w:rPr>
          <w:b/>
          <w:bCs/>
        </w:rPr>
        <w:t>M</w:t>
      </w:r>
      <w:r w:rsidRPr="00BE49BB">
        <w:rPr>
          <w:b/>
          <w:bCs/>
          <w:vertAlign w:val="subscript"/>
        </w:rPr>
        <w:t>1</w:t>
      </w:r>
      <w:r>
        <w:rPr>
          <w:b/>
          <w:bCs/>
        </w:rPr>
        <w:t>*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78"/>
        <w:gridCol w:w="1553"/>
        <w:gridCol w:w="1966"/>
      </w:tblGrid>
      <w:tr w:rsidR="005431A2" w:rsidRPr="00CB04BE" w14:paraId="24E9315F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E9E5DA" w14:textId="77777777" w:rsidR="005431A2" w:rsidRPr="00BE49BB" w:rsidRDefault="005431A2" w:rsidP="00E04C24">
            <w:pPr>
              <w:widowControl w:val="0"/>
              <w:spacing w:line="240" w:lineRule="auto"/>
              <w:jc w:val="center"/>
              <w:rPr>
                <w:b/>
                <w:i/>
                <w:kern w:val="2"/>
                <w:sz w:val="18"/>
              </w:rPr>
            </w:pPr>
            <w:r>
              <w:rPr>
                <w:b/>
                <w:bCs/>
                <w:i/>
                <w:iCs/>
              </w:rPr>
              <w:t>Скорость движения данного транспортного средства (км/ч)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23B5E2" w14:textId="77777777" w:rsidR="005431A2" w:rsidRPr="00CB04BE" w:rsidRDefault="005431A2" w:rsidP="00E04C24">
            <w:pPr>
              <w:widowControl w:val="0"/>
              <w:spacing w:line="240" w:lineRule="auto"/>
              <w:jc w:val="center"/>
              <w:rPr>
                <w:b/>
                <w:i/>
                <w:kern w:val="2"/>
                <w:sz w:val="18"/>
              </w:rPr>
            </w:pPr>
            <w:r>
              <w:rPr>
                <w:b/>
                <w:bCs/>
                <w:i/>
                <w:iCs/>
              </w:rPr>
              <w:t>Максимальная масса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058934" w14:textId="77777777" w:rsidR="005431A2" w:rsidRPr="00CB04BE" w:rsidRDefault="005431A2" w:rsidP="00E04C24">
            <w:pPr>
              <w:widowControl w:val="0"/>
              <w:spacing w:line="240" w:lineRule="auto"/>
              <w:jc w:val="center"/>
              <w:rPr>
                <w:b/>
                <w:i/>
                <w:kern w:val="2"/>
                <w:sz w:val="18"/>
              </w:rPr>
            </w:pPr>
            <w:r>
              <w:rPr>
                <w:b/>
                <w:bCs/>
                <w:i/>
                <w:iCs/>
              </w:rPr>
              <w:t>Масса в снаряженном состоянии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D4B29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A7F0C7D" w14:textId="77777777" w:rsidTr="00E04C24"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DC4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918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ED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B894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2D7472C0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F61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CD8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B04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24F2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76C6CF0A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DD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6BD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E9A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33B7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366894F8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B17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FD2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62B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7B00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6DBC3C68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D02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1F4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7A7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E5192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B37B8BE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50F9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4F94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10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A28D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2E77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3A9DBFB6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76A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0B0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25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F5BC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25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8172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05FCBB7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82F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2AC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30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403D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30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E326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6F6BE4E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1DD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E22C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35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8682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E04C24">
              <w:rPr>
                <w:b/>
                <w:bCs/>
              </w:rPr>
              <w:t>35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8D88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C7A46" w14:paraId="1A4CCD2D" w14:textId="77777777" w:rsidTr="00E04C2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905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9FC3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 w:rsidRPr="00E04C24">
              <w:rPr>
                <w:b/>
                <w:bCs/>
              </w:rPr>
              <w:t>40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CFD" w14:textId="77777777" w:rsidR="005431A2" w:rsidRPr="00E04C24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 w:rsidRPr="00E04C24">
              <w:rPr>
                <w:b/>
                <w:bCs/>
              </w:rPr>
              <w:t>40</w:t>
            </w:r>
            <w:r w:rsidRPr="00E04C24">
              <w:rPr>
                <w:b/>
                <w:bCs/>
                <w:lang w:val="en-US"/>
              </w:rPr>
              <w:t>,</w:t>
            </w:r>
            <w:r w:rsidRPr="00E04C24">
              <w:rPr>
                <w:b/>
                <w:bCs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2DD4E3" w14:textId="77777777" w:rsidR="005431A2" w:rsidRPr="00BE49BB" w:rsidRDefault="005431A2" w:rsidP="00E04C24">
            <w:pPr>
              <w:widowControl w:val="0"/>
              <w:suppressAutoHyphens w:val="0"/>
              <w:spacing w:line="240" w:lineRule="auto"/>
              <w:ind w:right="-645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bCs/>
              </w:rPr>
              <w:t>Все значения в км/ч</w:t>
            </w:r>
          </w:p>
        </w:tc>
      </w:tr>
    </w:tbl>
    <w:p w14:paraId="0F68007B" w14:textId="77777777" w:rsidR="005431A2" w:rsidRPr="00BE49BB" w:rsidRDefault="005431A2" w:rsidP="00231705">
      <w:pPr>
        <w:pStyle w:val="SingleTxtG"/>
        <w:spacing w:before="120"/>
        <w:rPr>
          <w:bCs/>
          <w:strike/>
          <w:kern w:val="2"/>
        </w:rPr>
      </w:pPr>
      <w:r>
        <w:rPr>
          <w:strike/>
        </w:rPr>
        <w:t>Максимальная скорость при ударе (км/ч) для транспортных средств категории M</w:t>
      </w:r>
      <w:r w:rsidRPr="00C47A72">
        <w:rPr>
          <w:strike/>
          <w:vertAlign w:val="subscript"/>
        </w:rPr>
        <w:t>1</w:t>
      </w:r>
      <w:r>
        <w:rPr>
          <w:strike/>
        </w:rPr>
        <w:t>*</w:t>
      </w:r>
      <w:r>
        <w:t xml:space="preserve"> 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78"/>
        <w:gridCol w:w="1553"/>
        <w:gridCol w:w="1966"/>
      </w:tblGrid>
      <w:tr w:rsidR="005431A2" w:rsidRPr="00CB04BE" w14:paraId="5AE1B640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72CF3" w14:textId="77777777" w:rsidR="005431A2" w:rsidRPr="00BE49BB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strike/>
                <w:kern w:val="2"/>
                <w:sz w:val="18"/>
              </w:rPr>
            </w:pPr>
            <w:r>
              <w:rPr>
                <w:i/>
                <w:iCs/>
                <w:strike/>
              </w:rPr>
              <w:t>Скорость движения данного транспортного средства (км/ч)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B43DF1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strike/>
                <w:kern w:val="2"/>
                <w:sz w:val="18"/>
              </w:rPr>
            </w:pPr>
            <w:r>
              <w:rPr>
                <w:i/>
                <w:iCs/>
                <w:strike/>
              </w:rPr>
              <w:t>Максимальная масса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B93451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strike/>
                <w:kern w:val="2"/>
                <w:sz w:val="18"/>
              </w:rPr>
            </w:pPr>
            <w:r>
              <w:rPr>
                <w:i/>
                <w:iCs/>
                <w:strike/>
              </w:rPr>
              <w:t>Масса в снаряженном состоянии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90BAE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18E36238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9D4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7E9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0E4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3355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1711D0C3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69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35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8EB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ADC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DD1A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4551F6B7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866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0FA4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CCB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A3C8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365FC256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B04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40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9AC4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10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49EB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10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86177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254326C8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84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45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CBE8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25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6704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25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AED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7BA8632A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A00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50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BA97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83F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5B4D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4F2D4FE9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3D2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3B9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B48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77982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C7A46" w14:paraId="24646573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75C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84B2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 w:rsidRPr="00231705">
              <w:rPr>
                <w:strike/>
              </w:rPr>
              <w:t>40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65C0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 w:rsidRPr="00231705">
              <w:rPr>
                <w:strike/>
              </w:rPr>
              <w:t>40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4BC3C5B" w14:textId="77777777" w:rsidR="005431A2" w:rsidRPr="00BE49BB" w:rsidRDefault="005431A2" w:rsidP="00713CB7">
            <w:pPr>
              <w:widowControl w:val="0"/>
              <w:suppressAutoHyphens w:val="0"/>
              <w:spacing w:line="240" w:lineRule="auto"/>
              <w:rPr>
                <w:bCs/>
                <w:strike/>
                <w:kern w:val="2"/>
                <w:sz w:val="18"/>
                <w:szCs w:val="18"/>
              </w:rPr>
            </w:pPr>
            <w:r>
              <w:rPr>
                <w:strike/>
              </w:rPr>
              <w:t>Все значения в км/ч</w:t>
            </w:r>
          </w:p>
        </w:tc>
      </w:tr>
    </w:tbl>
    <w:p w14:paraId="3A949FF4" w14:textId="77777777" w:rsidR="005431A2" w:rsidRPr="00BE49BB" w:rsidRDefault="005431A2" w:rsidP="00231705">
      <w:pPr>
        <w:pStyle w:val="SingleTxtG"/>
        <w:spacing w:before="120"/>
        <w:rPr>
          <w:kern w:val="2"/>
        </w:rPr>
      </w:pPr>
      <w:r>
        <w:t>…</w:t>
      </w:r>
    </w:p>
    <w:p w14:paraId="72C92FCD" w14:textId="77777777" w:rsidR="005431A2" w:rsidRPr="00BE49BB" w:rsidRDefault="005431A2" w:rsidP="00231705">
      <w:pPr>
        <w:pStyle w:val="SingleTxtG"/>
        <w:rPr>
          <w:b/>
          <w:kern w:val="2"/>
        </w:rPr>
      </w:pPr>
      <w:r>
        <w:rPr>
          <w:b/>
          <w:bCs/>
        </w:rPr>
        <w:t>Максимальная скорость при ударе (км/ч) для транспортных средств категории</w:t>
      </w:r>
      <w:r w:rsidR="00231705">
        <w:rPr>
          <w:b/>
          <w:bCs/>
          <w:lang w:val="en-US"/>
        </w:rPr>
        <w:t> </w:t>
      </w:r>
      <w:r>
        <w:rPr>
          <w:b/>
          <w:bCs/>
        </w:rPr>
        <w:t>N</w:t>
      </w:r>
      <w:r>
        <w:rPr>
          <w:b/>
          <w:bCs/>
          <w:vertAlign w:val="subscript"/>
        </w:rPr>
        <w:t>1</w:t>
      </w:r>
      <w:r>
        <w:rPr>
          <w:b/>
          <w:bCs/>
        </w:rPr>
        <w:t>*</w:t>
      </w: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64"/>
        <w:gridCol w:w="1581"/>
        <w:gridCol w:w="1952"/>
      </w:tblGrid>
      <w:tr w:rsidR="005431A2" w:rsidRPr="00CB04BE" w14:paraId="4B49CE2E" w14:textId="77777777" w:rsidTr="00231705">
        <w:trPr>
          <w:tblHeader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3BB559" w14:textId="77777777" w:rsidR="005431A2" w:rsidRPr="00BE49BB" w:rsidRDefault="005431A2" w:rsidP="00231705">
            <w:pPr>
              <w:widowControl w:val="0"/>
              <w:spacing w:line="240" w:lineRule="auto"/>
              <w:jc w:val="center"/>
              <w:rPr>
                <w:b/>
                <w:i/>
                <w:kern w:val="2"/>
                <w:sz w:val="18"/>
              </w:rPr>
            </w:pPr>
            <w:r>
              <w:rPr>
                <w:b/>
                <w:bCs/>
                <w:i/>
                <w:iCs/>
              </w:rPr>
              <w:t>Скорость движения данного транспортного средства (км/ч)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A8E423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/>
                <w:i/>
                <w:kern w:val="2"/>
                <w:sz w:val="18"/>
              </w:rPr>
            </w:pPr>
            <w:r>
              <w:rPr>
                <w:b/>
                <w:bCs/>
                <w:i/>
                <w:iCs/>
              </w:rPr>
              <w:t>Максимальная масса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44CD28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/>
                <w:i/>
                <w:kern w:val="2"/>
                <w:sz w:val="18"/>
              </w:rPr>
            </w:pPr>
            <w:r>
              <w:rPr>
                <w:b/>
                <w:bCs/>
                <w:i/>
                <w:iCs/>
              </w:rPr>
              <w:t>Масса в снаряженном состоянии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F6B71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/>
                <w:bCs/>
                <w:i/>
                <w:iCs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3A310F03" w14:textId="77777777" w:rsidTr="00231705"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859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D0C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8E72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9A1C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ACCED71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C24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FB2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C75B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7A189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4D12D333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EB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67B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7CC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D7A2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211439BD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377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98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6338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E378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641B9174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D477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93A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216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21FD2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2E447224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0B0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lastRenderedPageBreak/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BC25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 w:rsidRPr="00231705">
              <w:rPr>
                <w:b/>
                <w:bCs/>
              </w:rPr>
              <w:t>15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9350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 w:rsidRPr="00231705"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01C8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42E69671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0FA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5EC1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25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D3FA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0,00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6EAB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3C01AD07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367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E6D3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30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F3D6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25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221A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FAD45C2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C99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D2AF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35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BF3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30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242A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1A285857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0FE7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kern w:val="2"/>
                <w:sz w:val="18"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BE07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40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D35A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  <w:sz w:val="18"/>
              </w:rPr>
            </w:pPr>
            <w:r w:rsidRPr="00231705">
              <w:rPr>
                <w:b/>
                <w:bCs/>
              </w:rPr>
              <w:t>35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72878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rPr>
                <w:b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C7A46" w14:paraId="2EA03321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C5CB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BB76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 w:rsidRPr="00231705">
              <w:rPr>
                <w:b/>
                <w:bCs/>
              </w:rPr>
              <w:t>45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78FB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kern w:val="2"/>
              </w:rPr>
            </w:pPr>
            <w:r w:rsidRPr="00231705">
              <w:rPr>
                <w:b/>
                <w:bCs/>
              </w:rPr>
              <w:t>40</w:t>
            </w:r>
            <w:r w:rsidRPr="00231705">
              <w:rPr>
                <w:b/>
                <w:bCs/>
                <w:lang w:val="en-US"/>
              </w:rPr>
              <w:t>,</w:t>
            </w:r>
            <w:r w:rsidRPr="00231705">
              <w:rPr>
                <w:b/>
                <w:bCs/>
              </w:rPr>
              <w:t>00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870A3A" w14:textId="77777777" w:rsidR="005431A2" w:rsidRPr="00BE49BB" w:rsidRDefault="005431A2" w:rsidP="00231705">
            <w:pPr>
              <w:widowControl w:val="0"/>
              <w:suppressAutoHyphens w:val="0"/>
              <w:spacing w:line="240" w:lineRule="auto"/>
              <w:ind w:right="-242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bCs/>
              </w:rPr>
              <w:t>Все значения в км/ч</w:t>
            </w:r>
          </w:p>
        </w:tc>
      </w:tr>
    </w:tbl>
    <w:p w14:paraId="52D64D95" w14:textId="77777777" w:rsidR="005431A2" w:rsidRPr="00BE49BB" w:rsidRDefault="005431A2" w:rsidP="00231705">
      <w:pPr>
        <w:pStyle w:val="SingleTxtG"/>
      </w:pPr>
    </w:p>
    <w:tbl>
      <w:tblPr>
        <w:tblW w:w="0" w:type="auto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564"/>
        <w:gridCol w:w="1595"/>
        <w:gridCol w:w="1938"/>
      </w:tblGrid>
      <w:tr w:rsidR="005431A2" w:rsidRPr="00CB04BE" w14:paraId="4A2E801E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6B29BF" w14:textId="77777777" w:rsidR="005431A2" w:rsidRPr="00BE49BB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strike/>
                <w:kern w:val="2"/>
                <w:sz w:val="18"/>
              </w:rPr>
            </w:pPr>
            <w:r>
              <w:rPr>
                <w:i/>
                <w:iCs/>
                <w:strike/>
              </w:rPr>
              <w:t>Скорость движения данного транспортного средства (км/ч)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2D24FB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strike/>
                <w:kern w:val="2"/>
                <w:sz w:val="18"/>
              </w:rPr>
            </w:pPr>
            <w:r>
              <w:rPr>
                <w:i/>
                <w:iCs/>
                <w:strike/>
              </w:rPr>
              <w:t>Максимальная масса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F08B8D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strike/>
                <w:kern w:val="2"/>
                <w:sz w:val="18"/>
              </w:rPr>
            </w:pPr>
            <w:r>
              <w:rPr>
                <w:i/>
                <w:iCs/>
                <w:strike/>
              </w:rPr>
              <w:t>Масса в снаряженном состоянии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66CF3" w14:textId="77777777" w:rsidR="005431A2" w:rsidRPr="00CB04BE" w:rsidRDefault="005431A2" w:rsidP="00231705">
            <w:pPr>
              <w:widowControl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512902AB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D09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4A6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2C4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9D90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3C31FE11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3B61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C93D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EA3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0,00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3737B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091BD6DD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977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4A8F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 w:rsidRPr="00231705">
              <w:rPr>
                <w:strike/>
              </w:rPr>
              <w:t>15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9F9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 w:rsidRPr="00231705">
              <w:rPr>
                <w:strike/>
              </w:rPr>
              <w:t>0,00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DE01F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65BBD870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8859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6A51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25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70CD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10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C5E56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79E3E8C5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40AA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9CE4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964A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25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18F50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6E0658E2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F62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E925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026A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56B68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B04BE" w14:paraId="6C07A0A9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C9B8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>
              <w:rPr>
                <w:strike/>
              </w:rPr>
              <w:t>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55D0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40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C85A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  <w:sz w:val="18"/>
              </w:rPr>
            </w:pPr>
            <w:r w:rsidRPr="00231705">
              <w:rPr>
                <w:strike/>
              </w:rPr>
              <w:t>35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622F4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rPr>
                <w:bCs/>
                <w:strike/>
                <w:kern w:val="2"/>
                <w:sz w:val="18"/>
                <w:szCs w:val="18"/>
                <w:lang w:val="fr-FR" w:eastAsia="ja-JP"/>
              </w:rPr>
            </w:pPr>
          </w:p>
        </w:tc>
      </w:tr>
      <w:tr w:rsidR="005431A2" w:rsidRPr="00CC7A46" w14:paraId="129A09D0" w14:textId="77777777" w:rsidTr="00231705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722C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FFC9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 w:rsidRPr="00231705">
              <w:rPr>
                <w:strike/>
              </w:rPr>
              <w:t>45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153" w14:textId="77777777" w:rsidR="005431A2" w:rsidRPr="00231705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strike/>
                <w:kern w:val="2"/>
              </w:rPr>
            </w:pPr>
            <w:r w:rsidRPr="00231705">
              <w:rPr>
                <w:strike/>
              </w:rPr>
              <w:t>40</w:t>
            </w:r>
            <w:r w:rsidRPr="00231705">
              <w:rPr>
                <w:strike/>
                <w:lang w:val="en-US"/>
              </w:rPr>
              <w:t>,</w:t>
            </w:r>
            <w:r w:rsidRPr="00231705">
              <w:rPr>
                <w:strike/>
              </w:rPr>
              <w:t>00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015802" w14:textId="77777777" w:rsidR="005431A2" w:rsidRPr="00BE49BB" w:rsidRDefault="005431A2" w:rsidP="00713CB7">
            <w:pPr>
              <w:widowControl w:val="0"/>
              <w:suppressAutoHyphens w:val="0"/>
              <w:spacing w:line="240" w:lineRule="auto"/>
              <w:rPr>
                <w:bCs/>
                <w:strike/>
                <w:kern w:val="2"/>
                <w:sz w:val="18"/>
                <w:szCs w:val="18"/>
              </w:rPr>
            </w:pPr>
            <w:r>
              <w:rPr>
                <w:strike/>
              </w:rPr>
              <w:t>Все значения в км/ч</w:t>
            </w:r>
          </w:p>
        </w:tc>
      </w:tr>
    </w:tbl>
    <w:p w14:paraId="3A77362C" w14:textId="77777777" w:rsidR="005431A2" w:rsidRPr="00BE49BB" w:rsidRDefault="005431A2" w:rsidP="005431A2">
      <w:pPr>
        <w:pStyle w:val="SingleTxtG"/>
        <w:ind w:left="2268" w:hanging="20"/>
        <w:rPr>
          <w:rFonts w:asciiTheme="majorBidi" w:hAnsiTheme="majorBidi"/>
        </w:rPr>
      </w:pP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</w:r>
      <w:r>
        <w:rPr>
          <w:rFonts w:asciiTheme="majorBidi" w:hAnsiTheme="majorBidi"/>
        </w:rPr>
        <w:tab/>
        <w:t>».</w:t>
      </w:r>
    </w:p>
    <w:p w14:paraId="0A660603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</w:rPr>
      </w:pPr>
      <w:r>
        <w:rPr>
          <w:i/>
          <w:iCs/>
        </w:rPr>
        <w:t xml:space="preserve">Таблицы в пункте 6.7 и подпунктах </w:t>
      </w:r>
      <w:r>
        <w:t>изменить следующим образом:</w:t>
      </w:r>
    </w:p>
    <w:p w14:paraId="07015445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Cs/>
        </w:rPr>
      </w:pPr>
      <w:r>
        <w:t xml:space="preserve">«6.7 </w:t>
      </w:r>
      <w:r>
        <w:tab/>
        <w:t>Испытание на предупреждение и включение в случае объекта-велосипеда</w:t>
      </w:r>
    </w:p>
    <w:p w14:paraId="590A90DD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Cs/>
        </w:rPr>
      </w:pPr>
      <w:r>
        <w:t>6.7.1</w:t>
      </w:r>
      <w:r>
        <w:tab/>
        <w:t>Данное транспортное средство ...</w:t>
      </w:r>
    </w:p>
    <w:p w14:paraId="0564582A" w14:textId="77777777" w:rsidR="005431A2" w:rsidRPr="00BE49BB" w:rsidRDefault="005431A2" w:rsidP="005431A2">
      <w:pPr>
        <w:pStyle w:val="SingleTxtG"/>
        <w:ind w:left="2268"/>
        <w:rPr>
          <w:rFonts w:asciiTheme="majorBidi" w:eastAsia="MS Mincho" w:hAnsiTheme="majorBidi"/>
          <w:b/>
        </w:rPr>
      </w:pPr>
      <w:r>
        <w:rPr>
          <w:b/>
          <w:bCs/>
        </w:rPr>
        <w:t>Испытательная скорость данного транспортного средства для транспортных средств категории М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в сценарии столкновения с объектом-велосипедом</w:t>
      </w: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269"/>
      </w:tblGrid>
      <w:tr w:rsidR="005431A2" w:rsidRPr="00CB04BE" w14:paraId="7DA6AFB0" w14:textId="77777777" w:rsidTr="00231705">
        <w:trPr>
          <w:trHeight w:val="26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96E99E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Максимальная масса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8D529A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Масса в снаряженном состоянии</w:t>
            </w:r>
          </w:p>
        </w:tc>
      </w:tr>
      <w:tr w:rsidR="005431A2" w:rsidRPr="00CB04BE" w14:paraId="0C82C472" w14:textId="77777777" w:rsidTr="00231705"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F9A8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92A7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</w:tr>
      <w:tr w:rsidR="005431A2" w:rsidRPr="00CB04BE" w14:paraId="31A83923" w14:textId="77777777" w:rsidTr="0023170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099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867C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40</w:t>
            </w:r>
          </w:p>
        </w:tc>
      </w:tr>
      <w:tr w:rsidR="005431A2" w:rsidRPr="00CB04BE" w14:paraId="73824079" w14:textId="77777777" w:rsidTr="0023170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A4B162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35C2E2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60</w:t>
            </w:r>
          </w:p>
        </w:tc>
      </w:tr>
    </w:tbl>
    <w:p w14:paraId="66F06322" w14:textId="77777777" w:rsidR="005431A2" w:rsidRPr="00535BEA" w:rsidRDefault="005431A2" w:rsidP="005431A2">
      <w:pPr>
        <w:pStyle w:val="SingleTxtG"/>
        <w:ind w:left="2268"/>
        <w:rPr>
          <w:rFonts w:asciiTheme="majorBidi" w:eastAsia="MS Mincho" w:hAnsiTheme="majorBidi"/>
          <w:b/>
          <w:lang w:eastAsia="ja-JP"/>
        </w:rPr>
      </w:pP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269"/>
      </w:tblGrid>
      <w:tr w:rsidR="005431A2" w:rsidRPr="00CB04BE" w14:paraId="243A410A" w14:textId="77777777" w:rsidTr="00231705">
        <w:trPr>
          <w:trHeight w:val="26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17EEE3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i/>
                <w:iCs/>
                <w:strike/>
              </w:rPr>
              <w:t>Максимальная масса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444A5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i/>
                <w:iCs/>
                <w:strike/>
              </w:rPr>
              <w:t>Масса в снаряженном состоянии</w:t>
            </w:r>
          </w:p>
        </w:tc>
      </w:tr>
      <w:tr w:rsidR="005431A2" w:rsidRPr="00CB04BE" w14:paraId="7468B041" w14:textId="77777777" w:rsidTr="00231705"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E0F7" w14:textId="77777777" w:rsidR="005431A2" w:rsidRPr="00CB04BE" w:rsidRDefault="005431A2" w:rsidP="00713CB7">
            <w:pPr>
              <w:jc w:val="center"/>
              <w:rPr>
                <w:rFonts w:asciiTheme="majorBidi" w:hAnsiTheme="majorBidi"/>
                <w:bCs/>
                <w:strike/>
                <w:kern w:val="2"/>
              </w:rPr>
            </w:pPr>
            <w:r>
              <w:rPr>
                <w:strike/>
              </w:rPr>
              <w:t>30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6C0" w14:textId="77777777" w:rsidR="005431A2" w:rsidRPr="00CB04BE" w:rsidRDefault="005431A2" w:rsidP="00713CB7">
            <w:pPr>
              <w:jc w:val="center"/>
              <w:rPr>
                <w:rFonts w:asciiTheme="majorBidi" w:hAnsiTheme="majorBidi"/>
                <w:bCs/>
                <w:strike/>
                <w:kern w:val="2"/>
              </w:rPr>
            </w:pPr>
            <w:r>
              <w:rPr>
                <w:strike/>
              </w:rPr>
              <w:t>30</w:t>
            </w:r>
          </w:p>
        </w:tc>
      </w:tr>
      <w:tr w:rsidR="005431A2" w:rsidRPr="00CB04BE" w14:paraId="77810548" w14:textId="77777777" w:rsidTr="0023170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A9C5" w14:textId="77777777" w:rsidR="005431A2" w:rsidRPr="00CB04BE" w:rsidRDefault="005431A2" w:rsidP="00713CB7">
            <w:pPr>
              <w:jc w:val="center"/>
              <w:rPr>
                <w:rFonts w:asciiTheme="majorBidi" w:hAnsiTheme="majorBidi"/>
                <w:bCs/>
                <w:strike/>
                <w:kern w:val="2"/>
              </w:rPr>
            </w:pPr>
            <w:r>
              <w:rPr>
                <w:strike/>
              </w:rPr>
              <w:t>38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D14B" w14:textId="77777777" w:rsidR="005431A2" w:rsidRPr="00CB04BE" w:rsidRDefault="005431A2" w:rsidP="00713CB7">
            <w:pPr>
              <w:jc w:val="center"/>
              <w:rPr>
                <w:rFonts w:asciiTheme="majorBidi" w:hAnsiTheme="majorBidi"/>
                <w:bCs/>
                <w:strike/>
                <w:kern w:val="2"/>
              </w:rPr>
            </w:pPr>
            <w:r>
              <w:rPr>
                <w:strike/>
              </w:rPr>
              <w:t>38</w:t>
            </w:r>
          </w:p>
        </w:tc>
      </w:tr>
      <w:tr w:rsidR="005431A2" w:rsidRPr="00CB04BE" w14:paraId="11D04305" w14:textId="77777777" w:rsidTr="0023170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BB48F99" w14:textId="77777777" w:rsidR="005431A2" w:rsidRPr="00CB04BE" w:rsidRDefault="005431A2" w:rsidP="00713CB7">
            <w:pPr>
              <w:jc w:val="center"/>
              <w:rPr>
                <w:rFonts w:asciiTheme="majorBidi" w:hAnsiTheme="majorBidi"/>
                <w:bCs/>
                <w:strike/>
                <w:kern w:val="2"/>
              </w:rPr>
            </w:pPr>
            <w:r>
              <w:rPr>
                <w:strike/>
              </w:rPr>
              <w:t>60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F59E8C" w14:textId="77777777" w:rsidR="005431A2" w:rsidRPr="00CB04BE" w:rsidRDefault="005431A2" w:rsidP="00713CB7">
            <w:pPr>
              <w:jc w:val="center"/>
              <w:rPr>
                <w:rFonts w:asciiTheme="majorBidi" w:hAnsiTheme="majorBidi"/>
                <w:bCs/>
                <w:strike/>
                <w:kern w:val="2"/>
              </w:rPr>
            </w:pPr>
            <w:r>
              <w:rPr>
                <w:strike/>
              </w:rPr>
              <w:t>60</w:t>
            </w:r>
          </w:p>
        </w:tc>
      </w:tr>
    </w:tbl>
    <w:p w14:paraId="7DA7C857" w14:textId="77777777" w:rsidR="005431A2" w:rsidRPr="00CB04BE" w:rsidRDefault="005431A2" w:rsidP="005431A2">
      <w:pPr>
        <w:pStyle w:val="SingleTxtG"/>
        <w:ind w:left="2268"/>
        <w:rPr>
          <w:rFonts w:asciiTheme="majorBidi" w:hAnsiTheme="majorBidi"/>
          <w:bCs/>
        </w:rPr>
      </w:pPr>
      <w:r>
        <w:t>…</w:t>
      </w:r>
    </w:p>
    <w:p w14:paraId="28BDB448" w14:textId="77777777" w:rsidR="005431A2" w:rsidRPr="00BE49BB" w:rsidRDefault="005431A2" w:rsidP="005431A2">
      <w:pPr>
        <w:pStyle w:val="SingleTxtG"/>
        <w:ind w:left="2268"/>
        <w:rPr>
          <w:rFonts w:asciiTheme="majorBidi" w:eastAsia="MS Mincho" w:hAnsiTheme="majorBidi"/>
          <w:b/>
        </w:rPr>
      </w:pPr>
      <w:r>
        <w:rPr>
          <w:b/>
          <w:bCs/>
        </w:rPr>
        <w:t>Испытательная скорость данного транспортного средства для транспортных средств категории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в сценарии столкновения с объектом-велосипедом</w:t>
      </w: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3269"/>
      </w:tblGrid>
      <w:tr w:rsidR="005431A2" w:rsidRPr="00CB04BE" w14:paraId="033EC357" w14:textId="77777777" w:rsidTr="00231705">
        <w:trPr>
          <w:trHeight w:val="265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B9FF9B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Максимальная масса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8FA1CB" w14:textId="77777777" w:rsidR="005431A2" w:rsidRPr="00CB04BE" w:rsidRDefault="005431A2" w:rsidP="00713CB7">
            <w:pPr>
              <w:widowControl w:val="0"/>
              <w:suppressAutoHyphens w:val="0"/>
              <w:spacing w:line="240" w:lineRule="auto"/>
              <w:jc w:val="center"/>
              <w:rPr>
                <w:b/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Масса в снаряженном состоянии</w:t>
            </w:r>
          </w:p>
        </w:tc>
      </w:tr>
      <w:tr w:rsidR="005431A2" w:rsidRPr="00CB04BE" w14:paraId="7909718F" w14:textId="77777777" w:rsidTr="00231705">
        <w:tc>
          <w:tcPr>
            <w:tcW w:w="2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84E0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358F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20</w:t>
            </w:r>
          </w:p>
        </w:tc>
      </w:tr>
      <w:tr w:rsidR="005431A2" w:rsidRPr="00CB04BE" w14:paraId="5E4F98C3" w14:textId="77777777" w:rsidTr="0023170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6724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B5E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40</w:t>
            </w:r>
          </w:p>
        </w:tc>
      </w:tr>
      <w:tr w:rsidR="005431A2" w:rsidRPr="00CB04BE" w14:paraId="3E03244B" w14:textId="77777777" w:rsidTr="00231705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A45518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6154E7" w14:textId="77777777" w:rsidR="005431A2" w:rsidRPr="00CB04BE" w:rsidRDefault="005431A2" w:rsidP="00713CB7">
            <w:pPr>
              <w:jc w:val="center"/>
              <w:rPr>
                <w:b/>
                <w:kern w:val="2"/>
              </w:rPr>
            </w:pPr>
            <w:r>
              <w:rPr>
                <w:b/>
                <w:bCs/>
              </w:rPr>
              <w:t>60</w:t>
            </w:r>
          </w:p>
        </w:tc>
      </w:tr>
    </w:tbl>
    <w:p w14:paraId="19942D30" w14:textId="77777777" w:rsidR="005431A2" w:rsidRDefault="005431A2" w:rsidP="005431A2">
      <w:pPr>
        <w:pStyle w:val="SingleTxtG"/>
        <w:ind w:left="2268"/>
        <w:rPr>
          <w:rFonts w:asciiTheme="majorBidi" w:eastAsia="MS Mincho" w:hAnsiTheme="majorBidi"/>
          <w:b/>
          <w:lang w:eastAsia="ja-JP"/>
        </w:rPr>
      </w:pPr>
    </w:p>
    <w:tbl>
      <w:tblPr>
        <w:tblW w:w="6237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283"/>
      </w:tblGrid>
      <w:tr w:rsidR="005431A2" w:rsidRPr="00CB04BE" w14:paraId="7F3608B4" w14:textId="77777777" w:rsidTr="00231705">
        <w:trPr>
          <w:trHeight w:val="26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96390A" w14:textId="77777777" w:rsidR="005431A2" w:rsidRPr="00CB04BE" w:rsidRDefault="005431A2" w:rsidP="00231705">
            <w:pPr>
              <w:keepNext/>
              <w:keepLines/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i/>
                <w:iCs/>
                <w:strike/>
              </w:rPr>
              <w:lastRenderedPageBreak/>
              <w:t>Максимальная масса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173415" w14:textId="77777777" w:rsidR="005431A2" w:rsidRPr="00CB04BE" w:rsidRDefault="005431A2" w:rsidP="00231705">
            <w:pPr>
              <w:keepNext/>
              <w:keepLines/>
              <w:widowControl w:val="0"/>
              <w:suppressAutoHyphens w:val="0"/>
              <w:spacing w:line="240" w:lineRule="auto"/>
              <w:jc w:val="center"/>
              <w:rPr>
                <w:bCs/>
                <w:i/>
                <w:iCs/>
                <w:strike/>
                <w:kern w:val="2"/>
                <w:sz w:val="16"/>
                <w:szCs w:val="16"/>
              </w:rPr>
            </w:pPr>
            <w:r>
              <w:rPr>
                <w:i/>
                <w:iCs/>
                <w:strike/>
              </w:rPr>
              <w:t>Масса в снаряженном состоянии</w:t>
            </w:r>
          </w:p>
        </w:tc>
      </w:tr>
      <w:tr w:rsidR="005431A2" w:rsidRPr="00CB04BE" w14:paraId="6F030196" w14:textId="77777777" w:rsidTr="00231705">
        <w:tc>
          <w:tcPr>
            <w:tcW w:w="29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E3FD" w14:textId="77777777" w:rsidR="005431A2" w:rsidRPr="00CB04BE" w:rsidRDefault="005431A2" w:rsidP="00231705">
            <w:pPr>
              <w:keepNext/>
              <w:keepLines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30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1D4" w14:textId="77777777" w:rsidR="005431A2" w:rsidRPr="00CB04BE" w:rsidRDefault="005431A2" w:rsidP="00231705">
            <w:pPr>
              <w:keepNext/>
              <w:keepLines/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30</w:t>
            </w:r>
          </w:p>
        </w:tc>
      </w:tr>
      <w:tr w:rsidR="005431A2" w:rsidRPr="00CB04BE" w14:paraId="282C82F9" w14:textId="77777777" w:rsidTr="00231705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D3F2" w14:textId="77777777" w:rsidR="005431A2" w:rsidRPr="00CB04BE" w:rsidRDefault="005431A2" w:rsidP="00713CB7">
            <w:pPr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DFE0" w14:textId="77777777" w:rsidR="005431A2" w:rsidRPr="00CB04BE" w:rsidRDefault="005431A2" w:rsidP="00713CB7">
            <w:pPr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38</w:t>
            </w:r>
          </w:p>
        </w:tc>
      </w:tr>
      <w:tr w:rsidR="005431A2" w:rsidRPr="00CB04BE" w14:paraId="520E22D7" w14:textId="77777777" w:rsidTr="00231705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A941D4" w14:textId="77777777" w:rsidR="005431A2" w:rsidRPr="00CB04BE" w:rsidRDefault="005431A2" w:rsidP="00713CB7">
            <w:pPr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60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4F44C5" w14:textId="77777777" w:rsidR="005431A2" w:rsidRPr="00CB04BE" w:rsidRDefault="005431A2" w:rsidP="00713CB7">
            <w:pPr>
              <w:jc w:val="center"/>
              <w:rPr>
                <w:bCs/>
                <w:strike/>
                <w:kern w:val="2"/>
              </w:rPr>
            </w:pPr>
            <w:r>
              <w:rPr>
                <w:strike/>
              </w:rPr>
              <w:t>60</w:t>
            </w:r>
          </w:p>
        </w:tc>
      </w:tr>
    </w:tbl>
    <w:p w14:paraId="035B73D1" w14:textId="77777777" w:rsidR="005431A2" w:rsidRPr="00CB04BE" w:rsidRDefault="005431A2" w:rsidP="005431A2">
      <w:pPr>
        <w:pStyle w:val="SingleTxtG"/>
        <w:spacing w:before="120" w:line="240" w:lineRule="auto"/>
        <w:ind w:left="2268"/>
        <w:rPr>
          <w:rFonts w:asciiTheme="majorBidi" w:hAnsiTheme="majorBidi"/>
          <w:bCs/>
        </w:rPr>
      </w:pPr>
      <w:r>
        <w:t xml:space="preserve">Все значения </w:t>
      </w:r>
      <w:proofErr w:type="gramStart"/>
      <w:r>
        <w:t>... »</w:t>
      </w:r>
      <w:proofErr w:type="gramEnd"/>
      <w:r>
        <w:t>.</w:t>
      </w:r>
    </w:p>
    <w:p w14:paraId="6676C701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</w:rPr>
      </w:pPr>
      <w:r>
        <w:rPr>
          <w:i/>
          <w:iCs/>
        </w:rPr>
        <w:t>Включить новый пункт 12 (и подпункты)</w:t>
      </w:r>
      <w:r>
        <w:t xml:space="preserve"> следующего содержания:</w:t>
      </w:r>
    </w:p>
    <w:p w14:paraId="75BD6666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/>
          <w:bCs/>
        </w:rPr>
      </w:pPr>
      <w:r w:rsidRPr="00CC7A46">
        <w:t>«</w:t>
      </w:r>
      <w:r w:rsidRPr="00D6190E">
        <w:rPr>
          <w:b/>
          <w:bCs/>
        </w:rPr>
        <w:t>12.</w:t>
      </w:r>
      <w:r>
        <w:tab/>
      </w:r>
      <w:r>
        <w:rPr>
          <w:b/>
          <w:bCs/>
        </w:rPr>
        <w:t>Переходные положения</w:t>
      </w:r>
    </w:p>
    <w:p w14:paraId="7E0E4C9D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/>
          <w:bCs/>
        </w:rPr>
      </w:pPr>
      <w:r w:rsidRPr="00D6190E">
        <w:rPr>
          <w:b/>
          <w:bCs/>
        </w:rPr>
        <w:t>12.1</w:t>
      </w:r>
      <w:r>
        <w:tab/>
      </w:r>
      <w:r>
        <w:rPr>
          <w:b/>
          <w:bCs/>
        </w:rPr>
        <w:t>Начиная с официальной даты вступления в силу поправок серии 02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02.</w:t>
      </w:r>
    </w:p>
    <w:p w14:paraId="059E2317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/>
          <w:bCs/>
        </w:rPr>
      </w:pPr>
      <w:r w:rsidRPr="00D6190E">
        <w:rPr>
          <w:b/>
          <w:bCs/>
        </w:rPr>
        <w:t>12.2</w:t>
      </w:r>
      <w:r>
        <w:tab/>
      </w:r>
      <w:r>
        <w:tab/>
      </w:r>
      <w:r>
        <w:rPr>
          <w:b/>
          <w:bCs/>
        </w:rPr>
        <w:t>Начиная с 1 мая 2024 года Договаривающиеся стороны, применяющие настоящие Правила, не обязаны признавать официальные утверждения типа на основании предыдущих серий поправок к настоящим Правилам, впервые выданные после 1 мая 2024 года.</w:t>
      </w:r>
    </w:p>
    <w:p w14:paraId="1EB4ED2B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/>
          <w:bCs/>
        </w:rPr>
      </w:pPr>
      <w:r w:rsidRPr="00D6190E">
        <w:rPr>
          <w:b/>
          <w:bCs/>
        </w:rPr>
        <w:t>12.3</w:t>
      </w:r>
      <w:r>
        <w:tab/>
      </w:r>
      <w:r>
        <w:rPr>
          <w:b/>
          <w:bCs/>
        </w:rPr>
        <w:t>До 1 сентября 2028 года Договаривающиеся стороны, применяющие настоящие Правила, признают официальные утверждения типа на основании предыдущих серий поправок к настоящим Правилам, впервые выданные до 1 мая 2024 года.</w:t>
      </w:r>
    </w:p>
    <w:p w14:paraId="1DFB4CDC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/>
          <w:bCs/>
        </w:rPr>
      </w:pPr>
      <w:r w:rsidRPr="00D6190E">
        <w:rPr>
          <w:b/>
          <w:bCs/>
        </w:rPr>
        <w:t>12.4</w:t>
      </w:r>
      <w:r>
        <w:tab/>
      </w:r>
      <w:r>
        <w:rPr>
          <w:b/>
          <w:bCs/>
        </w:rPr>
        <w:t>Начиная с 1 мая 2028 года Договаривающиеся стороны, применяющие настоящие Правила, не обязаны признавать официальные утверждения типа, выданные на основании предыдущих серий поправок к настоящим Правилам.</w:t>
      </w:r>
    </w:p>
    <w:p w14:paraId="4CC05D47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  <w:b/>
          <w:bCs/>
        </w:rPr>
      </w:pPr>
      <w:r w:rsidRPr="00757C33">
        <w:rPr>
          <w:b/>
          <w:bCs/>
        </w:rPr>
        <w:t>12.5</w:t>
      </w:r>
      <w:r>
        <w:tab/>
      </w:r>
      <w:r>
        <w:rPr>
          <w:b/>
          <w:bCs/>
        </w:rPr>
        <w:t>Независимо от пунктов 12.3 и 12.4 Договаривающиеся стороны, применяющие настоящие Правила, продолжают признавать официальные утверждения типа, выданные на основании предыдущих серий поправок к настоящим Правилам и касающиеся транспортных средств, которые не затронуты изменениями, внесенными на основании поправок серии 02 (т. е. официальные утверждения на основе сценария столкновения автомобиля с автомобилем и/или сценария столкновения автомобиля с пешеходом не затрагиваются настоящей новой серией 02).</w:t>
      </w:r>
    </w:p>
    <w:p w14:paraId="0AC73FF8" w14:textId="77777777" w:rsidR="005431A2" w:rsidRPr="00BE49BB" w:rsidRDefault="005431A2" w:rsidP="005431A2">
      <w:pPr>
        <w:pStyle w:val="SingleTxtG"/>
        <w:ind w:left="2268" w:hanging="1134"/>
        <w:rPr>
          <w:rFonts w:asciiTheme="majorBidi" w:hAnsiTheme="majorBidi"/>
        </w:rPr>
      </w:pPr>
      <w:r w:rsidRPr="000D0E15">
        <w:rPr>
          <w:b/>
          <w:bCs/>
        </w:rPr>
        <w:t>12.6</w:t>
      </w:r>
      <w:r>
        <w:tab/>
      </w:r>
      <w:r>
        <w:rPr>
          <w:b/>
          <w:bCs/>
        </w:rPr>
        <w:t>Договаривающиеся стороны, применяющие настоящие Правила, могут предоставлять или распространять официальные утверждения типа на основании любой предыдущей серии поправок к настоящим Правилам.</w:t>
      </w:r>
      <w:r w:rsidRPr="00CC7A46">
        <w:t>».</w:t>
      </w:r>
    </w:p>
    <w:p w14:paraId="18EDB209" w14:textId="77777777" w:rsidR="005431A2" w:rsidRPr="00094BDD" w:rsidRDefault="005431A2" w:rsidP="005431A2">
      <w:pPr>
        <w:pStyle w:val="HChG"/>
        <w:ind w:right="567"/>
        <w:rPr>
          <w:rFonts w:asciiTheme="majorBidi" w:eastAsiaTheme="minorEastAsia" w:hAnsiTheme="majorBidi"/>
        </w:rPr>
      </w:pPr>
      <w:r>
        <w:tab/>
        <w:t>II.</w:t>
      </w:r>
      <w:r>
        <w:tab/>
      </w:r>
      <w:r>
        <w:rPr>
          <w:bCs/>
        </w:rPr>
        <w:t>Обоснования</w:t>
      </w:r>
    </w:p>
    <w:p w14:paraId="71D3CBCC" w14:textId="77777777" w:rsidR="005431A2" w:rsidRPr="0099559B" w:rsidRDefault="005431A2" w:rsidP="005431A2">
      <w:pPr>
        <w:pStyle w:val="SingleTxtG"/>
        <w:rPr>
          <w:rFonts w:asciiTheme="majorBidi" w:hAnsiTheme="majorBidi" w:cstheme="majorBidi"/>
        </w:rPr>
      </w:pPr>
      <w:r>
        <w:t>1.</w:t>
      </w:r>
      <w:r>
        <w:tab/>
        <w:t xml:space="preserve">Основная цель настоящего документа состоит в том, чтобы ввести новые положения, касающиеся сценария столкновения автомобиля с велосипедом, в качестве второго этапа двухэтапного подхода (см., в частности, пункт 5.2.3.4). </w:t>
      </w:r>
    </w:p>
    <w:p w14:paraId="653E4AB7" w14:textId="77777777" w:rsidR="005431A2" w:rsidRPr="00BE49BB" w:rsidRDefault="005431A2" w:rsidP="005431A2">
      <w:pPr>
        <w:pStyle w:val="SingleTxtG"/>
        <w:rPr>
          <w:rFonts w:asciiTheme="majorBidi" w:hAnsiTheme="majorBidi" w:cstheme="majorBidi"/>
        </w:rPr>
      </w:pPr>
      <w:r>
        <w:t>2.</w:t>
      </w:r>
      <w:r>
        <w:tab/>
        <w:t>В другом, отдельном документе предлагаются изменения, необходимые для реализации первого этапа введения в действие дополнения 2 к поправкам серии 01 к Правилам.</w:t>
      </w:r>
    </w:p>
    <w:p w14:paraId="21C54731" w14:textId="77777777" w:rsidR="005431A2" w:rsidRPr="00BE49BB" w:rsidRDefault="005431A2" w:rsidP="004B4BCE">
      <w:pPr>
        <w:pStyle w:val="SingleTxtG"/>
        <w:keepNext/>
        <w:keepLines/>
        <w:rPr>
          <w:rFonts w:asciiTheme="majorBidi" w:hAnsiTheme="majorBidi" w:cstheme="majorBidi"/>
        </w:rPr>
      </w:pPr>
      <w:r>
        <w:lastRenderedPageBreak/>
        <w:t>3.</w:t>
      </w:r>
      <w:r>
        <w:tab/>
        <w:t>Сроки введения указаны в таблице ниже.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268"/>
      </w:tblGrid>
      <w:tr w:rsidR="004B4BCE" w:rsidRPr="004B4BCE" w14:paraId="139DD3AC" w14:textId="77777777" w:rsidTr="004B4BCE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848EE2E" w14:textId="77777777" w:rsidR="005431A2" w:rsidRPr="004B4BCE" w:rsidRDefault="005431A2" w:rsidP="004B4B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0E62A37" w14:textId="77777777" w:rsidR="005431A2" w:rsidRPr="004B4BCE" w:rsidRDefault="005431A2" w:rsidP="004B4B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4BCE">
              <w:rPr>
                <w:rFonts w:cs="Times New Roman"/>
                <w:i/>
                <w:iCs/>
                <w:sz w:val="16"/>
              </w:rPr>
              <w:t>Новые официальные утверждения типа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EE28BD" w14:textId="77777777" w:rsidR="005431A2" w:rsidRPr="004B4BCE" w:rsidRDefault="005431A2" w:rsidP="004B4BCE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</w:rPr>
            </w:pPr>
            <w:r w:rsidRPr="004B4BCE">
              <w:rPr>
                <w:rFonts w:cs="Times New Roman"/>
                <w:i/>
                <w:iCs/>
                <w:sz w:val="16"/>
              </w:rPr>
              <w:t>Существующие официальные утверждения типа</w:t>
            </w:r>
          </w:p>
        </w:tc>
      </w:tr>
      <w:tr w:rsidR="004B4BCE" w:rsidRPr="004B4BCE" w14:paraId="2D1224B4" w14:textId="77777777" w:rsidTr="004B4BCE">
        <w:trPr>
          <w:trHeight w:hRule="exact" w:val="113"/>
          <w:tblHeader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8CE2E60" w14:textId="77777777" w:rsidR="004B4BCE" w:rsidRPr="004B4BCE" w:rsidRDefault="004B4BCE" w:rsidP="004B4BC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8D5D7E5" w14:textId="77777777" w:rsidR="004B4BCE" w:rsidRPr="004B4BCE" w:rsidRDefault="004B4BCE" w:rsidP="004B4BCE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0EC81674" w14:textId="77777777" w:rsidR="004B4BCE" w:rsidRPr="004B4BCE" w:rsidRDefault="004B4BCE" w:rsidP="004B4BCE">
            <w:pPr>
              <w:spacing w:before="40" w:after="120"/>
              <w:ind w:right="113"/>
              <w:rPr>
                <w:rFonts w:cs="Times New Roman"/>
                <w:iCs/>
              </w:rPr>
            </w:pPr>
          </w:p>
        </w:tc>
      </w:tr>
      <w:tr w:rsidR="005431A2" w:rsidRPr="004B4BCE" w14:paraId="4BF7C869" w14:textId="77777777" w:rsidTr="004B4BCE">
        <w:tc>
          <w:tcPr>
            <w:tcW w:w="2835" w:type="dxa"/>
            <w:shd w:val="clear" w:color="auto" w:fill="auto"/>
          </w:tcPr>
          <w:p w14:paraId="2C16C896" w14:textId="77777777" w:rsidR="005431A2" w:rsidRPr="004B4BCE" w:rsidRDefault="005431A2" w:rsidP="004B4BCE">
            <w:pPr>
              <w:spacing w:before="4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Сценарий столкновения автомобиля с велосипедом – этап 1</w:t>
            </w:r>
          </w:p>
          <w:p w14:paraId="0119E901" w14:textId="77777777" w:rsidR="005431A2" w:rsidRPr="004B4BCE" w:rsidRDefault="005431A2" w:rsidP="00B31D2B">
            <w:pPr>
              <w:spacing w:before="40" w:after="12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(как дополнение 2 к серии 01)</w:t>
            </w:r>
          </w:p>
        </w:tc>
        <w:tc>
          <w:tcPr>
            <w:tcW w:w="2268" w:type="dxa"/>
            <w:shd w:val="clear" w:color="auto" w:fill="auto"/>
          </w:tcPr>
          <w:p w14:paraId="5A0C7BEA" w14:textId="77777777" w:rsidR="005431A2" w:rsidRPr="004B4BCE" w:rsidRDefault="005431A2" w:rsidP="004B4BCE">
            <w:pPr>
              <w:spacing w:before="40" w:after="12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Дата вступления в силу</w:t>
            </w:r>
          </w:p>
        </w:tc>
        <w:tc>
          <w:tcPr>
            <w:tcW w:w="2268" w:type="dxa"/>
            <w:shd w:val="clear" w:color="auto" w:fill="auto"/>
          </w:tcPr>
          <w:p w14:paraId="2BFAB4D3" w14:textId="77777777" w:rsidR="005431A2" w:rsidRPr="004B4BCE" w:rsidRDefault="005431A2" w:rsidP="004B4BCE">
            <w:pPr>
              <w:spacing w:before="40" w:after="12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Признаются до сентября 2028 года</w:t>
            </w:r>
          </w:p>
        </w:tc>
      </w:tr>
      <w:tr w:rsidR="005431A2" w:rsidRPr="004B4BCE" w14:paraId="369EDC7D" w14:textId="77777777" w:rsidTr="004B4BCE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BD0421A" w14:textId="77777777" w:rsidR="005431A2" w:rsidRPr="004B4BCE" w:rsidRDefault="005431A2" w:rsidP="004B4BCE">
            <w:pPr>
              <w:spacing w:before="4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Сценарий столкновения автомобиля с велосипедом – этап 2</w:t>
            </w:r>
          </w:p>
          <w:p w14:paraId="7F84D71A" w14:textId="77777777" w:rsidR="005431A2" w:rsidRPr="004B4BCE" w:rsidRDefault="005431A2" w:rsidP="00B31D2B">
            <w:pPr>
              <w:spacing w:before="40" w:after="120"/>
              <w:ind w:right="113"/>
              <w:rPr>
                <w:rFonts w:cs="Times New Roman"/>
              </w:rPr>
            </w:pPr>
            <w:bookmarkStart w:id="1" w:name="_GoBack"/>
            <w:bookmarkEnd w:id="1"/>
            <w:r w:rsidRPr="004B4BCE">
              <w:rPr>
                <w:rFonts w:cs="Times New Roman"/>
              </w:rPr>
              <w:t>(как новая серия 02)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63D03CC" w14:textId="77777777" w:rsidR="005431A2" w:rsidRPr="004B4BCE" w:rsidRDefault="005431A2" w:rsidP="004B4BCE">
            <w:pPr>
              <w:spacing w:before="40" w:after="12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Май 2024 года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0DC76CA0" w14:textId="77777777" w:rsidR="005431A2" w:rsidRPr="004B4BCE" w:rsidRDefault="005431A2" w:rsidP="004B4BCE">
            <w:pPr>
              <w:spacing w:before="40" w:after="120"/>
              <w:ind w:right="113"/>
              <w:rPr>
                <w:rFonts w:cs="Times New Roman"/>
              </w:rPr>
            </w:pPr>
            <w:r w:rsidRPr="004B4BCE">
              <w:rPr>
                <w:rFonts w:cs="Times New Roman"/>
              </w:rPr>
              <w:t>Могут быть признаны с сентября 2028 года</w:t>
            </w:r>
          </w:p>
        </w:tc>
      </w:tr>
    </w:tbl>
    <w:p w14:paraId="077D8141" w14:textId="77777777" w:rsidR="005431A2" w:rsidRPr="005431A2" w:rsidRDefault="005431A2" w:rsidP="005431A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431A2" w:rsidRPr="005431A2" w:rsidSect="005431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9230" w14:textId="77777777" w:rsidR="00CA3084" w:rsidRPr="00A312BC" w:rsidRDefault="00CA3084" w:rsidP="00A312BC"/>
  </w:endnote>
  <w:endnote w:type="continuationSeparator" w:id="0">
    <w:p w14:paraId="419024E5" w14:textId="77777777" w:rsidR="00CA3084" w:rsidRPr="00A312BC" w:rsidRDefault="00CA30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55D5" w14:textId="77777777" w:rsidR="005431A2" w:rsidRPr="005431A2" w:rsidRDefault="005431A2">
    <w:pPr>
      <w:pStyle w:val="a8"/>
    </w:pPr>
    <w:r w:rsidRPr="005431A2">
      <w:rPr>
        <w:b/>
        <w:sz w:val="18"/>
      </w:rPr>
      <w:fldChar w:fldCharType="begin"/>
    </w:r>
    <w:r w:rsidRPr="005431A2">
      <w:rPr>
        <w:b/>
        <w:sz w:val="18"/>
      </w:rPr>
      <w:instrText xml:space="preserve"> PAGE  \* MERGEFORMAT </w:instrText>
    </w:r>
    <w:r w:rsidRPr="005431A2">
      <w:rPr>
        <w:b/>
        <w:sz w:val="18"/>
      </w:rPr>
      <w:fldChar w:fldCharType="separate"/>
    </w:r>
    <w:r w:rsidRPr="005431A2">
      <w:rPr>
        <w:b/>
        <w:noProof/>
        <w:sz w:val="18"/>
      </w:rPr>
      <w:t>2</w:t>
    </w:r>
    <w:r w:rsidRPr="005431A2">
      <w:rPr>
        <w:b/>
        <w:sz w:val="18"/>
      </w:rPr>
      <w:fldChar w:fldCharType="end"/>
    </w:r>
    <w:r>
      <w:rPr>
        <w:b/>
        <w:sz w:val="18"/>
      </w:rPr>
      <w:tab/>
    </w:r>
    <w:r>
      <w:t>GE.20-09132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21AC" w14:textId="77777777" w:rsidR="005431A2" w:rsidRPr="005431A2" w:rsidRDefault="005431A2" w:rsidP="005431A2">
    <w:pPr>
      <w:pStyle w:val="a8"/>
      <w:tabs>
        <w:tab w:val="clear" w:pos="9639"/>
        <w:tab w:val="right" w:pos="9638"/>
      </w:tabs>
      <w:rPr>
        <w:b/>
        <w:sz w:val="18"/>
      </w:rPr>
    </w:pPr>
    <w:r>
      <w:t>GE.20-09132</w:t>
    </w:r>
    <w:r>
      <w:tab/>
    </w:r>
    <w:r w:rsidRPr="005431A2">
      <w:rPr>
        <w:b/>
        <w:sz w:val="18"/>
      </w:rPr>
      <w:fldChar w:fldCharType="begin"/>
    </w:r>
    <w:r w:rsidRPr="005431A2">
      <w:rPr>
        <w:b/>
        <w:sz w:val="18"/>
      </w:rPr>
      <w:instrText xml:space="preserve"> PAGE  \* MERGEFORMAT </w:instrText>
    </w:r>
    <w:r w:rsidRPr="005431A2">
      <w:rPr>
        <w:b/>
        <w:sz w:val="18"/>
      </w:rPr>
      <w:fldChar w:fldCharType="separate"/>
    </w:r>
    <w:r w:rsidRPr="005431A2">
      <w:rPr>
        <w:b/>
        <w:noProof/>
        <w:sz w:val="18"/>
      </w:rPr>
      <w:t>3</w:t>
    </w:r>
    <w:r w:rsidRPr="005431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F2B6" w14:textId="77777777" w:rsidR="00042B72" w:rsidRPr="005431A2" w:rsidRDefault="005431A2" w:rsidP="005431A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933DD4" wp14:editId="4BB7AD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09132  (</w:t>
    </w:r>
    <w:proofErr w:type="gramEnd"/>
    <w:r>
      <w:t>R)</w:t>
    </w:r>
    <w:r w:rsidR="00E04C24">
      <w:rPr>
        <w:lang w:val="en-US"/>
      </w:rPr>
      <w:t xml:space="preserve">  290720  300720</w:t>
    </w:r>
    <w:r>
      <w:br/>
    </w:r>
    <w:r w:rsidRPr="005431A2">
      <w:rPr>
        <w:rFonts w:ascii="C39T30Lfz" w:hAnsi="C39T30Lfz"/>
        <w:kern w:val="14"/>
        <w:sz w:val="56"/>
      </w:rPr>
      <w:t></w:t>
    </w:r>
    <w:r w:rsidRPr="005431A2">
      <w:rPr>
        <w:rFonts w:ascii="C39T30Lfz" w:hAnsi="C39T30Lfz"/>
        <w:kern w:val="14"/>
        <w:sz w:val="56"/>
      </w:rPr>
      <w:t></w:t>
    </w:r>
    <w:r w:rsidRPr="005431A2">
      <w:rPr>
        <w:rFonts w:ascii="C39T30Lfz" w:hAnsi="C39T30Lfz"/>
        <w:kern w:val="14"/>
        <w:sz w:val="56"/>
      </w:rPr>
      <w:t></w:t>
    </w:r>
    <w:r w:rsidRPr="005431A2">
      <w:rPr>
        <w:rFonts w:ascii="C39T30Lfz" w:hAnsi="C39T30Lfz"/>
        <w:kern w:val="14"/>
        <w:sz w:val="56"/>
      </w:rPr>
      <w:t></w:t>
    </w:r>
    <w:r w:rsidRPr="005431A2">
      <w:rPr>
        <w:rFonts w:ascii="C39T30Lfz" w:hAnsi="C39T30Lfz"/>
        <w:kern w:val="14"/>
        <w:sz w:val="56"/>
      </w:rPr>
      <w:t></w:t>
    </w:r>
    <w:r w:rsidRPr="005431A2">
      <w:rPr>
        <w:rFonts w:ascii="C39T30Lfz" w:hAnsi="C39T30Lfz"/>
        <w:kern w:val="14"/>
        <w:sz w:val="56"/>
      </w:rPr>
      <w:t></w:t>
    </w:r>
    <w:r w:rsidRPr="005431A2">
      <w:rPr>
        <w:rFonts w:ascii="C39T30Lfz" w:hAnsi="C39T30Lfz"/>
        <w:kern w:val="14"/>
        <w:sz w:val="56"/>
      </w:rPr>
      <w:t></w:t>
    </w:r>
    <w:r w:rsidRPr="005431A2">
      <w:rPr>
        <w:rFonts w:ascii="C39T30Lfz" w:hAnsi="C39T30Lfz"/>
        <w:kern w:val="14"/>
        <w:sz w:val="56"/>
      </w:rPr>
      <w:t></w:t>
    </w:r>
    <w:r w:rsidRPr="005431A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23CBAC" wp14:editId="214951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6665" w14:textId="77777777" w:rsidR="00CA3084" w:rsidRPr="001075E9" w:rsidRDefault="00CA30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B98897" w14:textId="77777777" w:rsidR="00CA3084" w:rsidRDefault="00CA30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4CFB35E" w14:textId="77777777" w:rsidR="005431A2" w:rsidRPr="00CC7A46" w:rsidRDefault="005431A2" w:rsidP="005431A2">
      <w:pPr>
        <w:pStyle w:val="ad"/>
      </w:pPr>
      <w:r>
        <w:tab/>
      </w:r>
      <w:r w:rsidRPr="00CD428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A532" w14:textId="12CE62B4" w:rsidR="005431A2" w:rsidRPr="005431A2" w:rsidRDefault="00D3129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F853" w14:textId="1DDD74CE" w:rsidR="005431A2" w:rsidRPr="005431A2" w:rsidRDefault="00D31293" w:rsidP="005431A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ECE/TRANS/WP.29/GRVA/2020/28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84"/>
    <w:rsid w:val="00033EE1"/>
    <w:rsid w:val="00042B72"/>
    <w:rsid w:val="000558BD"/>
    <w:rsid w:val="000A6C82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170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4BCE"/>
    <w:rsid w:val="004E05B7"/>
    <w:rsid w:val="0050108D"/>
    <w:rsid w:val="00513081"/>
    <w:rsid w:val="00517901"/>
    <w:rsid w:val="00526683"/>
    <w:rsid w:val="005431A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1D2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084"/>
    <w:rsid w:val="00CB151C"/>
    <w:rsid w:val="00CD4286"/>
    <w:rsid w:val="00CE5A1A"/>
    <w:rsid w:val="00CF55F6"/>
    <w:rsid w:val="00D3129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4C24"/>
    <w:rsid w:val="00E12C5F"/>
    <w:rsid w:val="00E44246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86133"/>
  <w15:docId w15:val="{7780570E-5A9A-4F6D-910B-779782F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uiPriority w:val="99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431A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5431A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431A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932</Words>
  <Characters>5864</Characters>
  <Application>Microsoft Office Word</Application>
  <DocSecurity>0</DocSecurity>
  <Lines>390</Lines>
  <Paragraphs>251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ECE/TRANS/WP.29/GRVA/2020/28</vt:lpstr>
      <vt:lpstr>A/</vt:lpstr>
      <vt:lpstr>A/</vt:lpstr>
    </vt:vector>
  </TitlesOfParts>
  <Company>DCM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ECE/TRANS/WP.29/GRVA/2020/28</dc:title>
  <dc:subject/>
  <dc:creator>Marina KOROTKOVA</dc:creator>
  <cp:keywords/>
  <cp:lastModifiedBy>Marina KOROTKOVA</cp:lastModifiedBy>
  <cp:revision>3</cp:revision>
  <cp:lastPrinted>2020-07-30T08:13:00Z</cp:lastPrinted>
  <dcterms:created xsi:type="dcterms:W3CDTF">2020-07-30T08:13:00Z</dcterms:created>
  <dcterms:modified xsi:type="dcterms:W3CDTF">2020-07-30T08:14:00Z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