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15A0E" w:rsidRPr="00C15A0E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C15A0E" w:rsidRDefault="00F35BAF" w:rsidP="00E526E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C15A0E" w:rsidRDefault="00F35BAF" w:rsidP="00C97039">
            <w:pPr>
              <w:spacing w:after="80" w:line="300" w:lineRule="exact"/>
              <w:rPr>
                <w:sz w:val="28"/>
              </w:rPr>
            </w:pPr>
            <w:r w:rsidRPr="00C15A0E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C15A0E" w:rsidRDefault="00E526E1" w:rsidP="00E526E1">
            <w:pPr>
              <w:jc w:val="right"/>
            </w:pPr>
            <w:r w:rsidRPr="00C15A0E">
              <w:rPr>
                <w:sz w:val="40"/>
              </w:rPr>
              <w:t>ECE</w:t>
            </w:r>
            <w:r w:rsidRPr="00C15A0E">
              <w:t>/TRANS/WP.29/GRVA/2020/14</w:t>
            </w:r>
          </w:p>
        </w:tc>
      </w:tr>
      <w:tr w:rsidR="00C15A0E" w:rsidRPr="00C15A0E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C15A0E" w:rsidRDefault="00F35BAF" w:rsidP="00C97039">
            <w:pPr>
              <w:spacing w:before="120"/>
              <w:jc w:val="center"/>
            </w:pPr>
            <w:r w:rsidRPr="00C15A0E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C15A0E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C15A0E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C15A0E" w:rsidRDefault="00E526E1" w:rsidP="00C97039">
            <w:pPr>
              <w:spacing w:before="240"/>
            </w:pPr>
            <w:r w:rsidRPr="00C15A0E">
              <w:t>Distr. générale</w:t>
            </w:r>
          </w:p>
          <w:p w:rsidR="00E526E1" w:rsidRPr="00C15A0E" w:rsidRDefault="00E526E1" w:rsidP="00E526E1">
            <w:pPr>
              <w:spacing w:line="240" w:lineRule="exact"/>
            </w:pPr>
            <w:r w:rsidRPr="00C15A0E">
              <w:t>29 novembre 2019</w:t>
            </w:r>
          </w:p>
          <w:p w:rsidR="00E526E1" w:rsidRPr="00C15A0E" w:rsidRDefault="00E526E1" w:rsidP="00E526E1">
            <w:pPr>
              <w:spacing w:line="240" w:lineRule="exact"/>
            </w:pPr>
            <w:r w:rsidRPr="00C15A0E">
              <w:t>Français</w:t>
            </w:r>
          </w:p>
          <w:p w:rsidR="00E526E1" w:rsidRPr="00C15A0E" w:rsidRDefault="00E526E1" w:rsidP="00E526E1">
            <w:pPr>
              <w:spacing w:line="240" w:lineRule="exact"/>
            </w:pPr>
            <w:r w:rsidRPr="00C15A0E">
              <w:t>Original</w:t>
            </w:r>
            <w:r w:rsidR="00C15A0E" w:rsidRPr="00C15A0E">
              <w:t> :</w:t>
            </w:r>
            <w:r w:rsidRPr="00C15A0E">
              <w:t xml:space="preserve"> russe</w:t>
            </w:r>
          </w:p>
        </w:tc>
      </w:tr>
    </w:tbl>
    <w:p w:rsidR="007F20FA" w:rsidRPr="00C15A0E" w:rsidRDefault="007F20FA" w:rsidP="007F20FA">
      <w:pPr>
        <w:spacing w:before="120"/>
        <w:rPr>
          <w:b/>
          <w:sz w:val="28"/>
          <w:szCs w:val="28"/>
        </w:rPr>
      </w:pPr>
      <w:r w:rsidRPr="00C15A0E">
        <w:rPr>
          <w:b/>
          <w:sz w:val="28"/>
          <w:szCs w:val="28"/>
        </w:rPr>
        <w:t>Commission économique pour l’Europe</w:t>
      </w:r>
    </w:p>
    <w:p w:rsidR="007F20FA" w:rsidRPr="00C15A0E" w:rsidRDefault="007F20FA" w:rsidP="007F20FA">
      <w:pPr>
        <w:spacing w:before="120"/>
        <w:rPr>
          <w:sz w:val="28"/>
          <w:szCs w:val="28"/>
        </w:rPr>
      </w:pPr>
      <w:r w:rsidRPr="00C15A0E">
        <w:rPr>
          <w:sz w:val="28"/>
          <w:szCs w:val="28"/>
        </w:rPr>
        <w:t>Comité des transports intérieurs</w:t>
      </w:r>
    </w:p>
    <w:p w:rsidR="00C15A0E" w:rsidRPr="00C15A0E" w:rsidRDefault="00C15A0E" w:rsidP="00C15A0E">
      <w:pPr>
        <w:spacing w:before="120"/>
        <w:rPr>
          <w:b/>
          <w:sz w:val="24"/>
          <w:szCs w:val="24"/>
        </w:rPr>
      </w:pPr>
      <w:r w:rsidRPr="00C15A0E">
        <w:rPr>
          <w:b/>
          <w:bCs/>
          <w:sz w:val="24"/>
          <w:szCs w:val="24"/>
          <w:lang w:val="fr-FR"/>
        </w:rPr>
        <w:t xml:space="preserve">Forum mondial de l’harmonisation </w:t>
      </w:r>
      <w:r w:rsidRPr="00C15A0E">
        <w:rPr>
          <w:b/>
          <w:bCs/>
          <w:sz w:val="24"/>
          <w:szCs w:val="24"/>
          <w:lang w:val="fr-FR"/>
        </w:rPr>
        <w:br/>
        <w:t>des Règlements concernant les véhicules</w:t>
      </w:r>
    </w:p>
    <w:p w:rsidR="00C15A0E" w:rsidRPr="00C15A0E" w:rsidRDefault="00C15A0E" w:rsidP="00C15A0E">
      <w:pPr>
        <w:spacing w:before="120"/>
      </w:pPr>
      <w:r w:rsidRPr="00C15A0E">
        <w:rPr>
          <w:b/>
          <w:bCs/>
          <w:lang w:val="fr-FR"/>
        </w:rPr>
        <w:t xml:space="preserve">Groupe de travail des véhicules </w:t>
      </w:r>
      <w:r w:rsidRPr="00C15A0E">
        <w:rPr>
          <w:b/>
          <w:bCs/>
          <w:lang w:val="fr-FR"/>
        </w:rPr>
        <w:br/>
        <w:t>automatisés/autonomes et connectés</w:t>
      </w:r>
      <w:r w:rsidRPr="00C15A0E">
        <w:rPr>
          <w:rStyle w:val="Appelnotedebasdep"/>
          <w:vertAlign w:val="baseline"/>
          <w:lang w:val="fr-FR"/>
        </w:rPr>
        <w:footnoteReference w:customMarkFollows="1" w:id="2"/>
        <w:t>*</w:t>
      </w:r>
    </w:p>
    <w:p w:rsidR="00C15A0E" w:rsidRPr="00C15A0E" w:rsidRDefault="00C15A0E" w:rsidP="00C15A0E">
      <w:pPr>
        <w:spacing w:before="120"/>
        <w:rPr>
          <w:b/>
          <w:bCs/>
        </w:rPr>
      </w:pPr>
      <w:r w:rsidRPr="00C15A0E">
        <w:rPr>
          <w:b/>
          <w:bCs/>
          <w:lang w:val="fr-FR"/>
        </w:rPr>
        <w:t>Cinquième session</w:t>
      </w:r>
    </w:p>
    <w:p w:rsidR="00C15A0E" w:rsidRPr="00C15A0E" w:rsidRDefault="00C15A0E" w:rsidP="00C15A0E">
      <w:r w:rsidRPr="00C15A0E">
        <w:rPr>
          <w:lang w:val="fr-FR"/>
        </w:rPr>
        <w:t>Genève, 10-14 février 2020</w:t>
      </w:r>
    </w:p>
    <w:p w:rsidR="00C15A0E" w:rsidRPr="00C15A0E" w:rsidRDefault="00C15A0E" w:rsidP="00C15A0E">
      <w:r w:rsidRPr="00C15A0E">
        <w:rPr>
          <w:lang w:val="fr-FR"/>
        </w:rPr>
        <w:t>Point 8</w:t>
      </w:r>
      <w:r>
        <w:rPr>
          <w:lang w:val="fr-FR"/>
        </w:rPr>
        <w:t> </w:t>
      </w:r>
      <w:r w:rsidRPr="00C15A0E">
        <w:rPr>
          <w:lang w:val="fr-FR"/>
        </w:rPr>
        <w:t>c) de l’ordre du jour provisoire</w:t>
      </w:r>
    </w:p>
    <w:p w:rsidR="00C15A0E" w:rsidRPr="00C15A0E" w:rsidRDefault="00C15A0E" w:rsidP="00C15A0E">
      <w:pPr>
        <w:rPr>
          <w:b/>
          <w:bCs/>
        </w:rPr>
      </w:pPr>
      <w:r w:rsidRPr="00C15A0E">
        <w:rPr>
          <w:b/>
          <w:bCs/>
          <w:lang w:val="fr-FR"/>
        </w:rPr>
        <w:t>Règlements ONU n</w:t>
      </w:r>
      <w:r w:rsidRPr="00C15A0E">
        <w:rPr>
          <w:b/>
          <w:bCs/>
          <w:vertAlign w:val="superscript"/>
          <w:lang w:val="fr-FR"/>
        </w:rPr>
        <w:t>os</w:t>
      </w:r>
      <w:r w:rsidRPr="00C15A0E">
        <w:rPr>
          <w:b/>
          <w:bCs/>
          <w:lang w:val="fr-FR"/>
        </w:rPr>
        <w:t> 13, 13-H, 139 et 140 :</w:t>
      </w:r>
      <w:r w:rsidRPr="00C15A0E">
        <w:rPr>
          <w:b/>
          <w:bCs/>
          <w:lang w:val="fr-FR"/>
        </w:rPr>
        <w:br/>
        <w:t>Précisions</w:t>
      </w:r>
    </w:p>
    <w:p w:rsidR="00C15A0E" w:rsidRPr="00C15A0E" w:rsidRDefault="00C15A0E" w:rsidP="00C15A0E">
      <w:pPr>
        <w:pStyle w:val="HChG"/>
      </w:pPr>
      <w:r w:rsidRPr="00C15A0E">
        <w:rPr>
          <w:lang w:val="fr-FR"/>
        </w:rPr>
        <w:tab/>
      </w:r>
      <w:r w:rsidRPr="00C15A0E">
        <w:rPr>
          <w:lang w:val="fr-FR"/>
        </w:rPr>
        <w:tab/>
        <w:t xml:space="preserve">Proposition de complément à la série 11 d’amendements au Règlement ONU </w:t>
      </w:r>
      <w:r w:rsidRPr="00C15A0E">
        <w:rPr>
          <w:rFonts w:eastAsia="MS Mincho"/>
          <w:lang w:val="fr-FR"/>
        </w:rPr>
        <w:t>n</w:t>
      </w:r>
      <w:r w:rsidRPr="00C15A0E">
        <w:rPr>
          <w:rFonts w:eastAsia="MS Mincho"/>
          <w:vertAlign w:val="superscript"/>
          <w:lang w:val="fr-FR"/>
        </w:rPr>
        <w:t>o</w:t>
      </w:r>
      <w:r w:rsidRPr="00C15A0E">
        <w:rPr>
          <w:lang w:val="fr-FR"/>
        </w:rPr>
        <w:t> 13 (Freinage des véhicules lourds)</w:t>
      </w:r>
    </w:p>
    <w:p w:rsidR="00C15A0E" w:rsidRPr="00C15A0E" w:rsidRDefault="00C15A0E" w:rsidP="00C15A0E">
      <w:pPr>
        <w:pStyle w:val="H1G"/>
      </w:pPr>
      <w:r w:rsidRPr="00C15A0E">
        <w:rPr>
          <w:lang w:val="fr-FR"/>
        </w:rPr>
        <w:tab/>
      </w:r>
      <w:r w:rsidRPr="00C15A0E">
        <w:rPr>
          <w:lang w:val="fr-FR"/>
        </w:rPr>
        <w:tab/>
        <w:t>Communication de l’expert de la Fédération de Russie</w:t>
      </w:r>
      <w:r w:rsidRPr="00C15A0E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:rsidR="00C15A0E" w:rsidRPr="00C15A0E" w:rsidRDefault="00C15A0E" w:rsidP="00C15A0E">
      <w:pPr>
        <w:pStyle w:val="SingleTxtG"/>
        <w:ind w:firstLine="567"/>
      </w:pPr>
      <w:r w:rsidRPr="00C15A0E">
        <w:rPr>
          <w:lang w:val="fr-FR"/>
        </w:rPr>
        <w:t xml:space="preserve">La présente proposition vise à corriger les inexactitudes relevées dans la traduction russe du texte officiel du Règlement ONU </w:t>
      </w:r>
      <w:r w:rsidRPr="00C15A0E">
        <w:rPr>
          <w:rFonts w:eastAsia="MS Mincho"/>
          <w:lang w:val="fr-FR"/>
        </w:rPr>
        <w:t>n</w:t>
      </w:r>
      <w:r w:rsidRPr="00C15A0E">
        <w:rPr>
          <w:rFonts w:eastAsia="MS Mincho"/>
          <w:vertAlign w:val="superscript"/>
          <w:lang w:val="fr-FR"/>
        </w:rPr>
        <w:t>o</w:t>
      </w:r>
      <w:r w:rsidRPr="00C15A0E">
        <w:rPr>
          <w:lang w:val="fr-FR"/>
        </w:rPr>
        <w:t> 13. Elle s’applique uniquement à la version russe du texte du Règlement. Les modifications qu’il est proposé d’apporter au texte actuel du Règlement figurent en caractères gras pour les ajouts et biffés pour les suppressions.</w:t>
      </w:r>
    </w:p>
    <w:p w:rsidR="00C15A0E" w:rsidRPr="00C15A0E" w:rsidRDefault="00C15A0E" w:rsidP="00C15A0E">
      <w:pPr>
        <w:pStyle w:val="HChG"/>
      </w:pPr>
      <w:r w:rsidRPr="00C15A0E">
        <w:br w:type="page"/>
      </w:r>
      <w:r w:rsidRPr="00C15A0E">
        <w:rPr>
          <w:lang w:val="fr-FR"/>
        </w:rPr>
        <w:lastRenderedPageBreak/>
        <w:tab/>
        <w:t>I.</w:t>
      </w:r>
      <w:r w:rsidRPr="00C15A0E">
        <w:rPr>
          <w:lang w:val="fr-FR"/>
        </w:rPr>
        <w:tab/>
        <w:t>Proposition</w:t>
      </w:r>
    </w:p>
    <w:p w:rsidR="001B2A48" w:rsidRDefault="00C15A0E" w:rsidP="00C15A0E">
      <w:pPr>
        <w:pStyle w:val="SingleTxtG"/>
        <w:rPr>
          <w:lang w:val="fr-FR"/>
        </w:rPr>
      </w:pPr>
      <w:r w:rsidRPr="00C15A0E">
        <w:rPr>
          <w:i/>
          <w:iCs/>
          <w:lang w:val="fr-FR"/>
        </w:rPr>
        <w:t>Annexe 4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1.4.1.2.2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Modification sans objet en français.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3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Modification sans objet en français.</w:t>
      </w:r>
    </w:p>
    <w:p w:rsidR="00C15A0E" w:rsidRPr="00C15A0E" w:rsidRDefault="00C15A0E" w:rsidP="00C15A0E">
      <w:pPr>
        <w:pStyle w:val="SingleTxtG"/>
        <w:keepNext/>
        <w:rPr>
          <w:i/>
          <w:iCs/>
        </w:rPr>
      </w:pPr>
      <w:r w:rsidRPr="00C15A0E">
        <w:rPr>
          <w:i/>
          <w:iCs/>
          <w:lang w:val="fr-FR"/>
        </w:rPr>
        <w:t>Annexe 7, partie A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2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Modification sans objet en français.</w:t>
      </w:r>
    </w:p>
    <w:p w:rsidR="00C15A0E" w:rsidRPr="00C15A0E" w:rsidRDefault="00C15A0E" w:rsidP="00C15A0E">
      <w:pPr>
        <w:pStyle w:val="SingleTxtG"/>
        <w:keepNext/>
        <w:rPr>
          <w:i/>
          <w:iCs/>
        </w:rPr>
      </w:pPr>
      <w:r w:rsidRPr="00C15A0E">
        <w:rPr>
          <w:i/>
          <w:iCs/>
          <w:lang w:val="fr-FR"/>
        </w:rPr>
        <w:t>Annexe 7, partie B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2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Modification sans objet en français.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2.2.1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Modification sans objet en français.</w:t>
      </w:r>
    </w:p>
    <w:p w:rsidR="00C15A0E" w:rsidRPr="00C15A0E" w:rsidRDefault="00C15A0E" w:rsidP="00C15A0E">
      <w:pPr>
        <w:pStyle w:val="SingleTxtG"/>
        <w:keepNext/>
        <w:rPr>
          <w:i/>
          <w:iCs/>
        </w:rPr>
      </w:pPr>
      <w:r w:rsidRPr="00C15A0E">
        <w:rPr>
          <w:i/>
          <w:iCs/>
          <w:lang w:val="fr-FR"/>
        </w:rPr>
        <w:t>Annexe 7, partie C </w:t>
      </w:r>
      <w:r w:rsidRPr="00C15A0E">
        <w:rPr>
          <w:lang w:val="fr-FR"/>
        </w:rPr>
        <w:t>: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1.1.1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Modification sans objet en français.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1.1.2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Modification sans objet en français.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2</w:t>
      </w:r>
      <w:r w:rsidRPr="00C15A0E">
        <w:rPr>
          <w:lang w:val="fr-FR"/>
        </w:rPr>
        <w:t> :</w:t>
      </w:r>
    </w:p>
    <w:p w:rsidR="001B2A48" w:rsidRDefault="00C15A0E" w:rsidP="00C15A0E">
      <w:pPr>
        <w:pStyle w:val="SingleTxtG"/>
        <w:rPr>
          <w:lang w:val="fr-FR"/>
        </w:rPr>
      </w:pPr>
      <w:r w:rsidRPr="00C15A0E">
        <w:rPr>
          <w:lang w:val="fr-FR"/>
        </w:rPr>
        <w:t>Modification sans objet en français.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2.1.2.1</w:t>
      </w:r>
      <w:r w:rsidRPr="00C15A0E">
        <w:rPr>
          <w:lang w:val="fr-FR"/>
        </w:rPr>
        <w:t> :</w:t>
      </w:r>
    </w:p>
    <w:p w:rsidR="001B2A48" w:rsidRDefault="00C15A0E" w:rsidP="00C15A0E">
      <w:pPr>
        <w:pStyle w:val="SingleTxtG"/>
        <w:rPr>
          <w:lang w:val="fr-FR"/>
        </w:rPr>
      </w:pPr>
      <w:r w:rsidRPr="00C15A0E">
        <w:rPr>
          <w:lang w:val="fr-FR"/>
        </w:rPr>
        <w:t>Modification sans objet en français.</w:t>
      </w:r>
    </w:p>
    <w:p w:rsidR="001B2A48" w:rsidRDefault="00C15A0E" w:rsidP="00C15A0E">
      <w:pPr>
        <w:pStyle w:val="SingleTxtG"/>
        <w:keepNext/>
        <w:rPr>
          <w:lang w:val="fr-FR"/>
        </w:rPr>
      </w:pPr>
      <w:r w:rsidRPr="00C15A0E">
        <w:rPr>
          <w:i/>
          <w:iCs/>
          <w:lang w:val="fr-FR"/>
        </w:rPr>
        <w:t>Annexe 8 </w:t>
      </w:r>
      <w:r w:rsidRPr="00C15A0E">
        <w:rPr>
          <w:lang w:val="fr-FR"/>
        </w:rPr>
        <w:t>: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2.1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Modification sans objet en français.</w:t>
      </w:r>
    </w:p>
    <w:p w:rsidR="001B2A48" w:rsidRDefault="00C15A0E" w:rsidP="00C15A0E">
      <w:pPr>
        <w:pStyle w:val="SingleTxtG"/>
        <w:keepNext/>
        <w:rPr>
          <w:lang w:val="fr-FR"/>
        </w:rPr>
      </w:pPr>
      <w:r w:rsidRPr="00C15A0E">
        <w:rPr>
          <w:i/>
          <w:iCs/>
          <w:lang w:val="fr-FR"/>
        </w:rPr>
        <w:t>Annexe 10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lang w:val="fr-FR"/>
        </w:rPr>
        <w:t>Paragraphe 1.3.1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Modification sans objet en français.</w:t>
      </w:r>
    </w:p>
    <w:p w:rsidR="00C15A0E" w:rsidRPr="00C15A0E" w:rsidRDefault="00C15A0E" w:rsidP="00C15A0E">
      <w:pPr>
        <w:pStyle w:val="SingleTxtG"/>
        <w:keepNext/>
      </w:pPr>
      <w:r w:rsidRPr="00C15A0E">
        <w:rPr>
          <w:i/>
          <w:iCs/>
          <w:lang w:val="fr-FR"/>
        </w:rPr>
        <w:t>Paragraphe 1.3.1.1</w:t>
      </w:r>
      <w:r w:rsidRPr="00C15A0E">
        <w:rPr>
          <w:lang w:val="fr-FR"/>
        </w:rPr>
        <w:t> :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Modification sans objet en français.</w:t>
      </w:r>
    </w:p>
    <w:p w:rsidR="00C15A0E" w:rsidRPr="00C15A0E" w:rsidRDefault="00C15A0E" w:rsidP="00C15A0E">
      <w:pPr>
        <w:pStyle w:val="HChG"/>
      </w:pPr>
      <w:r w:rsidRPr="00C15A0E">
        <w:rPr>
          <w:lang w:val="fr-FR"/>
        </w:rPr>
        <w:tab/>
        <w:t>II.</w:t>
      </w:r>
      <w:r w:rsidRPr="00C15A0E">
        <w:rPr>
          <w:lang w:val="fr-FR"/>
        </w:rPr>
        <w:tab/>
        <w:t>Justification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1.</w:t>
      </w:r>
      <w:r w:rsidRPr="00C15A0E">
        <w:rPr>
          <w:lang w:val="fr-FR"/>
        </w:rPr>
        <w:tab/>
      </w:r>
      <w:r w:rsidRPr="00C15A0E">
        <w:rPr>
          <w:i/>
          <w:iCs/>
          <w:lang w:val="fr-FR"/>
        </w:rPr>
        <w:t>Annexe 4, paragraphe 1.4.1.2.2</w:t>
      </w:r>
      <w:r w:rsidRPr="00C15A0E">
        <w:rPr>
          <w:lang w:val="fr-FR"/>
        </w:rPr>
        <w:t> : Une précision est apportée pour lever une ambiguïté. Dans le contexte de ce paragraphe, le terme anglais «</w:t>
      </w:r>
      <w:r>
        <w:rPr>
          <w:lang w:val="fr-FR"/>
        </w:rPr>
        <w:t> </w:t>
      </w:r>
      <w:proofErr w:type="spellStart"/>
      <w:r w:rsidRPr="00C15A0E">
        <w:rPr>
          <w:lang w:val="fr-FR"/>
        </w:rPr>
        <w:t>fifth</w:t>
      </w:r>
      <w:proofErr w:type="spellEnd"/>
      <w:r w:rsidRPr="00C15A0E">
        <w:rPr>
          <w:lang w:val="fr-FR"/>
        </w:rPr>
        <w:t xml:space="preserve"> </w:t>
      </w:r>
      <w:proofErr w:type="spellStart"/>
      <w:r w:rsidRPr="00C15A0E">
        <w:rPr>
          <w:lang w:val="fr-FR"/>
        </w:rPr>
        <w:t>wheel</w:t>
      </w:r>
      <w:proofErr w:type="spellEnd"/>
      <w:r>
        <w:rPr>
          <w:lang w:val="fr-FR"/>
        </w:rPr>
        <w:t> </w:t>
      </w:r>
      <w:r w:rsidRPr="00C15A0E">
        <w:rPr>
          <w:lang w:val="fr-FR"/>
        </w:rPr>
        <w:t>» est une forme abrégée de «</w:t>
      </w:r>
      <w:r>
        <w:rPr>
          <w:lang w:val="fr-FR"/>
        </w:rPr>
        <w:t> </w:t>
      </w:r>
      <w:proofErr w:type="spellStart"/>
      <w:r w:rsidRPr="00C15A0E">
        <w:rPr>
          <w:lang w:val="fr-FR"/>
        </w:rPr>
        <w:t>fifth</w:t>
      </w:r>
      <w:proofErr w:type="spellEnd"/>
      <w:r w:rsidRPr="00C15A0E">
        <w:rPr>
          <w:lang w:val="fr-FR"/>
        </w:rPr>
        <w:t xml:space="preserve"> </w:t>
      </w:r>
      <w:proofErr w:type="spellStart"/>
      <w:r w:rsidRPr="00C15A0E">
        <w:rPr>
          <w:lang w:val="fr-FR"/>
        </w:rPr>
        <w:t>wheel</w:t>
      </w:r>
      <w:proofErr w:type="spellEnd"/>
      <w:r w:rsidRPr="00C15A0E">
        <w:rPr>
          <w:lang w:val="fr-FR"/>
        </w:rPr>
        <w:t xml:space="preserve"> </w:t>
      </w:r>
      <w:proofErr w:type="spellStart"/>
      <w:r w:rsidRPr="00C15A0E">
        <w:rPr>
          <w:lang w:val="fr-FR"/>
        </w:rPr>
        <w:t>coupling</w:t>
      </w:r>
      <w:proofErr w:type="spellEnd"/>
      <w:r w:rsidRPr="00C15A0E">
        <w:rPr>
          <w:lang w:val="fr-FR"/>
        </w:rPr>
        <w:t xml:space="preserve"> </w:t>
      </w:r>
      <w:proofErr w:type="spellStart"/>
      <w:r w:rsidRPr="00C15A0E">
        <w:rPr>
          <w:lang w:val="fr-FR"/>
        </w:rPr>
        <w:t>device</w:t>
      </w:r>
      <w:proofErr w:type="spellEnd"/>
      <w:r>
        <w:rPr>
          <w:lang w:val="fr-FR"/>
        </w:rPr>
        <w:t> </w:t>
      </w:r>
      <w:r w:rsidRPr="00C15A0E">
        <w:rPr>
          <w:lang w:val="fr-FR"/>
        </w:rPr>
        <w:t>» (sellette d’attelage).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2.</w:t>
      </w:r>
      <w:r w:rsidRPr="00C15A0E">
        <w:rPr>
          <w:lang w:val="fr-FR"/>
        </w:rPr>
        <w:tab/>
      </w:r>
      <w:r w:rsidRPr="00C15A0E">
        <w:rPr>
          <w:i/>
          <w:iCs/>
          <w:lang w:val="fr-FR"/>
        </w:rPr>
        <w:t>Annexe 4, paragraphe 3</w:t>
      </w:r>
      <w:r w:rsidRPr="00C15A0E">
        <w:rPr>
          <w:lang w:val="fr-FR"/>
        </w:rPr>
        <w:t> : Le symbole de la catégorie de véhicules était absent.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3.</w:t>
      </w:r>
      <w:r w:rsidRPr="00C15A0E">
        <w:rPr>
          <w:lang w:val="fr-FR"/>
        </w:rPr>
        <w:tab/>
      </w:r>
      <w:r w:rsidRPr="00C15A0E">
        <w:rPr>
          <w:i/>
          <w:iCs/>
          <w:lang w:val="fr-FR"/>
        </w:rPr>
        <w:t>Annexe 7, parties A et B, paragraphe 2 dans chacune des parties</w:t>
      </w:r>
      <w:r w:rsidRPr="00C15A0E">
        <w:rPr>
          <w:lang w:val="fr-FR"/>
        </w:rPr>
        <w:t> : Ce paragraphe contenant des prescriptions relatives aux compresseurs, il convient d’utiliser le terme russe approprié pour désigner la «</w:t>
      </w:r>
      <w:r>
        <w:rPr>
          <w:lang w:val="fr-FR"/>
        </w:rPr>
        <w:t> </w:t>
      </w:r>
      <w:r w:rsidRPr="00C15A0E">
        <w:rPr>
          <w:lang w:val="fr-FR"/>
        </w:rPr>
        <w:t>capacité</w:t>
      </w:r>
      <w:r>
        <w:rPr>
          <w:lang w:val="fr-FR"/>
        </w:rPr>
        <w:t> </w:t>
      </w:r>
      <w:r w:rsidRPr="00C15A0E">
        <w:rPr>
          <w:lang w:val="fr-FR"/>
        </w:rPr>
        <w:t>».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lastRenderedPageBreak/>
        <w:t>4.</w:t>
      </w:r>
      <w:r w:rsidRPr="00C15A0E">
        <w:rPr>
          <w:lang w:val="fr-FR"/>
        </w:rPr>
        <w:tab/>
      </w:r>
      <w:r w:rsidRPr="00C15A0E">
        <w:rPr>
          <w:i/>
          <w:iCs/>
          <w:lang w:val="fr-FR"/>
        </w:rPr>
        <w:t>Annexe 7, partie B, paragraphe 2.2.1</w:t>
      </w:r>
      <w:r w:rsidRPr="00C15A0E">
        <w:rPr>
          <w:lang w:val="fr-FR"/>
        </w:rPr>
        <w:t> : Correction d’une erreur typographique.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5.</w:t>
      </w:r>
      <w:r w:rsidRPr="00C15A0E">
        <w:rPr>
          <w:lang w:val="fr-FR"/>
        </w:rPr>
        <w:tab/>
      </w:r>
      <w:r w:rsidRPr="00C15A0E">
        <w:rPr>
          <w:i/>
          <w:iCs/>
          <w:lang w:val="fr-FR"/>
        </w:rPr>
        <w:t>Annexe 7, partie C, paragraphes 1.1.1 et 1.1.2</w:t>
      </w:r>
      <w:r w:rsidRPr="00C15A0E">
        <w:rPr>
          <w:lang w:val="fr-FR"/>
        </w:rPr>
        <w:t> : Ces paragraphes contenant des prescriptions relatives aux dispositifs de réserve d’énergie (accumulateurs d’énergie), il convient d’utiliser le terme russe approprié pour désigner la «</w:t>
      </w:r>
      <w:r w:rsidR="001B2A48">
        <w:rPr>
          <w:lang w:val="fr-FR"/>
        </w:rPr>
        <w:t> </w:t>
      </w:r>
      <w:r w:rsidRPr="00C15A0E">
        <w:rPr>
          <w:lang w:val="fr-FR"/>
        </w:rPr>
        <w:t>capacité</w:t>
      </w:r>
      <w:r w:rsidR="001B2A48">
        <w:rPr>
          <w:lang w:val="fr-FR"/>
        </w:rPr>
        <w:t> </w:t>
      </w:r>
      <w:r w:rsidRPr="00C15A0E">
        <w:rPr>
          <w:lang w:val="fr-FR"/>
        </w:rPr>
        <w:t>».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6.</w:t>
      </w:r>
      <w:r w:rsidRPr="00C15A0E">
        <w:rPr>
          <w:lang w:val="fr-FR"/>
        </w:rPr>
        <w:tab/>
      </w:r>
      <w:r w:rsidRPr="00C15A0E">
        <w:rPr>
          <w:i/>
          <w:iCs/>
          <w:lang w:val="fr-FR"/>
        </w:rPr>
        <w:t>Annexe 7, partie C, paragraphe 2</w:t>
      </w:r>
      <w:r w:rsidRPr="001B2A48">
        <w:rPr>
          <w:lang w:val="fr-FR"/>
        </w:rPr>
        <w:t> :</w:t>
      </w:r>
      <w:r w:rsidRPr="00C15A0E">
        <w:rPr>
          <w:lang w:val="fr-FR"/>
        </w:rPr>
        <w:t xml:space="preserve"> Ce paragraphe contenant des prescriptions relatives à des pompes, il convient d’utiliser le terme russe approprié pour désigner la «</w:t>
      </w:r>
      <w:r w:rsidR="001B2A48">
        <w:rPr>
          <w:lang w:val="fr-FR"/>
        </w:rPr>
        <w:t> </w:t>
      </w:r>
      <w:r w:rsidRPr="00C15A0E">
        <w:rPr>
          <w:lang w:val="fr-FR"/>
        </w:rPr>
        <w:t>capacité</w:t>
      </w:r>
      <w:r w:rsidR="001B2A48">
        <w:rPr>
          <w:lang w:val="fr-FR"/>
        </w:rPr>
        <w:t> </w:t>
      </w:r>
      <w:r w:rsidRPr="00C15A0E">
        <w:rPr>
          <w:lang w:val="fr-FR"/>
        </w:rPr>
        <w:t>».</w:t>
      </w:r>
    </w:p>
    <w:p w:rsidR="001B2A48" w:rsidRDefault="00C15A0E" w:rsidP="00C15A0E">
      <w:pPr>
        <w:pStyle w:val="SingleTxtG"/>
        <w:rPr>
          <w:lang w:val="fr-FR"/>
        </w:rPr>
      </w:pPr>
      <w:r w:rsidRPr="00C15A0E">
        <w:rPr>
          <w:lang w:val="fr-FR"/>
        </w:rPr>
        <w:t>7.</w:t>
      </w:r>
      <w:r w:rsidRPr="00C15A0E">
        <w:rPr>
          <w:lang w:val="fr-FR"/>
        </w:rPr>
        <w:tab/>
      </w:r>
      <w:r w:rsidRPr="00C15A0E">
        <w:rPr>
          <w:i/>
          <w:iCs/>
          <w:lang w:val="fr-FR"/>
        </w:rPr>
        <w:t>Annexe 7, partie C, paragraphe 2.1.2.1</w:t>
      </w:r>
      <w:r w:rsidRPr="001B2A48">
        <w:rPr>
          <w:lang w:val="fr-FR"/>
        </w:rPr>
        <w:t> :</w:t>
      </w:r>
      <w:r w:rsidRPr="00C15A0E">
        <w:rPr>
          <w:lang w:val="fr-FR"/>
        </w:rPr>
        <w:t xml:space="preserve"> Le terme russe pour «</w:t>
      </w:r>
      <w:r w:rsidR="001B2A48">
        <w:rPr>
          <w:lang w:val="fr-FR"/>
        </w:rPr>
        <w:t> </w:t>
      </w:r>
      <w:r w:rsidRPr="00C15A0E">
        <w:rPr>
          <w:lang w:val="fr-FR"/>
        </w:rPr>
        <w:t>débit</w:t>
      </w:r>
      <w:r w:rsidR="001B2A48">
        <w:rPr>
          <w:lang w:val="fr-FR"/>
        </w:rPr>
        <w:t> </w:t>
      </w:r>
      <w:r w:rsidRPr="00C15A0E">
        <w:rPr>
          <w:lang w:val="fr-FR"/>
        </w:rPr>
        <w:t>» est incorrect.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8.</w:t>
      </w:r>
      <w:r w:rsidRPr="00C15A0E">
        <w:rPr>
          <w:lang w:val="fr-FR"/>
        </w:rPr>
        <w:tab/>
      </w:r>
      <w:r w:rsidRPr="00C15A0E">
        <w:rPr>
          <w:i/>
          <w:iCs/>
          <w:lang w:val="fr-FR"/>
        </w:rPr>
        <w:t>Annexe 8, paragraphe 2.1</w:t>
      </w:r>
      <w:r w:rsidRPr="001B2A48">
        <w:rPr>
          <w:lang w:val="fr-FR"/>
        </w:rPr>
        <w:t> :</w:t>
      </w:r>
      <w:r w:rsidRPr="00C15A0E">
        <w:rPr>
          <w:lang w:val="fr-FR"/>
        </w:rPr>
        <w:t xml:space="preserve"> Conformément aux prescriptions de ce paragraphe, le système de freinage à ressort doit permettre un freinage progressif.</w:t>
      </w:r>
    </w:p>
    <w:p w:rsidR="00C15A0E" w:rsidRPr="00C15A0E" w:rsidRDefault="00C15A0E" w:rsidP="00C15A0E">
      <w:pPr>
        <w:pStyle w:val="SingleTxtG"/>
      </w:pPr>
      <w:r w:rsidRPr="00C15A0E">
        <w:rPr>
          <w:lang w:val="fr-FR"/>
        </w:rPr>
        <w:t>9.</w:t>
      </w:r>
      <w:r w:rsidRPr="00C15A0E">
        <w:rPr>
          <w:lang w:val="fr-FR"/>
        </w:rPr>
        <w:tab/>
      </w:r>
      <w:r w:rsidRPr="00C15A0E">
        <w:rPr>
          <w:i/>
          <w:iCs/>
          <w:lang w:val="fr-FR"/>
        </w:rPr>
        <w:t>Annexe 10, paragraphes 1.3.1 et 1.3.1.1</w:t>
      </w:r>
      <w:r w:rsidRPr="001B2A48">
        <w:rPr>
          <w:lang w:val="fr-FR"/>
        </w:rPr>
        <w:t> :</w:t>
      </w:r>
      <w:r w:rsidRPr="00C15A0E">
        <w:rPr>
          <w:lang w:val="fr-FR"/>
        </w:rPr>
        <w:t xml:space="preserve"> Les références à la </w:t>
      </w:r>
      <w:bookmarkStart w:id="0" w:name="_GoBack"/>
      <w:bookmarkEnd w:id="0"/>
      <w:r w:rsidRPr="00C15A0E">
        <w:rPr>
          <w:lang w:val="fr-FR"/>
        </w:rPr>
        <w:t>«</w:t>
      </w:r>
      <w:r w:rsidR="001B2A48">
        <w:rPr>
          <w:lang w:val="fr-FR"/>
        </w:rPr>
        <w:t> </w:t>
      </w:r>
      <w:r w:rsidRPr="00C15A0E">
        <w:rPr>
          <w:lang w:val="fr-FR"/>
        </w:rPr>
        <w:t>sellette d’attelage</w:t>
      </w:r>
      <w:r w:rsidR="001B2A48">
        <w:rPr>
          <w:lang w:val="fr-FR"/>
        </w:rPr>
        <w:t> </w:t>
      </w:r>
      <w:r w:rsidRPr="00C15A0E">
        <w:rPr>
          <w:lang w:val="fr-FR"/>
        </w:rPr>
        <w:t>» sont supprimées, car il n’y en a pas dans la version originale anglaise.</w:t>
      </w:r>
    </w:p>
    <w:p w:rsidR="00C15A0E" w:rsidRPr="00C15A0E" w:rsidRDefault="00C15A0E" w:rsidP="00C15A0E">
      <w:pPr>
        <w:pStyle w:val="SingleTxtG"/>
        <w:spacing w:before="240" w:after="0"/>
        <w:jc w:val="center"/>
        <w:rPr>
          <w:u w:val="single"/>
        </w:rPr>
      </w:pPr>
      <w:r w:rsidRPr="00C15A0E">
        <w:rPr>
          <w:u w:val="single"/>
        </w:rPr>
        <w:tab/>
      </w:r>
      <w:r w:rsidRPr="00C15A0E">
        <w:rPr>
          <w:u w:val="single"/>
        </w:rPr>
        <w:tab/>
      </w:r>
      <w:r w:rsidRPr="00C15A0E">
        <w:rPr>
          <w:u w:val="single"/>
        </w:rPr>
        <w:tab/>
      </w:r>
    </w:p>
    <w:sectPr w:rsidR="00C15A0E" w:rsidRPr="00C15A0E" w:rsidSect="00E526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A0E" w:rsidRDefault="00C15A0E" w:rsidP="00F95C08">
      <w:pPr>
        <w:spacing w:line="240" w:lineRule="auto"/>
      </w:pPr>
    </w:p>
  </w:endnote>
  <w:endnote w:type="continuationSeparator" w:id="0">
    <w:p w:rsidR="00C15A0E" w:rsidRPr="00AC3823" w:rsidRDefault="00C15A0E" w:rsidP="00AC3823">
      <w:pPr>
        <w:pStyle w:val="Pieddepage"/>
      </w:pPr>
    </w:p>
  </w:endnote>
  <w:endnote w:type="continuationNotice" w:id="1">
    <w:p w:rsidR="00C15A0E" w:rsidRDefault="00C15A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0E" w:rsidRPr="00E526E1" w:rsidRDefault="00C15A0E" w:rsidP="00E526E1">
    <w:pPr>
      <w:pStyle w:val="Pieddepage"/>
      <w:tabs>
        <w:tab w:val="right" w:pos="9638"/>
      </w:tabs>
    </w:pPr>
    <w:r w:rsidRPr="00E526E1">
      <w:rPr>
        <w:b/>
        <w:sz w:val="18"/>
      </w:rPr>
      <w:fldChar w:fldCharType="begin"/>
    </w:r>
    <w:r w:rsidRPr="00E526E1">
      <w:rPr>
        <w:b/>
        <w:sz w:val="18"/>
      </w:rPr>
      <w:instrText xml:space="preserve"> PAGE  \* MERGEFORMAT </w:instrText>
    </w:r>
    <w:r w:rsidRPr="00E526E1">
      <w:rPr>
        <w:b/>
        <w:sz w:val="18"/>
      </w:rPr>
      <w:fldChar w:fldCharType="separate"/>
    </w:r>
    <w:r w:rsidRPr="00E526E1">
      <w:rPr>
        <w:b/>
        <w:noProof/>
        <w:sz w:val="18"/>
      </w:rPr>
      <w:t>2</w:t>
    </w:r>
    <w:r w:rsidRPr="00E526E1">
      <w:rPr>
        <w:b/>
        <w:sz w:val="18"/>
      </w:rPr>
      <w:fldChar w:fldCharType="end"/>
    </w:r>
    <w:r>
      <w:rPr>
        <w:b/>
        <w:sz w:val="18"/>
      </w:rPr>
      <w:tab/>
    </w:r>
    <w:r>
      <w:t>GE.19-20601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0E" w:rsidRPr="00E526E1" w:rsidRDefault="00C15A0E" w:rsidP="00E526E1">
    <w:pPr>
      <w:pStyle w:val="Pieddepage"/>
      <w:tabs>
        <w:tab w:val="right" w:pos="9638"/>
      </w:tabs>
      <w:rPr>
        <w:b/>
        <w:sz w:val="18"/>
      </w:rPr>
    </w:pPr>
    <w:r>
      <w:t>GE.19-20601</w:t>
    </w:r>
    <w:r>
      <w:tab/>
    </w:r>
    <w:r w:rsidRPr="00E526E1">
      <w:rPr>
        <w:b/>
        <w:sz w:val="18"/>
      </w:rPr>
      <w:fldChar w:fldCharType="begin"/>
    </w:r>
    <w:r w:rsidRPr="00E526E1">
      <w:rPr>
        <w:b/>
        <w:sz w:val="18"/>
      </w:rPr>
      <w:instrText xml:space="preserve"> PAGE  \* MERGEFORMAT </w:instrText>
    </w:r>
    <w:r w:rsidRPr="00E526E1">
      <w:rPr>
        <w:b/>
        <w:sz w:val="18"/>
      </w:rPr>
      <w:fldChar w:fldCharType="separate"/>
    </w:r>
    <w:r w:rsidRPr="00E526E1">
      <w:rPr>
        <w:b/>
        <w:noProof/>
        <w:sz w:val="18"/>
      </w:rPr>
      <w:t>3</w:t>
    </w:r>
    <w:r w:rsidRPr="00E526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0E" w:rsidRPr="00E526E1" w:rsidRDefault="00C15A0E" w:rsidP="00E526E1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19-20601  (F)    160120    170120</w:t>
    </w:r>
    <w:r>
      <w:rPr>
        <w:sz w:val="20"/>
      </w:rPr>
      <w:br/>
    </w:r>
    <w:r w:rsidRPr="00E526E1">
      <w:rPr>
        <w:rFonts w:ascii="C39T30Lfz" w:hAnsi="C39T30Lfz"/>
        <w:sz w:val="56"/>
      </w:rPr>
      <w:t></w:t>
    </w:r>
    <w:r w:rsidRPr="00E526E1">
      <w:rPr>
        <w:rFonts w:ascii="C39T30Lfz" w:hAnsi="C39T30Lfz"/>
        <w:sz w:val="56"/>
      </w:rPr>
      <w:t></w:t>
    </w:r>
    <w:r w:rsidRPr="00E526E1">
      <w:rPr>
        <w:rFonts w:ascii="C39T30Lfz" w:hAnsi="C39T30Lfz"/>
        <w:sz w:val="56"/>
      </w:rPr>
      <w:t></w:t>
    </w:r>
    <w:r w:rsidRPr="00E526E1">
      <w:rPr>
        <w:rFonts w:ascii="C39T30Lfz" w:hAnsi="C39T30Lfz"/>
        <w:sz w:val="56"/>
      </w:rPr>
      <w:t></w:t>
    </w:r>
    <w:r w:rsidRPr="00E526E1">
      <w:rPr>
        <w:rFonts w:ascii="C39T30Lfz" w:hAnsi="C39T30Lfz"/>
        <w:sz w:val="56"/>
      </w:rPr>
      <w:t></w:t>
    </w:r>
    <w:r w:rsidRPr="00E526E1">
      <w:rPr>
        <w:rFonts w:ascii="C39T30Lfz" w:hAnsi="C39T30Lfz"/>
        <w:sz w:val="56"/>
      </w:rPr>
      <w:t></w:t>
    </w:r>
    <w:r w:rsidRPr="00E526E1">
      <w:rPr>
        <w:rFonts w:ascii="C39T30Lfz" w:hAnsi="C39T30Lfz"/>
        <w:sz w:val="56"/>
      </w:rPr>
      <w:t></w:t>
    </w:r>
    <w:r w:rsidRPr="00E526E1">
      <w:rPr>
        <w:rFonts w:ascii="C39T30Lfz" w:hAnsi="C39T30Lfz"/>
        <w:sz w:val="56"/>
      </w:rPr>
      <w:t></w:t>
    </w:r>
    <w:r w:rsidRPr="00E526E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20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A0E" w:rsidRPr="00AC3823" w:rsidRDefault="00C15A0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5A0E" w:rsidRPr="00AC3823" w:rsidRDefault="00C15A0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15A0E" w:rsidRPr="00AC3823" w:rsidRDefault="00C15A0E">
      <w:pPr>
        <w:spacing w:line="240" w:lineRule="auto"/>
        <w:rPr>
          <w:sz w:val="2"/>
          <w:szCs w:val="2"/>
        </w:rPr>
      </w:pPr>
    </w:p>
  </w:footnote>
  <w:footnote w:id="2">
    <w:p w:rsidR="00C15A0E" w:rsidRPr="008D05EB" w:rsidRDefault="00C15A0E" w:rsidP="00C15A0E">
      <w:pPr>
        <w:pStyle w:val="Notedebasdepage"/>
      </w:pPr>
      <w:r w:rsidRPr="00C15A0E">
        <w:rPr>
          <w:sz w:val="20"/>
          <w:lang w:val="fr-FR"/>
        </w:rPr>
        <w:tab/>
        <w:t>*</w:t>
      </w:r>
      <w:r w:rsidRPr="00C15A0E">
        <w:rPr>
          <w:sz w:val="20"/>
          <w:lang w:val="fr-FR"/>
        </w:rPr>
        <w:tab/>
      </w:r>
      <w:r>
        <w:rPr>
          <w:lang w:val="fr-FR"/>
        </w:rPr>
        <w:t xml:space="preserve">Ancien </w:t>
      </w:r>
      <w:r w:rsidRPr="00C15A0E">
        <w:rPr>
          <w:b/>
          <w:bCs/>
          <w:lang w:val="fr-FR"/>
        </w:rPr>
        <w:t>Groupe de travail en matière de roulement et de freinage (GRRF)</w:t>
      </w:r>
      <w:r>
        <w:rPr>
          <w:lang w:val="fr-FR"/>
        </w:rPr>
        <w:t>.</w:t>
      </w:r>
    </w:p>
  </w:footnote>
  <w:footnote w:id="3">
    <w:p w:rsidR="00C15A0E" w:rsidRPr="008D05EB" w:rsidRDefault="00C15A0E" w:rsidP="00C15A0E">
      <w:pPr>
        <w:pStyle w:val="Notedebasdepage"/>
      </w:pPr>
      <w:r w:rsidRPr="00C15A0E">
        <w:rPr>
          <w:sz w:val="20"/>
          <w:lang w:val="fr-FR"/>
        </w:rPr>
        <w:tab/>
        <w:t>**</w:t>
      </w:r>
      <w:r w:rsidRPr="00C15A0E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 V, chap. 20), par. 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0E" w:rsidRPr="00E526E1" w:rsidRDefault="00C15A0E">
    <w:pPr>
      <w:pStyle w:val="En-tte"/>
    </w:pPr>
    <w:fldSimple w:instr=" TITLE  \* MERGEFORMAT ">
      <w:r>
        <w:t>ECE/TRANS/WP.29/GRVA/2020/14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0E" w:rsidRPr="00E526E1" w:rsidRDefault="00C15A0E" w:rsidP="00E526E1">
    <w:pPr>
      <w:pStyle w:val="En-tte"/>
      <w:jc w:val="right"/>
    </w:pPr>
    <w:fldSimple w:instr=" TITLE  \* MERGEFORMAT ">
      <w:r>
        <w:t>ECE/TRANS/WP.29/GRVA/2020/14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267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2A48"/>
    <w:rsid w:val="001F525A"/>
    <w:rsid w:val="00223272"/>
    <w:rsid w:val="0024779E"/>
    <w:rsid w:val="00257168"/>
    <w:rsid w:val="002744B8"/>
    <w:rsid w:val="002832AC"/>
    <w:rsid w:val="002D7C93"/>
    <w:rsid w:val="002E267E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05C2E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15A0E"/>
    <w:rsid w:val="00C97039"/>
    <w:rsid w:val="00D3439C"/>
    <w:rsid w:val="00DB1831"/>
    <w:rsid w:val="00DD3BFD"/>
    <w:rsid w:val="00DF6678"/>
    <w:rsid w:val="00E0299A"/>
    <w:rsid w:val="00E526E1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E09D50"/>
  <w15:docId w15:val="{14448C4F-6C7C-4205-B428-63879B9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C15A0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407</Words>
  <Characters>2855</Characters>
  <Application>Microsoft Office Word</Application>
  <DocSecurity>0</DocSecurity>
  <Lines>237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ECE/TRANS/WP.29/GRVA/2020/14</vt:lpstr>
    </vt:vector>
  </TitlesOfParts>
  <Company>DCM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ECE/TRANS/WP.29/GRVA/2020/14</dc:title>
  <dc:subject/>
  <dc:creator>Nicolas MORIN</dc:creator>
  <cp:keywords/>
  <cp:lastModifiedBy>Nicolas Morin</cp:lastModifiedBy>
  <cp:revision>2</cp:revision>
  <cp:lastPrinted>2014-05-14T10:59:00Z</cp:lastPrinted>
  <dcterms:created xsi:type="dcterms:W3CDTF">2020-01-17T06:58:00Z</dcterms:created>
  <dcterms:modified xsi:type="dcterms:W3CDTF">2020-01-17T06:58:00Z</dcterms:modified>
</cp:coreProperties>
</file>