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6181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61815" w:rsidP="00461815">
            <w:pPr>
              <w:jc w:val="right"/>
            </w:pPr>
            <w:r w:rsidRPr="00461815">
              <w:rPr>
                <w:sz w:val="40"/>
              </w:rPr>
              <w:t>ECE</w:t>
            </w:r>
            <w:r>
              <w:t>/TRANS/WP.29/GRVA/2020/19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61815" w:rsidP="00C97039">
            <w:pPr>
              <w:spacing w:before="240"/>
            </w:pPr>
            <w:proofErr w:type="spellStart"/>
            <w:r>
              <w:t>Distr</w:t>
            </w:r>
            <w:proofErr w:type="spellEnd"/>
            <w:r>
              <w:t>. générale</w:t>
            </w:r>
          </w:p>
          <w:p w:rsidR="00461815" w:rsidRDefault="00461815" w:rsidP="00461815">
            <w:pPr>
              <w:spacing w:line="240" w:lineRule="exact"/>
            </w:pPr>
            <w:r>
              <w:t>7 juillet 2020</w:t>
            </w:r>
          </w:p>
          <w:p w:rsidR="00461815" w:rsidRDefault="00461815" w:rsidP="00461815">
            <w:pPr>
              <w:spacing w:line="240" w:lineRule="exact"/>
            </w:pPr>
            <w:r>
              <w:t>Français</w:t>
            </w:r>
          </w:p>
          <w:p w:rsidR="00461815" w:rsidRPr="00DB58B5" w:rsidRDefault="00461815" w:rsidP="0046181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91F4D" w:rsidRPr="00F91F4D" w:rsidRDefault="00F91F4D" w:rsidP="00F91F4D">
      <w:pPr>
        <w:spacing w:before="120"/>
        <w:rPr>
          <w:b/>
          <w:sz w:val="24"/>
          <w:szCs w:val="24"/>
          <w:lang w:val="fr-FR"/>
        </w:rPr>
      </w:pPr>
      <w:r w:rsidRPr="00F91F4D">
        <w:rPr>
          <w:b/>
          <w:bCs/>
          <w:sz w:val="24"/>
          <w:szCs w:val="24"/>
          <w:lang w:val="fr-FR"/>
        </w:rPr>
        <w:t xml:space="preserve">Forum mondial de l’harmonisation des Règlements </w:t>
      </w:r>
      <w:r>
        <w:rPr>
          <w:b/>
          <w:bCs/>
          <w:sz w:val="24"/>
          <w:szCs w:val="24"/>
          <w:lang w:val="fr-FR"/>
        </w:rPr>
        <w:br/>
      </w:r>
      <w:r w:rsidRPr="00F91F4D">
        <w:rPr>
          <w:b/>
          <w:bCs/>
          <w:sz w:val="24"/>
          <w:szCs w:val="24"/>
          <w:lang w:val="fr-FR"/>
        </w:rPr>
        <w:t>concernant les véhicules</w:t>
      </w:r>
    </w:p>
    <w:p w:rsidR="00F91F4D" w:rsidRPr="003B4C9C" w:rsidRDefault="00F91F4D" w:rsidP="00F91F4D">
      <w:pPr>
        <w:spacing w:before="120"/>
        <w:rPr>
          <w:b/>
          <w:bCs/>
          <w:lang w:val="fr-FR"/>
        </w:rPr>
      </w:pPr>
      <w:bookmarkStart w:id="0" w:name="_Hlk518466992"/>
      <w:r>
        <w:rPr>
          <w:b/>
          <w:bCs/>
          <w:lang w:val="fr-FR"/>
        </w:rPr>
        <w:t xml:space="preserve">Groupe de travail des véhicules automatisés/autonomes </w:t>
      </w:r>
      <w:r>
        <w:rPr>
          <w:b/>
          <w:bCs/>
          <w:lang w:val="fr-FR"/>
        </w:rPr>
        <w:br/>
        <w:t>et connectés</w:t>
      </w:r>
      <w:bookmarkEnd w:id="0"/>
    </w:p>
    <w:p w:rsidR="00F91F4D" w:rsidRPr="003B4C9C" w:rsidRDefault="00F91F4D" w:rsidP="00F91F4D">
      <w:pPr>
        <w:spacing w:before="120"/>
        <w:rPr>
          <w:b/>
          <w:lang w:val="fr-FR"/>
        </w:rPr>
      </w:pPr>
      <w:r>
        <w:rPr>
          <w:b/>
          <w:bCs/>
          <w:lang w:val="fr-FR"/>
        </w:rPr>
        <w:t>Septième session</w:t>
      </w:r>
    </w:p>
    <w:p w:rsidR="00F91F4D" w:rsidRPr="003B4C9C" w:rsidRDefault="00F91F4D" w:rsidP="00F91F4D">
      <w:pPr>
        <w:rPr>
          <w:lang w:val="fr-FR"/>
        </w:rPr>
      </w:pPr>
      <w:r>
        <w:rPr>
          <w:lang w:val="fr-FR"/>
        </w:rPr>
        <w:t>Genève, 21-25 septembre 2020</w:t>
      </w:r>
    </w:p>
    <w:p w:rsidR="00F91F4D" w:rsidRPr="003B4C9C" w:rsidRDefault="00F91F4D" w:rsidP="00F91F4D">
      <w:pPr>
        <w:rPr>
          <w:lang w:val="fr-FR"/>
        </w:rPr>
      </w:pPr>
      <w:r>
        <w:rPr>
          <w:lang w:val="fr-FR"/>
        </w:rPr>
        <w:t>Point 1 de l’ordre du jour provisoire</w:t>
      </w:r>
    </w:p>
    <w:p w:rsidR="00F91F4D" w:rsidRPr="003B4C9C" w:rsidRDefault="00F91F4D" w:rsidP="00F91F4D">
      <w:pPr>
        <w:rPr>
          <w:b/>
          <w:lang w:val="fr-FR"/>
        </w:rPr>
      </w:pPr>
      <w:r>
        <w:rPr>
          <w:b/>
          <w:bCs/>
          <w:lang w:val="fr-FR"/>
        </w:rPr>
        <w:t>Adoption de l’ordre du jour</w:t>
      </w:r>
    </w:p>
    <w:p w:rsidR="00F91F4D" w:rsidRPr="003B4C9C" w:rsidRDefault="00F91F4D" w:rsidP="00F91F4D">
      <w:pPr>
        <w:pStyle w:val="HChG"/>
        <w:rPr>
          <w:lang w:val="fr-FR"/>
        </w:rPr>
      </w:pPr>
      <w:r>
        <w:rPr>
          <w:lang w:val="fr-FR"/>
        </w:rPr>
        <w:tab/>
      </w:r>
      <w:r>
        <w:rPr>
          <w:lang w:val="fr-FR"/>
        </w:rPr>
        <w:tab/>
        <w:t>Ordre du jour provisoire de la septième session</w:t>
      </w:r>
      <w:r w:rsidRPr="00F91F4D">
        <w:rPr>
          <w:rStyle w:val="Appelnotedebasdep"/>
          <w:b w:val="0"/>
          <w:sz w:val="20"/>
          <w:vertAlign w:val="baseline"/>
          <w:lang w:val="fr-FR"/>
        </w:rPr>
        <w:footnoteReference w:customMarkFollows="1" w:id="2"/>
        <w:t>*</w:t>
      </w:r>
      <w:r>
        <w:rPr>
          <w:vertAlign w:val="superscript"/>
          <w:lang w:val="fr-FR"/>
        </w:rPr>
        <w:t xml:space="preserve">, </w:t>
      </w:r>
      <w:r w:rsidRPr="00F91F4D">
        <w:rPr>
          <w:rStyle w:val="Appelnotedebasdep"/>
          <w:b w:val="0"/>
          <w:sz w:val="20"/>
          <w:vertAlign w:val="baseline"/>
          <w:lang w:val="fr-FR"/>
        </w:rPr>
        <w:footnoteReference w:customMarkFollows="1" w:id="3"/>
        <w:t>**</w:t>
      </w:r>
      <w:r>
        <w:rPr>
          <w:lang w:val="fr-FR"/>
        </w:rPr>
        <w:t xml:space="preserve"> </w:t>
      </w:r>
    </w:p>
    <w:p w:rsidR="00F91F4D" w:rsidRPr="003B4C9C" w:rsidRDefault="00F91F4D" w:rsidP="00F91F4D">
      <w:pPr>
        <w:pStyle w:val="SingleTxtG"/>
        <w:jc w:val="left"/>
        <w:rPr>
          <w:lang w:val="fr-FR"/>
        </w:rPr>
      </w:pPr>
      <w:r>
        <w:rPr>
          <w:lang w:val="fr-FR"/>
        </w:rPr>
        <w:t xml:space="preserve">qui s’ouvrira au Palais des Nations, à Genève, le 21 septembre 2020 à 10 heures, </w:t>
      </w:r>
      <w:r>
        <w:rPr>
          <w:lang w:val="fr-FR"/>
        </w:rPr>
        <w:br/>
        <w:t>et s’achèvera le 25 septembre 2020 à 12 h 30</w:t>
      </w:r>
    </w:p>
    <w:p w:rsidR="00F91F4D" w:rsidRPr="003B4C9C" w:rsidRDefault="00F91F4D" w:rsidP="00F91F4D">
      <w:pPr>
        <w:pStyle w:val="HChG"/>
        <w:rPr>
          <w:lang w:val="fr-FR"/>
        </w:rPr>
      </w:pPr>
      <w:r>
        <w:rPr>
          <w:lang w:val="fr-FR"/>
        </w:rPr>
        <w:tab/>
        <w:t>I.</w:t>
      </w:r>
      <w:r>
        <w:rPr>
          <w:lang w:val="fr-FR"/>
        </w:rPr>
        <w:tab/>
        <w:t>Ordre du jour provisoire</w:t>
      </w:r>
    </w:p>
    <w:p w:rsidR="00F91F4D" w:rsidRPr="003B4C9C" w:rsidRDefault="00F91F4D" w:rsidP="00F91F4D">
      <w:pPr>
        <w:pStyle w:val="SingleTxtG"/>
        <w:ind w:left="1701" w:hanging="567"/>
        <w:jc w:val="left"/>
        <w:rPr>
          <w:lang w:val="fr-FR"/>
        </w:rPr>
      </w:pPr>
      <w:r>
        <w:rPr>
          <w:lang w:val="fr-FR"/>
        </w:rPr>
        <w:t>1.</w:t>
      </w:r>
      <w:r>
        <w:rPr>
          <w:lang w:val="fr-FR"/>
        </w:rPr>
        <w:tab/>
        <w:t>Adoption de l’ordre du jour.</w:t>
      </w:r>
    </w:p>
    <w:p w:rsidR="00F91F4D" w:rsidRPr="003B4C9C" w:rsidRDefault="00F91F4D" w:rsidP="00F91F4D">
      <w:pPr>
        <w:pStyle w:val="SingleTxtG"/>
        <w:ind w:left="1701" w:hanging="567"/>
        <w:jc w:val="left"/>
        <w:rPr>
          <w:lang w:val="fr-FR"/>
        </w:rPr>
      </w:pPr>
      <w:r>
        <w:rPr>
          <w:lang w:val="fr-FR"/>
        </w:rPr>
        <w:t>2.</w:t>
      </w:r>
      <w:r>
        <w:rPr>
          <w:lang w:val="fr-FR"/>
        </w:rPr>
        <w:tab/>
        <w:t>Points à retenir des sessions de mars et de juin 2020 du WP.29.</w:t>
      </w:r>
    </w:p>
    <w:p w:rsidR="00F91F4D" w:rsidRPr="003B4C9C" w:rsidRDefault="00F91F4D" w:rsidP="00F91F4D">
      <w:pPr>
        <w:pStyle w:val="SingleTxtG"/>
        <w:ind w:left="1701" w:hanging="567"/>
        <w:jc w:val="left"/>
        <w:rPr>
          <w:lang w:val="fr-FR"/>
        </w:rPr>
      </w:pPr>
      <w:r>
        <w:rPr>
          <w:lang w:val="fr-FR"/>
        </w:rPr>
        <w:t>3.</w:t>
      </w:r>
      <w:r>
        <w:rPr>
          <w:lang w:val="fr-FR"/>
        </w:rPr>
        <w:tab/>
        <w:t>Échange de vues sur les orientations et les activités nationales pertinentes.</w:t>
      </w:r>
    </w:p>
    <w:p w:rsidR="00F91F4D" w:rsidRPr="003B4C9C" w:rsidRDefault="00F91F4D" w:rsidP="00F91F4D">
      <w:pPr>
        <w:pStyle w:val="SingleTxtG"/>
        <w:keepNext/>
        <w:ind w:left="1701" w:hanging="567"/>
        <w:jc w:val="left"/>
        <w:rPr>
          <w:lang w:val="fr-FR"/>
        </w:rPr>
      </w:pPr>
      <w:r>
        <w:rPr>
          <w:lang w:val="fr-FR"/>
        </w:rPr>
        <w:t>4.</w:t>
      </w:r>
      <w:r>
        <w:rPr>
          <w:lang w:val="fr-FR"/>
        </w:rPr>
        <w:tab/>
        <w:t>Véhicules automatisés/autonomes et connectés :</w:t>
      </w:r>
    </w:p>
    <w:p w:rsidR="00F91F4D" w:rsidRPr="003B4C9C" w:rsidRDefault="00F91F4D" w:rsidP="00F91F4D">
      <w:pPr>
        <w:pStyle w:val="SingleTxtG"/>
        <w:ind w:left="2268" w:hanging="567"/>
        <w:jc w:val="left"/>
        <w:rPr>
          <w:lang w:val="fr-FR"/>
        </w:rPr>
      </w:pPr>
      <w:r>
        <w:rPr>
          <w:lang w:val="fr-FR"/>
        </w:rPr>
        <w:t>a)</w:t>
      </w:r>
      <w:r>
        <w:rPr>
          <w:lang w:val="fr-FR"/>
        </w:rPr>
        <w:tab/>
        <w:t xml:space="preserve">Résultats attendus du groupe de travail informel des prescriptions fonctionnelles applicables aux véhicules automatisés et autonomes ; </w:t>
      </w:r>
    </w:p>
    <w:p w:rsidR="00F91F4D" w:rsidRPr="003B4C9C" w:rsidRDefault="00F91F4D" w:rsidP="00F91F4D">
      <w:pPr>
        <w:pStyle w:val="SingleTxtG"/>
        <w:ind w:left="2268" w:hanging="567"/>
        <w:jc w:val="left"/>
        <w:rPr>
          <w:lang w:val="fr-FR"/>
        </w:rPr>
      </w:pPr>
      <w:r>
        <w:rPr>
          <w:lang w:val="fr-FR"/>
        </w:rPr>
        <w:t>b)</w:t>
      </w:r>
      <w:r>
        <w:rPr>
          <w:lang w:val="fr-FR"/>
        </w:rPr>
        <w:tab/>
        <w:t>Résultats attendus du groupe de travail informel des méthodes de validation pour la conduite automatisée ;</w:t>
      </w:r>
    </w:p>
    <w:p w:rsidR="00F91F4D" w:rsidRPr="003B4C9C" w:rsidRDefault="00F91F4D" w:rsidP="00AF5A8D">
      <w:pPr>
        <w:pStyle w:val="SingleTxtG"/>
        <w:ind w:left="2268" w:hanging="567"/>
        <w:jc w:val="left"/>
        <w:rPr>
          <w:lang w:val="fr-FR"/>
        </w:rPr>
      </w:pPr>
      <w:r>
        <w:rPr>
          <w:lang w:val="fr-FR"/>
        </w:rPr>
        <w:lastRenderedPageBreak/>
        <w:t>c)</w:t>
      </w:r>
      <w:r>
        <w:rPr>
          <w:lang w:val="fr-FR"/>
        </w:rPr>
        <w:tab/>
        <w:t>Résultats attendus du groupe de travail informel des enregistreurs de données de route et des systèmes de stockage des données pour la conduite automatisée</w:t>
      </w:r>
      <w:r w:rsidR="00AF5A8D">
        <w:rPr>
          <w:lang w:val="fr-FR"/>
        </w:rPr>
        <w:t> </w:t>
      </w:r>
      <w:r>
        <w:rPr>
          <w:lang w:val="fr-FR"/>
        </w:rPr>
        <w:t>;</w:t>
      </w:r>
    </w:p>
    <w:p w:rsidR="00F91F4D" w:rsidRPr="003B4C9C" w:rsidRDefault="00F91F4D" w:rsidP="00AF5A8D">
      <w:pPr>
        <w:pStyle w:val="SingleTxtG"/>
        <w:ind w:left="2268" w:hanging="567"/>
        <w:jc w:val="left"/>
        <w:rPr>
          <w:lang w:val="fr-FR"/>
        </w:rPr>
      </w:pPr>
      <w:r>
        <w:rPr>
          <w:lang w:val="fr-FR"/>
        </w:rPr>
        <w:t>d)</w:t>
      </w:r>
      <w:r>
        <w:rPr>
          <w:lang w:val="fr-FR"/>
        </w:rPr>
        <w:tab/>
        <w:t>Règlement ONU sur les systèmes automatisés de maintien dans la voie</w:t>
      </w:r>
      <w:r w:rsidR="00AF5A8D">
        <w:rPr>
          <w:lang w:val="fr-FR"/>
        </w:rPr>
        <w:t>.</w:t>
      </w:r>
    </w:p>
    <w:p w:rsidR="00F91F4D" w:rsidRPr="003B4C9C" w:rsidRDefault="00F91F4D" w:rsidP="00AF5A8D">
      <w:pPr>
        <w:pStyle w:val="SingleTxtG"/>
        <w:keepNext/>
        <w:ind w:left="1701" w:hanging="567"/>
        <w:jc w:val="left"/>
        <w:rPr>
          <w:lang w:val="fr-FR"/>
        </w:rPr>
      </w:pPr>
      <w:r>
        <w:rPr>
          <w:lang w:val="fr-FR"/>
        </w:rPr>
        <w:t>5.</w:t>
      </w:r>
      <w:r>
        <w:rPr>
          <w:lang w:val="fr-FR"/>
        </w:rPr>
        <w:tab/>
        <w:t>Véhicules connectés</w:t>
      </w:r>
      <w:r w:rsidR="00AF5A8D">
        <w:rPr>
          <w:lang w:val="fr-FR"/>
        </w:rPr>
        <w:t> :</w:t>
      </w:r>
    </w:p>
    <w:p w:rsidR="00F91F4D" w:rsidRPr="003B4C9C" w:rsidRDefault="00F91F4D" w:rsidP="00AF5A8D">
      <w:pPr>
        <w:pStyle w:val="SingleTxtG"/>
        <w:ind w:left="2268" w:hanging="567"/>
        <w:jc w:val="left"/>
        <w:rPr>
          <w:lang w:val="fr-FR"/>
        </w:rPr>
      </w:pPr>
      <w:r>
        <w:rPr>
          <w:lang w:val="fr-FR"/>
        </w:rPr>
        <w:t>a)</w:t>
      </w:r>
      <w:r>
        <w:rPr>
          <w:lang w:val="fr-FR"/>
        </w:rPr>
        <w:tab/>
        <w:t>Cybersécurité et protection des données</w:t>
      </w:r>
      <w:r w:rsidR="0021549B">
        <w:rPr>
          <w:lang w:val="fr-FR"/>
        </w:rPr>
        <w:t> </w:t>
      </w:r>
      <w:r>
        <w:rPr>
          <w:lang w:val="fr-FR"/>
        </w:rPr>
        <w:t>;</w:t>
      </w:r>
    </w:p>
    <w:p w:rsidR="00F91F4D" w:rsidRPr="003B4C9C" w:rsidRDefault="00F91F4D" w:rsidP="00AF5A8D">
      <w:pPr>
        <w:pStyle w:val="SingleTxtG"/>
        <w:ind w:left="2268" w:hanging="567"/>
        <w:jc w:val="left"/>
        <w:rPr>
          <w:lang w:val="fr-FR"/>
        </w:rPr>
      </w:pPr>
      <w:r>
        <w:rPr>
          <w:lang w:val="fr-FR"/>
        </w:rPr>
        <w:t>b)</w:t>
      </w:r>
      <w:r>
        <w:rPr>
          <w:lang w:val="fr-FR"/>
        </w:rPr>
        <w:tab/>
        <w:t>Mises à jour des logiciels et questions relatives aux mises à jour à distance</w:t>
      </w:r>
      <w:r w:rsidR="0021549B">
        <w:rPr>
          <w:lang w:val="fr-FR"/>
        </w:rPr>
        <w:t> ;</w:t>
      </w:r>
    </w:p>
    <w:p w:rsidR="00F91F4D" w:rsidRPr="003B4C9C" w:rsidRDefault="00F91F4D" w:rsidP="0021549B">
      <w:pPr>
        <w:pStyle w:val="SingleTxtG"/>
        <w:ind w:left="2268" w:hanging="567"/>
        <w:jc w:val="left"/>
        <w:rPr>
          <w:lang w:val="fr-FR"/>
        </w:rPr>
      </w:pPr>
      <w:r>
        <w:rPr>
          <w:lang w:val="fr-FR"/>
        </w:rPr>
        <w:t>c)</w:t>
      </w:r>
      <w:r>
        <w:rPr>
          <w:lang w:val="fr-FR"/>
        </w:rPr>
        <w:tab/>
        <w:t>Considérations juridiques relatives aux dispositions techniques applicables pendant la durée de vie du véhicule</w:t>
      </w:r>
      <w:r w:rsidR="0021549B">
        <w:rPr>
          <w:lang w:val="fr-FR"/>
        </w:rPr>
        <w:t> ;</w:t>
      </w:r>
    </w:p>
    <w:p w:rsidR="00F91F4D" w:rsidRPr="003B4C9C" w:rsidRDefault="00F91F4D" w:rsidP="00AF5A8D">
      <w:pPr>
        <w:pStyle w:val="SingleTxtG"/>
        <w:ind w:left="2268" w:hanging="567"/>
        <w:jc w:val="left"/>
        <w:rPr>
          <w:lang w:val="fr-FR"/>
        </w:rPr>
      </w:pPr>
      <w:r>
        <w:rPr>
          <w:lang w:val="fr-FR"/>
        </w:rPr>
        <w:t>d)</w:t>
      </w:r>
      <w:r>
        <w:rPr>
          <w:lang w:val="fr-FR"/>
        </w:rPr>
        <w:tab/>
        <w:t>Questions diverses.</w:t>
      </w:r>
    </w:p>
    <w:p w:rsidR="00F91F4D" w:rsidRPr="003B4C9C" w:rsidRDefault="00F91F4D" w:rsidP="0021549B">
      <w:pPr>
        <w:pStyle w:val="SingleTxtG"/>
        <w:keepNext/>
        <w:ind w:left="1701" w:hanging="567"/>
        <w:jc w:val="left"/>
        <w:rPr>
          <w:lang w:val="fr-FR"/>
        </w:rPr>
      </w:pPr>
      <w:r>
        <w:rPr>
          <w:lang w:val="fr-FR"/>
        </w:rPr>
        <w:t>6.</w:t>
      </w:r>
      <w:r>
        <w:rPr>
          <w:lang w:val="fr-FR"/>
        </w:rPr>
        <w:tab/>
        <w:t xml:space="preserve">Règlement ONU </w:t>
      </w:r>
      <w:r w:rsidR="0021549B" w:rsidRPr="0021549B">
        <w:rPr>
          <w:rFonts w:eastAsia="MS Mincho"/>
          <w:lang w:val="fr-FR"/>
        </w:rPr>
        <w:t>n</w:t>
      </w:r>
      <w:r w:rsidR="0021549B" w:rsidRPr="0021549B">
        <w:rPr>
          <w:rFonts w:eastAsia="MS Mincho"/>
          <w:vertAlign w:val="superscript"/>
          <w:lang w:val="fr-FR"/>
        </w:rPr>
        <w:t>o</w:t>
      </w:r>
      <w:r w:rsidR="0021549B">
        <w:rPr>
          <w:rFonts w:eastAsia="MS Mincho"/>
          <w:vertAlign w:val="superscript"/>
          <w:lang w:val="fr-FR"/>
        </w:rPr>
        <w:t> </w:t>
      </w:r>
      <w:r>
        <w:rPr>
          <w:lang w:val="fr-FR"/>
        </w:rPr>
        <w:t>79 (Équipement de direction)</w:t>
      </w:r>
      <w:r w:rsidR="0021549B">
        <w:rPr>
          <w:lang w:val="fr-FR"/>
        </w:rPr>
        <w:t> :</w:t>
      </w:r>
    </w:p>
    <w:p w:rsidR="00F91F4D" w:rsidRPr="003B4C9C" w:rsidRDefault="00F91F4D" w:rsidP="0021549B">
      <w:pPr>
        <w:pStyle w:val="SingleTxtG"/>
        <w:ind w:left="2268" w:hanging="567"/>
        <w:jc w:val="left"/>
        <w:rPr>
          <w:lang w:val="fr-FR"/>
        </w:rPr>
      </w:pPr>
      <w:r>
        <w:rPr>
          <w:lang w:val="fr-FR"/>
        </w:rPr>
        <w:t>a)</w:t>
      </w:r>
      <w:r>
        <w:rPr>
          <w:lang w:val="fr-FR"/>
        </w:rPr>
        <w:tab/>
        <w:t>Fonction de direction à commande automatique</w:t>
      </w:r>
      <w:r w:rsidR="0021549B">
        <w:rPr>
          <w:lang w:val="fr-FR"/>
        </w:rPr>
        <w:t> ;</w:t>
      </w:r>
    </w:p>
    <w:p w:rsidR="00F91F4D" w:rsidRPr="003B4C9C" w:rsidRDefault="00F91F4D" w:rsidP="0021549B">
      <w:pPr>
        <w:pStyle w:val="SingleTxtG"/>
        <w:ind w:left="2268" w:hanging="567"/>
        <w:jc w:val="left"/>
        <w:rPr>
          <w:lang w:val="fr-FR"/>
        </w:rPr>
      </w:pPr>
      <w:r>
        <w:rPr>
          <w:lang w:val="fr-FR"/>
        </w:rPr>
        <w:t>b)</w:t>
      </w:r>
      <w:r>
        <w:rPr>
          <w:lang w:val="fr-FR"/>
        </w:rPr>
        <w:tab/>
        <w:t>Équipement de direction</w:t>
      </w:r>
      <w:r w:rsidR="0021549B">
        <w:rPr>
          <w:lang w:val="fr-FR"/>
        </w:rPr>
        <w:t> ;</w:t>
      </w:r>
    </w:p>
    <w:p w:rsidR="00F91F4D" w:rsidRPr="003B4C9C" w:rsidRDefault="00F91F4D" w:rsidP="0021549B">
      <w:pPr>
        <w:pStyle w:val="SingleTxtG"/>
        <w:ind w:left="2268" w:hanging="567"/>
        <w:jc w:val="left"/>
        <w:rPr>
          <w:lang w:val="fr-FR"/>
        </w:rPr>
      </w:pPr>
      <w:r>
        <w:rPr>
          <w:lang w:val="fr-FR"/>
        </w:rPr>
        <w:t>c)</w:t>
      </w:r>
      <w:r>
        <w:rPr>
          <w:lang w:val="fr-FR"/>
        </w:rPr>
        <w:tab/>
        <w:t>Manœuvre télécommandée</w:t>
      </w:r>
      <w:r w:rsidR="0021549B">
        <w:rPr>
          <w:lang w:val="fr-FR"/>
        </w:rPr>
        <w:t> ;</w:t>
      </w:r>
    </w:p>
    <w:p w:rsidR="00F91F4D" w:rsidRPr="003B4C9C" w:rsidRDefault="00F91F4D" w:rsidP="00AF5A8D">
      <w:pPr>
        <w:pStyle w:val="SingleTxtG"/>
        <w:ind w:left="2268" w:hanging="567"/>
        <w:jc w:val="left"/>
        <w:rPr>
          <w:lang w:val="fr-FR"/>
        </w:rPr>
      </w:pPr>
      <w:r>
        <w:rPr>
          <w:lang w:val="fr-FR"/>
        </w:rPr>
        <w:t>d)</w:t>
      </w:r>
      <w:r>
        <w:rPr>
          <w:lang w:val="fr-FR"/>
        </w:rPr>
        <w:tab/>
        <w:t>Questions diverses.</w:t>
      </w:r>
    </w:p>
    <w:p w:rsidR="00F91F4D" w:rsidRPr="003B4C9C" w:rsidRDefault="00F91F4D" w:rsidP="00F91F4D">
      <w:pPr>
        <w:pStyle w:val="SingleTxtG"/>
        <w:ind w:left="1701" w:hanging="567"/>
        <w:jc w:val="left"/>
        <w:rPr>
          <w:lang w:val="fr-FR"/>
        </w:rPr>
      </w:pPr>
      <w:r>
        <w:rPr>
          <w:lang w:val="fr-FR"/>
        </w:rPr>
        <w:t>7.</w:t>
      </w:r>
      <w:r>
        <w:rPr>
          <w:lang w:val="fr-FR"/>
        </w:rPr>
        <w:tab/>
        <w:t>Systèmes actifs de freinage d’urgence.</w:t>
      </w:r>
    </w:p>
    <w:p w:rsidR="00F91F4D" w:rsidRPr="003B4C9C" w:rsidRDefault="00F91F4D" w:rsidP="0021549B">
      <w:pPr>
        <w:pStyle w:val="SingleTxtG"/>
        <w:keepNext/>
        <w:ind w:left="1701" w:hanging="567"/>
        <w:jc w:val="left"/>
        <w:rPr>
          <w:lang w:val="fr-FR"/>
        </w:rPr>
      </w:pPr>
      <w:r>
        <w:rPr>
          <w:lang w:val="fr-FR"/>
        </w:rPr>
        <w:t>8.</w:t>
      </w:r>
      <w:r>
        <w:rPr>
          <w:lang w:val="fr-FR"/>
        </w:rPr>
        <w:tab/>
        <w:t xml:space="preserve">Règlements ONU </w:t>
      </w:r>
      <w:r w:rsidR="0021549B" w:rsidRPr="0021549B">
        <w:rPr>
          <w:rFonts w:eastAsia="MS Mincho"/>
          <w:lang w:val="fr-FR"/>
        </w:rPr>
        <w:t>n</w:t>
      </w:r>
      <w:r w:rsidR="0021549B" w:rsidRPr="0021549B">
        <w:rPr>
          <w:rFonts w:eastAsia="MS Mincho"/>
          <w:vertAlign w:val="superscript"/>
          <w:lang w:val="fr-FR"/>
        </w:rPr>
        <w:t>o</w:t>
      </w:r>
      <w:r w:rsidR="0021549B">
        <w:rPr>
          <w:rFonts w:eastAsia="MS Mincho"/>
          <w:vertAlign w:val="superscript"/>
          <w:lang w:val="fr-FR"/>
        </w:rPr>
        <w:t>s</w:t>
      </w:r>
      <w:r w:rsidR="0021549B">
        <w:rPr>
          <w:lang w:val="fr-FR"/>
        </w:rPr>
        <w:t> </w:t>
      </w:r>
      <w:r>
        <w:rPr>
          <w:lang w:val="fr-FR"/>
        </w:rPr>
        <w:t xml:space="preserve">13, 13-H, 139 et 140, et RTM ONU </w:t>
      </w:r>
      <w:r w:rsidR="0021549B" w:rsidRPr="0021549B">
        <w:rPr>
          <w:rFonts w:eastAsia="MS Mincho"/>
          <w:lang w:val="fr-FR"/>
        </w:rPr>
        <w:t>n</w:t>
      </w:r>
      <w:r w:rsidR="0021549B" w:rsidRPr="0021549B">
        <w:rPr>
          <w:rFonts w:eastAsia="MS Mincho"/>
          <w:vertAlign w:val="superscript"/>
          <w:lang w:val="fr-FR"/>
        </w:rPr>
        <w:t>o</w:t>
      </w:r>
      <w:r w:rsidR="0021549B">
        <w:rPr>
          <w:lang w:val="fr-FR"/>
        </w:rPr>
        <w:t> </w:t>
      </w:r>
      <w:r>
        <w:rPr>
          <w:lang w:val="fr-FR"/>
        </w:rPr>
        <w:t>8</w:t>
      </w:r>
      <w:r w:rsidR="0021549B">
        <w:rPr>
          <w:lang w:val="fr-FR"/>
        </w:rPr>
        <w:t> :</w:t>
      </w:r>
    </w:p>
    <w:p w:rsidR="00F91F4D" w:rsidRPr="003B4C9C" w:rsidRDefault="00F91F4D" w:rsidP="0021549B">
      <w:pPr>
        <w:pStyle w:val="SingleTxtG"/>
        <w:ind w:left="2268" w:hanging="567"/>
        <w:jc w:val="left"/>
        <w:rPr>
          <w:lang w:val="fr-FR"/>
        </w:rPr>
      </w:pPr>
      <w:r>
        <w:rPr>
          <w:lang w:val="fr-FR"/>
        </w:rPr>
        <w:t>a)</w:t>
      </w:r>
      <w:r>
        <w:rPr>
          <w:lang w:val="fr-FR"/>
        </w:rPr>
        <w:tab/>
        <w:t>Système de contrôle électronique de la stabilité</w:t>
      </w:r>
      <w:r w:rsidR="0021549B">
        <w:rPr>
          <w:lang w:val="fr-FR"/>
        </w:rPr>
        <w:t> ;</w:t>
      </w:r>
    </w:p>
    <w:p w:rsidR="00F91F4D" w:rsidRPr="003B4C9C" w:rsidRDefault="00F91F4D" w:rsidP="0021549B">
      <w:pPr>
        <w:pStyle w:val="SingleTxtG"/>
        <w:ind w:left="2268" w:hanging="567"/>
        <w:jc w:val="left"/>
        <w:rPr>
          <w:lang w:val="fr-FR"/>
        </w:rPr>
      </w:pPr>
      <w:r>
        <w:rPr>
          <w:lang w:val="fr-FR"/>
        </w:rPr>
        <w:t>b)</w:t>
      </w:r>
      <w:r>
        <w:rPr>
          <w:lang w:val="fr-FR"/>
        </w:rPr>
        <w:tab/>
        <w:t>Ensembles modulaires de véhicules</w:t>
      </w:r>
      <w:r w:rsidR="0021549B">
        <w:rPr>
          <w:lang w:val="fr-FR"/>
        </w:rPr>
        <w:t> ;</w:t>
      </w:r>
    </w:p>
    <w:p w:rsidR="00F91F4D" w:rsidRPr="003B4C9C" w:rsidRDefault="00F91F4D" w:rsidP="00AF5A8D">
      <w:pPr>
        <w:pStyle w:val="SingleTxtG"/>
        <w:ind w:left="2268" w:hanging="567"/>
        <w:jc w:val="left"/>
        <w:rPr>
          <w:lang w:val="fr-FR"/>
        </w:rPr>
      </w:pPr>
      <w:r>
        <w:rPr>
          <w:lang w:val="fr-FR"/>
        </w:rPr>
        <w:t>c)</w:t>
      </w:r>
      <w:r>
        <w:rPr>
          <w:lang w:val="fr-FR"/>
        </w:rPr>
        <w:tab/>
        <w:t>Précisions.</w:t>
      </w:r>
    </w:p>
    <w:p w:rsidR="00F91F4D" w:rsidRPr="003B4C9C" w:rsidRDefault="00F91F4D" w:rsidP="0021549B">
      <w:pPr>
        <w:pStyle w:val="SingleTxtG"/>
        <w:keepNext/>
        <w:ind w:left="1701" w:hanging="567"/>
        <w:jc w:val="left"/>
        <w:rPr>
          <w:lang w:val="fr-FR"/>
        </w:rPr>
      </w:pPr>
      <w:r>
        <w:rPr>
          <w:lang w:val="fr-FR"/>
        </w:rPr>
        <w:t>9.</w:t>
      </w:r>
      <w:r>
        <w:rPr>
          <w:lang w:val="fr-FR"/>
        </w:rPr>
        <w:tab/>
        <w:t>Freinage des motocycles</w:t>
      </w:r>
      <w:r w:rsidR="0021549B">
        <w:rPr>
          <w:lang w:val="fr-FR"/>
        </w:rPr>
        <w:t> :</w:t>
      </w:r>
    </w:p>
    <w:p w:rsidR="00F91F4D" w:rsidRPr="003B4C9C" w:rsidRDefault="00F91F4D" w:rsidP="00AF5A8D">
      <w:pPr>
        <w:pStyle w:val="SingleTxtG"/>
        <w:ind w:left="2268" w:hanging="567"/>
        <w:jc w:val="left"/>
        <w:rPr>
          <w:lang w:val="fr-FR"/>
        </w:rPr>
      </w:pPr>
      <w:r>
        <w:rPr>
          <w:lang w:val="fr-FR"/>
        </w:rPr>
        <w:t>a)</w:t>
      </w:r>
      <w:r>
        <w:rPr>
          <w:lang w:val="fr-FR"/>
        </w:rPr>
        <w:tab/>
        <w:t xml:space="preserve">Règlement technique mondial ONU </w:t>
      </w:r>
      <w:r w:rsidR="0021549B" w:rsidRPr="0021549B">
        <w:rPr>
          <w:rFonts w:eastAsia="MS Mincho"/>
          <w:lang w:val="fr-FR"/>
        </w:rPr>
        <w:t>n</w:t>
      </w:r>
      <w:r w:rsidR="0021549B" w:rsidRPr="0021549B">
        <w:rPr>
          <w:rFonts w:eastAsia="MS Mincho"/>
          <w:vertAlign w:val="superscript"/>
          <w:lang w:val="fr-FR"/>
        </w:rPr>
        <w:t>o</w:t>
      </w:r>
      <w:r w:rsidR="0021549B">
        <w:rPr>
          <w:lang w:val="fr-FR"/>
        </w:rPr>
        <w:t> </w:t>
      </w:r>
      <w:r>
        <w:rPr>
          <w:lang w:val="fr-FR"/>
        </w:rPr>
        <w:t>3 ;</w:t>
      </w:r>
    </w:p>
    <w:p w:rsidR="00F91F4D" w:rsidRPr="003B4C9C" w:rsidRDefault="00F91F4D" w:rsidP="00AF5A8D">
      <w:pPr>
        <w:pStyle w:val="SingleTxtG"/>
        <w:ind w:left="2268" w:hanging="567"/>
        <w:jc w:val="left"/>
        <w:rPr>
          <w:lang w:val="fr-FR"/>
        </w:rPr>
      </w:pPr>
      <w:r>
        <w:rPr>
          <w:lang w:val="fr-FR"/>
        </w:rPr>
        <w:t>b)</w:t>
      </w:r>
      <w:r>
        <w:rPr>
          <w:lang w:val="fr-FR"/>
        </w:rPr>
        <w:tab/>
        <w:t xml:space="preserve">Règlement ONU </w:t>
      </w:r>
      <w:r w:rsidR="0021549B" w:rsidRPr="0021549B">
        <w:rPr>
          <w:rFonts w:eastAsia="MS Mincho"/>
          <w:lang w:val="fr-FR"/>
        </w:rPr>
        <w:t>n</w:t>
      </w:r>
      <w:r w:rsidR="0021549B" w:rsidRPr="0021549B">
        <w:rPr>
          <w:rFonts w:eastAsia="MS Mincho"/>
          <w:vertAlign w:val="superscript"/>
          <w:lang w:val="fr-FR"/>
        </w:rPr>
        <w:t>o</w:t>
      </w:r>
      <w:r w:rsidR="0021549B">
        <w:rPr>
          <w:lang w:val="fr-FR"/>
        </w:rPr>
        <w:t> </w:t>
      </w:r>
      <w:r>
        <w:rPr>
          <w:lang w:val="fr-FR"/>
        </w:rPr>
        <w:t>78.</w:t>
      </w:r>
    </w:p>
    <w:p w:rsidR="00F91F4D" w:rsidRPr="003B4C9C" w:rsidRDefault="00F91F4D" w:rsidP="00F91F4D">
      <w:pPr>
        <w:pStyle w:val="SingleTxtG"/>
        <w:ind w:left="1701" w:hanging="567"/>
        <w:jc w:val="left"/>
        <w:rPr>
          <w:lang w:val="fr-FR"/>
        </w:rPr>
      </w:pPr>
      <w:r>
        <w:rPr>
          <w:lang w:val="fr-FR"/>
        </w:rPr>
        <w:t>10.</w:t>
      </w:r>
      <w:r>
        <w:rPr>
          <w:lang w:val="fr-FR"/>
        </w:rPr>
        <w:tab/>
        <w:t xml:space="preserve">Règlement ONU </w:t>
      </w:r>
      <w:r w:rsidR="0021549B" w:rsidRPr="0021549B">
        <w:rPr>
          <w:rFonts w:eastAsia="MS Mincho"/>
          <w:lang w:val="fr-FR"/>
        </w:rPr>
        <w:t>n</w:t>
      </w:r>
      <w:r w:rsidR="0021549B" w:rsidRPr="0021549B">
        <w:rPr>
          <w:rFonts w:eastAsia="MS Mincho"/>
          <w:vertAlign w:val="superscript"/>
          <w:lang w:val="fr-FR"/>
        </w:rPr>
        <w:t>o</w:t>
      </w:r>
      <w:r w:rsidR="0021549B">
        <w:rPr>
          <w:lang w:val="fr-FR"/>
        </w:rPr>
        <w:t> </w:t>
      </w:r>
      <w:r>
        <w:rPr>
          <w:lang w:val="fr-FR"/>
        </w:rPr>
        <w:t xml:space="preserve">90. </w:t>
      </w:r>
    </w:p>
    <w:p w:rsidR="00F91F4D" w:rsidRPr="003B4C9C" w:rsidRDefault="00F91F4D" w:rsidP="0021549B">
      <w:pPr>
        <w:pStyle w:val="SingleTxtG"/>
        <w:keepNext/>
        <w:ind w:left="1701" w:hanging="567"/>
        <w:jc w:val="left"/>
        <w:rPr>
          <w:lang w:val="fr-FR"/>
        </w:rPr>
      </w:pPr>
      <w:r>
        <w:rPr>
          <w:lang w:val="fr-FR"/>
        </w:rPr>
        <w:t>11.</w:t>
      </w:r>
      <w:r>
        <w:rPr>
          <w:lang w:val="fr-FR"/>
        </w:rPr>
        <w:tab/>
        <w:t>Révision 3 de l’Accord de 1958</w:t>
      </w:r>
      <w:r w:rsidR="0021549B">
        <w:rPr>
          <w:lang w:val="fr-FR"/>
        </w:rPr>
        <w:t> :</w:t>
      </w:r>
    </w:p>
    <w:p w:rsidR="00F91F4D" w:rsidRPr="003B4C9C" w:rsidRDefault="00F91F4D" w:rsidP="00AF5A8D">
      <w:pPr>
        <w:pStyle w:val="SingleTxtG"/>
        <w:ind w:left="2268" w:hanging="567"/>
        <w:jc w:val="left"/>
        <w:rPr>
          <w:lang w:val="fr-FR"/>
        </w:rPr>
      </w:pPr>
      <w:r>
        <w:rPr>
          <w:lang w:val="fr-FR"/>
        </w:rPr>
        <w:t>a)</w:t>
      </w:r>
      <w:r>
        <w:rPr>
          <w:lang w:val="fr-FR"/>
        </w:rPr>
        <w:tab/>
        <w:t>Application des dispositions pertinentes de la révision 3 de l’Accord de 1958</w:t>
      </w:r>
      <w:r w:rsidR="0021549B">
        <w:rPr>
          <w:lang w:val="fr-FR"/>
        </w:rPr>
        <w:t> </w:t>
      </w:r>
      <w:r>
        <w:rPr>
          <w:lang w:val="fr-FR"/>
        </w:rPr>
        <w:t>;</w:t>
      </w:r>
    </w:p>
    <w:p w:rsidR="00F91F4D" w:rsidRPr="003B4C9C" w:rsidRDefault="00F91F4D" w:rsidP="00AF5A8D">
      <w:pPr>
        <w:pStyle w:val="SingleTxtG"/>
        <w:ind w:left="2268" w:hanging="567"/>
        <w:jc w:val="left"/>
        <w:rPr>
          <w:lang w:val="fr-FR"/>
        </w:rPr>
      </w:pPr>
      <w:r>
        <w:rPr>
          <w:lang w:val="fr-FR"/>
        </w:rPr>
        <w:t>b)</w:t>
      </w:r>
      <w:r>
        <w:rPr>
          <w:lang w:val="fr-FR"/>
        </w:rPr>
        <w:tab/>
        <w:t>Homologation de type internationale de l’ensemble du véhicule.</w:t>
      </w:r>
    </w:p>
    <w:p w:rsidR="00F91F4D" w:rsidRPr="003B4C9C" w:rsidRDefault="00F91F4D" w:rsidP="0021549B">
      <w:pPr>
        <w:pStyle w:val="SingleTxtG"/>
        <w:keepNext/>
        <w:ind w:left="1701" w:hanging="567"/>
        <w:jc w:val="left"/>
        <w:rPr>
          <w:lang w:val="fr-FR"/>
        </w:rPr>
      </w:pPr>
      <w:r>
        <w:rPr>
          <w:lang w:val="fr-FR"/>
        </w:rPr>
        <w:t>12.</w:t>
      </w:r>
      <w:r>
        <w:rPr>
          <w:lang w:val="fr-FR"/>
        </w:rPr>
        <w:tab/>
        <w:t>Questions diverses</w:t>
      </w:r>
      <w:r w:rsidR="0021549B">
        <w:rPr>
          <w:lang w:val="fr-FR"/>
        </w:rPr>
        <w:t> :</w:t>
      </w:r>
    </w:p>
    <w:p w:rsidR="00F91F4D" w:rsidRPr="003B4C9C" w:rsidRDefault="00F91F4D" w:rsidP="00AF5A8D">
      <w:pPr>
        <w:pStyle w:val="SingleTxtG"/>
        <w:ind w:left="2268" w:hanging="567"/>
        <w:jc w:val="left"/>
        <w:rPr>
          <w:lang w:val="fr-FR"/>
        </w:rPr>
      </w:pPr>
      <w:r>
        <w:rPr>
          <w:lang w:val="fr-FR"/>
        </w:rPr>
        <w:t>a)</w:t>
      </w:r>
      <w:r>
        <w:rPr>
          <w:lang w:val="fr-FR"/>
        </w:rPr>
        <w:tab/>
        <w:t>Liste des priorités en ce qui concerne les activités du GRVA</w:t>
      </w:r>
      <w:r w:rsidR="0021549B">
        <w:rPr>
          <w:lang w:val="fr-FR"/>
        </w:rPr>
        <w:t> ;</w:t>
      </w:r>
    </w:p>
    <w:p w:rsidR="00F91F4D" w:rsidRPr="003B4C9C" w:rsidRDefault="00F91F4D" w:rsidP="00AF5A8D">
      <w:pPr>
        <w:pStyle w:val="SingleTxtG"/>
        <w:ind w:left="2268" w:hanging="567"/>
        <w:jc w:val="left"/>
        <w:rPr>
          <w:lang w:val="fr-FR"/>
        </w:rPr>
      </w:pPr>
      <w:r>
        <w:rPr>
          <w:lang w:val="fr-FR"/>
        </w:rPr>
        <w:t>b)</w:t>
      </w:r>
      <w:r>
        <w:rPr>
          <w:lang w:val="fr-FR"/>
        </w:rPr>
        <w:tab/>
        <w:t>Intelligence artificielle</w:t>
      </w:r>
      <w:r w:rsidR="0021549B">
        <w:rPr>
          <w:lang w:val="fr-FR"/>
        </w:rPr>
        <w:t> ;</w:t>
      </w:r>
      <w:bookmarkStart w:id="1" w:name="_GoBack"/>
      <w:bookmarkEnd w:id="1"/>
    </w:p>
    <w:p w:rsidR="00F91F4D" w:rsidRPr="003B4C9C" w:rsidRDefault="00F91F4D" w:rsidP="00AF5A8D">
      <w:pPr>
        <w:pStyle w:val="SingleTxtG"/>
        <w:ind w:left="2268" w:hanging="567"/>
        <w:jc w:val="left"/>
        <w:rPr>
          <w:lang w:val="fr-FR"/>
        </w:rPr>
      </w:pPr>
      <w:r>
        <w:rPr>
          <w:lang w:val="fr-FR"/>
        </w:rPr>
        <w:t>c)</w:t>
      </w:r>
      <w:r>
        <w:rPr>
          <w:lang w:val="fr-FR"/>
        </w:rPr>
        <w:tab/>
        <w:t>Questions diverses.</w:t>
      </w:r>
    </w:p>
    <w:p w:rsidR="00F91F4D" w:rsidRPr="003B4C9C" w:rsidRDefault="00F91F4D" w:rsidP="00F91F4D">
      <w:pPr>
        <w:pStyle w:val="HChG"/>
        <w:rPr>
          <w:lang w:val="fr-FR"/>
        </w:rPr>
      </w:pPr>
      <w:r>
        <w:rPr>
          <w:lang w:val="fr-FR"/>
        </w:rPr>
        <w:tab/>
        <w:t>II.</w:t>
      </w:r>
      <w:r>
        <w:rPr>
          <w:lang w:val="fr-FR"/>
        </w:rPr>
        <w:tab/>
        <w:t>Annotations et liste des documents</w:t>
      </w:r>
    </w:p>
    <w:p w:rsidR="00F9573C" w:rsidRDefault="00F91F4D" w:rsidP="00F91F4D">
      <w:pPr>
        <w:pStyle w:val="SingleTxtG"/>
        <w:ind w:firstLine="567"/>
        <w:rPr>
          <w:lang w:val="fr-FR"/>
        </w:rPr>
      </w:pPr>
      <w:r>
        <w:rPr>
          <w:lang w:val="fr-FR"/>
        </w:rPr>
        <w:t>L’ordre du jour annoté sera publié avant la session du GRVA (ECE/TRANS/WP.29/GRVA/2020/19/Add.1).</w:t>
      </w:r>
    </w:p>
    <w:p w:rsidR="00F91F4D" w:rsidRPr="00F91F4D" w:rsidRDefault="00F91F4D" w:rsidP="00F91F4D">
      <w:pPr>
        <w:pStyle w:val="SingleTxtG"/>
        <w:spacing w:before="240" w:after="0"/>
        <w:jc w:val="center"/>
        <w:rPr>
          <w:u w:val="single"/>
        </w:rPr>
      </w:pPr>
      <w:r>
        <w:rPr>
          <w:u w:val="single"/>
        </w:rPr>
        <w:tab/>
      </w:r>
      <w:r>
        <w:rPr>
          <w:u w:val="single"/>
        </w:rPr>
        <w:tab/>
      </w:r>
      <w:r>
        <w:rPr>
          <w:u w:val="single"/>
        </w:rPr>
        <w:tab/>
      </w:r>
    </w:p>
    <w:sectPr w:rsidR="00F91F4D" w:rsidRPr="00F91F4D" w:rsidSect="004618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618" w:rsidRDefault="00221618" w:rsidP="00F95C08">
      <w:pPr>
        <w:spacing w:line="240" w:lineRule="auto"/>
      </w:pPr>
    </w:p>
  </w:endnote>
  <w:endnote w:type="continuationSeparator" w:id="0">
    <w:p w:rsidR="00221618" w:rsidRPr="00AC3823" w:rsidRDefault="00221618" w:rsidP="00AC3823">
      <w:pPr>
        <w:pStyle w:val="Pieddepage"/>
      </w:pPr>
    </w:p>
  </w:endnote>
  <w:endnote w:type="continuationNotice" w:id="1">
    <w:p w:rsidR="00221618" w:rsidRDefault="002216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15" w:rsidRPr="00461815" w:rsidRDefault="00461815" w:rsidP="00461815">
    <w:pPr>
      <w:pStyle w:val="Pieddepage"/>
      <w:tabs>
        <w:tab w:val="right" w:pos="9638"/>
      </w:tabs>
    </w:pPr>
    <w:r w:rsidRPr="00461815">
      <w:rPr>
        <w:b/>
        <w:sz w:val="18"/>
      </w:rPr>
      <w:fldChar w:fldCharType="begin"/>
    </w:r>
    <w:r w:rsidRPr="00461815">
      <w:rPr>
        <w:b/>
        <w:sz w:val="18"/>
      </w:rPr>
      <w:instrText xml:space="preserve"> PAGE  \* MERGEFORMAT </w:instrText>
    </w:r>
    <w:r w:rsidRPr="00461815">
      <w:rPr>
        <w:b/>
        <w:sz w:val="18"/>
      </w:rPr>
      <w:fldChar w:fldCharType="separate"/>
    </w:r>
    <w:r w:rsidRPr="00461815">
      <w:rPr>
        <w:b/>
        <w:noProof/>
        <w:sz w:val="18"/>
      </w:rPr>
      <w:t>2</w:t>
    </w:r>
    <w:r w:rsidRPr="00461815">
      <w:rPr>
        <w:b/>
        <w:sz w:val="18"/>
      </w:rPr>
      <w:fldChar w:fldCharType="end"/>
    </w:r>
    <w:r>
      <w:rPr>
        <w:b/>
        <w:sz w:val="18"/>
      </w:rPr>
      <w:tab/>
    </w:r>
    <w:r>
      <w:t>GE.20-08994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15" w:rsidRPr="00461815" w:rsidRDefault="00461815" w:rsidP="00461815">
    <w:pPr>
      <w:pStyle w:val="Pieddepage"/>
      <w:tabs>
        <w:tab w:val="right" w:pos="9638"/>
      </w:tabs>
      <w:rPr>
        <w:b/>
        <w:sz w:val="18"/>
      </w:rPr>
    </w:pPr>
    <w:r>
      <w:t>GE.20-08994</w:t>
    </w:r>
    <w:r>
      <w:tab/>
    </w:r>
    <w:r w:rsidRPr="00461815">
      <w:rPr>
        <w:b/>
        <w:sz w:val="18"/>
      </w:rPr>
      <w:fldChar w:fldCharType="begin"/>
    </w:r>
    <w:r w:rsidRPr="00461815">
      <w:rPr>
        <w:b/>
        <w:sz w:val="18"/>
      </w:rPr>
      <w:instrText xml:space="preserve"> PAGE  \* MERGEFORMAT </w:instrText>
    </w:r>
    <w:r w:rsidRPr="00461815">
      <w:rPr>
        <w:b/>
        <w:sz w:val="18"/>
      </w:rPr>
      <w:fldChar w:fldCharType="separate"/>
    </w:r>
    <w:r w:rsidRPr="00461815">
      <w:rPr>
        <w:b/>
        <w:noProof/>
        <w:sz w:val="18"/>
      </w:rPr>
      <w:t>3</w:t>
    </w:r>
    <w:r w:rsidRPr="004618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61815" w:rsidRDefault="00461815" w:rsidP="0046181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20-08994  (F)    090720    090720</w:t>
    </w:r>
    <w:r>
      <w:rPr>
        <w:sz w:val="20"/>
      </w:rPr>
      <w:br/>
    </w:r>
    <w:r w:rsidRPr="00461815">
      <w:rPr>
        <w:rFonts w:ascii="C39T30Lfz" w:hAnsi="C39T30Lfz"/>
        <w:sz w:val="56"/>
      </w:rPr>
      <w:t></w:t>
    </w:r>
    <w:r w:rsidRPr="00461815">
      <w:rPr>
        <w:rFonts w:ascii="C39T30Lfz" w:hAnsi="C39T30Lfz"/>
        <w:sz w:val="56"/>
      </w:rPr>
      <w:t></w:t>
    </w:r>
    <w:r w:rsidRPr="00461815">
      <w:rPr>
        <w:rFonts w:ascii="C39T30Lfz" w:hAnsi="C39T30Lfz"/>
        <w:sz w:val="56"/>
      </w:rPr>
      <w:t></w:t>
    </w:r>
    <w:r w:rsidRPr="00461815">
      <w:rPr>
        <w:rFonts w:ascii="C39T30Lfz" w:hAnsi="C39T30Lfz"/>
        <w:sz w:val="56"/>
      </w:rPr>
      <w:t></w:t>
    </w:r>
    <w:r w:rsidRPr="00461815">
      <w:rPr>
        <w:rFonts w:ascii="C39T30Lfz" w:hAnsi="C39T30Lfz"/>
        <w:sz w:val="56"/>
      </w:rPr>
      <w:t></w:t>
    </w:r>
    <w:r w:rsidRPr="00461815">
      <w:rPr>
        <w:rFonts w:ascii="C39T30Lfz" w:hAnsi="C39T30Lfz"/>
        <w:sz w:val="56"/>
      </w:rPr>
      <w:t></w:t>
    </w:r>
    <w:r w:rsidRPr="00461815">
      <w:rPr>
        <w:rFonts w:ascii="C39T30Lfz" w:hAnsi="C39T30Lfz"/>
        <w:sz w:val="56"/>
      </w:rPr>
      <w:t></w:t>
    </w:r>
    <w:r w:rsidRPr="00461815">
      <w:rPr>
        <w:rFonts w:ascii="C39T30Lfz" w:hAnsi="C39T30Lfz"/>
        <w:sz w:val="56"/>
      </w:rPr>
      <w:t></w:t>
    </w:r>
    <w:r w:rsidRPr="0046181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618" w:rsidRPr="00AC3823" w:rsidRDefault="00221618" w:rsidP="00AC3823">
      <w:pPr>
        <w:pStyle w:val="Pieddepage"/>
        <w:tabs>
          <w:tab w:val="right" w:pos="2155"/>
        </w:tabs>
        <w:spacing w:after="80" w:line="240" w:lineRule="atLeast"/>
        <w:ind w:left="680"/>
        <w:rPr>
          <w:u w:val="single"/>
        </w:rPr>
      </w:pPr>
      <w:r>
        <w:rPr>
          <w:u w:val="single"/>
        </w:rPr>
        <w:tab/>
      </w:r>
    </w:p>
  </w:footnote>
  <w:footnote w:type="continuationSeparator" w:id="0">
    <w:p w:rsidR="00221618" w:rsidRPr="00AC3823" w:rsidRDefault="00221618" w:rsidP="00AC3823">
      <w:pPr>
        <w:pStyle w:val="Pieddepage"/>
        <w:tabs>
          <w:tab w:val="right" w:pos="2155"/>
        </w:tabs>
        <w:spacing w:after="80" w:line="240" w:lineRule="atLeast"/>
        <w:ind w:left="680"/>
        <w:rPr>
          <w:u w:val="single"/>
        </w:rPr>
      </w:pPr>
      <w:r>
        <w:rPr>
          <w:u w:val="single"/>
        </w:rPr>
        <w:tab/>
      </w:r>
    </w:p>
  </w:footnote>
  <w:footnote w:type="continuationNotice" w:id="1">
    <w:p w:rsidR="00221618" w:rsidRPr="00AC3823" w:rsidRDefault="00221618">
      <w:pPr>
        <w:spacing w:line="240" w:lineRule="auto"/>
        <w:rPr>
          <w:sz w:val="2"/>
          <w:szCs w:val="2"/>
        </w:rPr>
      </w:pPr>
    </w:p>
  </w:footnote>
  <w:footnote w:id="2">
    <w:p w:rsidR="00F91F4D" w:rsidRPr="003B4C9C" w:rsidRDefault="00F91F4D" w:rsidP="00F91F4D">
      <w:pPr>
        <w:pStyle w:val="Notedebasdepage"/>
        <w:rPr>
          <w:szCs w:val="18"/>
          <w:lang w:val="fr-FR"/>
        </w:rPr>
      </w:pPr>
      <w:r>
        <w:rPr>
          <w:lang w:val="fr-FR"/>
        </w:rPr>
        <w:tab/>
      </w:r>
      <w:r w:rsidRPr="00F91F4D">
        <w:rPr>
          <w:sz w:val="20"/>
          <w:lang w:val="fr-FR"/>
        </w:rPr>
        <w:t>*</w:t>
      </w:r>
      <w:r>
        <w:rPr>
          <w:lang w:val="fr-FR"/>
        </w:rPr>
        <w:t xml:space="preserve"> </w:t>
      </w:r>
      <w:r>
        <w:rPr>
          <w:lang w:val="fr-FR"/>
        </w:rPr>
        <w:tab/>
        <w:t>Les représentants sont priés de s'inscrire sur le site Web de la CEE (</w:t>
      </w:r>
      <w:hyperlink r:id="rId1" w:history="1">
        <w:r w:rsidRPr="00F91F4D">
          <w:rPr>
            <w:rStyle w:val="Lienhypertexte"/>
            <w:lang w:val="fr-FR"/>
          </w:rPr>
          <w:t>https://uncdb.unece.org/app/ext/meeting-registration?id=SR_hy1</w:t>
        </w:r>
      </w:hyperlink>
      <w:r>
        <w:rPr>
          <w:lang w:val="fr-FR"/>
        </w:rPr>
        <w:t xml:space="preserve">). </w:t>
      </w:r>
      <w:proofErr w:type="spellStart"/>
      <w:r>
        <w:rPr>
          <w:lang w:val="fr-FR"/>
        </w:rPr>
        <w:t>A</w:t>
      </w:r>
      <w:proofErr w:type="spellEnd"/>
      <w:r>
        <w:rPr>
          <w:lang w:val="fr-FR"/>
        </w:rPr>
        <w:t xml:space="preserve">̀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xml:space="preserve">̀ contacter le secrétariat par téléphone (poste 74323). Un plan du Palais des Nations et d’autres renseignements utiles sont disponibles à l’adresse </w:t>
      </w:r>
      <w:hyperlink r:id="rId2" w:history="1">
        <w:r w:rsidRPr="00F91F4D">
          <w:rPr>
            <w:rStyle w:val="Lienhypertexte"/>
            <w:lang w:val="fr-FR"/>
          </w:rPr>
          <w:t>http://www.unece.org/fr/info/events/informations-pratiques-pour-les-delegues.html</w:t>
        </w:r>
      </w:hyperlink>
      <w:r>
        <w:rPr>
          <w:lang w:val="fr-FR"/>
        </w:rPr>
        <w:t>.</w:t>
      </w:r>
    </w:p>
  </w:footnote>
  <w:footnote w:id="3">
    <w:p w:rsidR="00F91F4D" w:rsidRPr="003B4C9C" w:rsidRDefault="00F91F4D" w:rsidP="00F91F4D">
      <w:pPr>
        <w:pStyle w:val="Notedebasdepage"/>
        <w:rPr>
          <w:lang w:val="fr-FR"/>
        </w:rPr>
      </w:pPr>
      <w:r>
        <w:rPr>
          <w:lang w:val="fr-FR"/>
        </w:rPr>
        <w:tab/>
      </w:r>
      <w:r w:rsidRPr="00F91F4D">
        <w:rPr>
          <w:sz w:val="20"/>
          <w:lang w:val="fr-FR"/>
        </w:rPr>
        <w:t>**</w:t>
      </w:r>
      <w:r>
        <w:rPr>
          <w:lang w:val="fr-FR"/>
        </w:rPr>
        <w:t xml:space="preserve"> </w:t>
      </w:r>
      <w:r>
        <w:rPr>
          <w:lang w:val="fr-FR"/>
        </w:rPr>
        <w:tab/>
        <w:t xml:space="preserve">Par souci d’économie, les représentants sont priés de se rendre </w:t>
      </w:r>
      <w:proofErr w:type="spellStart"/>
      <w:r>
        <w:rPr>
          <w:lang w:val="fr-FR"/>
        </w:rPr>
        <w:t>a</w:t>
      </w:r>
      <w:proofErr w:type="spellEnd"/>
      <w:r>
        <w:rPr>
          <w:lang w:val="fr-FR"/>
        </w:rPr>
        <w:t xml:space="preserve">̀ la session munis de leurs exemplaires de tous les documents pertinents. Aucun document ne sera disponible en salle. Avant la session, les documents peuvent être téléchargés à partir du site Web de la Division des transports durables de la CEE. Les versions traduites des documents officiels sont disponibles en accès public par le Système de diffusion électronique des documents (SEDOC), à l’adresse </w:t>
      </w:r>
      <w:hyperlink r:id="rId3" w:history="1">
        <w:r w:rsidRPr="00F91F4D">
          <w:rPr>
            <w:rStyle w:val="Lienhypertexte"/>
            <w:lang w:val="fr-FR"/>
          </w:rPr>
          <w:t>documents.un.org</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15" w:rsidRPr="00461815" w:rsidRDefault="00BB582E">
    <w:pPr>
      <w:pStyle w:val="En-tte"/>
    </w:pPr>
    <w:r>
      <w:fldChar w:fldCharType="begin"/>
    </w:r>
    <w:r>
      <w:instrText xml:space="preserve"> TITLE  \* MERGEFORMAT </w:instrText>
    </w:r>
    <w:r>
      <w:fldChar w:fldCharType="separate"/>
    </w:r>
    <w:r w:rsidR="00461815">
      <w:t>ECE/TRANS/WP.29/GRVA/2020/19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815" w:rsidRPr="00461815" w:rsidRDefault="00BB582E" w:rsidP="00461815">
    <w:pPr>
      <w:pStyle w:val="En-tte"/>
      <w:jc w:val="right"/>
    </w:pPr>
    <w:r>
      <w:fldChar w:fldCharType="begin"/>
    </w:r>
    <w:r>
      <w:instrText xml:space="preserve"> TITLE  \* MERGEFORMAT </w:instrText>
    </w:r>
    <w:r>
      <w:fldChar w:fldCharType="separate"/>
    </w:r>
    <w:r w:rsidR="00461815">
      <w:t>ECE/TRANS/WP.29/GRVA/2020/19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1618"/>
    <w:rsid w:val="00017F94"/>
    <w:rsid w:val="00023842"/>
    <w:rsid w:val="000334F9"/>
    <w:rsid w:val="00045FEB"/>
    <w:rsid w:val="0007796D"/>
    <w:rsid w:val="000B7790"/>
    <w:rsid w:val="00111F2F"/>
    <w:rsid w:val="0014365E"/>
    <w:rsid w:val="00143C66"/>
    <w:rsid w:val="00176178"/>
    <w:rsid w:val="001F525A"/>
    <w:rsid w:val="0021549B"/>
    <w:rsid w:val="00221618"/>
    <w:rsid w:val="00223272"/>
    <w:rsid w:val="0024779E"/>
    <w:rsid w:val="00257168"/>
    <w:rsid w:val="002744B8"/>
    <w:rsid w:val="002832AC"/>
    <w:rsid w:val="002D7C93"/>
    <w:rsid w:val="00305801"/>
    <w:rsid w:val="003916DE"/>
    <w:rsid w:val="00421996"/>
    <w:rsid w:val="00441C3B"/>
    <w:rsid w:val="00446FE5"/>
    <w:rsid w:val="00452396"/>
    <w:rsid w:val="00461815"/>
    <w:rsid w:val="004837D8"/>
    <w:rsid w:val="004E2EED"/>
    <w:rsid w:val="004E468C"/>
    <w:rsid w:val="005505B7"/>
    <w:rsid w:val="00573BE5"/>
    <w:rsid w:val="00586ED3"/>
    <w:rsid w:val="00596AA9"/>
    <w:rsid w:val="0071601D"/>
    <w:rsid w:val="007A62E6"/>
    <w:rsid w:val="007F20FA"/>
    <w:rsid w:val="0080684C"/>
    <w:rsid w:val="008548D4"/>
    <w:rsid w:val="00871C75"/>
    <w:rsid w:val="008776DC"/>
    <w:rsid w:val="009446C0"/>
    <w:rsid w:val="009705C8"/>
    <w:rsid w:val="009C1CF4"/>
    <w:rsid w:val="009F6B74"/>
    <w:rsid w:val="00A3029F"/>
    <w:rsid w:val="00A30353"/>
    <w:rsid w:val="00AC3823"/>
    <w:rsid w:val="00AE323C"/>
    <w:rsid w:val="00AF0CB5"/>
    <w:rsid w:val="00AF5A8D"/>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1F4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6F60F"/>
  <w15:docId w15:val="{EF143B94-6989-4D0F-B125-854711E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F91F4D"/>
    <w:rPr>
      <w:rFonts w:ascii="Times New Roman" w:eastAsiaTheme="minorHAnsi" w:hAnsi="Times New Roman" w:cs="Times New Roman"/>
      <w:sz w:val="20"/>
      <w:szCs w:val="20"/>
      <w:lang w:eastAsia="en-US"/>
    </w:rPr>
  </w:style>
  <w:style w:type="character" w:customStyle="1" w:styleId="HChGChar">
    <w:name w:val="_ H _Ch_G Char"/>
    <w:link w:val="HChG"/>
    <w:rsid w:val="00F91F4D"/>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F91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un.org/prod/ods.nsf/home.xsp" TargetMode="External"/><Relationship Id="rId2" Type="http://schemas.openxmlformats.org/officeDocument/2006/relationships/hyperlink" Target="http://www.unece.org/fr/info/events/informations-pratiques-pour-les-delegues.html" TargetMode="External"/><Relationship Id="rId1" Type="http://schemas.openxmlformats.org/officeDocument/2006/relationships/hyperlink" Target="https://uncdb.unece.org/app/ext/meeting-registration?id=SR_hy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332</Words>
  <Characters>2331</Characters>
  <Application>Microsoft Office Word</Application>
  <DocSecurity>0</DocSecurity>
  <Lines>194</Lines>
  <Paragraphs>106</Paragraphs>
  <ScaleCrop>false</ScaleCrop>
  <HeadingPairs>
    <vt:vector size="2" baseType="variant">
      <vt:variant>
        <vt:lpstr>Titre</vt:lpstr>
      </vt:variant>
      <vt:variant>
        <vt:i4>1</vt:i4>
      </vt:variant>
    </vt:vector>
  </HeadingPairs>
  <TitlesOfParts>
    <vt:vector size="1" baseType="lpstr">
      <vt:lpstr>ECE/TRANS/WP.29/GRVA/2020/19</vt:lpstr>
    </vt:vector>
  </TitlesOfParts>
  <Company>DCM</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ECE/TRANS/WP.29/GRVA/2020/19</dc:title>
  <dc:subject/>
  <dc:creator>Nathalie VITTOZ</dc:creator>
  <cp:keywords/>
  <cp:lastModifiedBy>Nathalie Vittoz</cp:lastModifiedBy>
  <cp:revision>2</cp:revision>
  <cp:lastPrinted>2014-05-14T10:59:00Z</cp:lastPrinted>
  <dcterms:created xsi:type="dcterms:W3CDTF">2020-07-09T07:27:00Z</dcterms:created>
  <dcterms:modified xsi:type="dcterms:W3CDTF">2020-07-09T07:27:00Z</dcterms:modified>
</cp:coreProperties>
</file>