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4962"/>
        <w:gridCol w:w="4961"/>
      </w:tblGrid>
      <w:tr w:rsidR="00341EA7" w:rsidRPr="00E27568" w:rsidTr="00707AFC">
        <w:tc>
          <w:tcPr>
            <w:tcW w:w="4962" w:type="dxa"/>
          </w:tcPr>
          <w:p w:rsidR="00341EA7" w:rsidRPr="00FD5357" w:rsidRDefault="00341EA7" w:rsidP="00707AFC">
            <w:r w:rsidRPr="00FD5357">
              <w:t xml:space="preserve">Submitted by the expert from the </w:t>
            </w:r>
            <w:r>
              <w:t>European Commission</w:t>
            </w:r>
            <w:r w:rsidRPr="00FD5357">
              <w:t xml:space="preserve"> </w:t>
            </w:r>
          </w:p>
          <w:p w:rsidR="00341EA7" w:rsidRPr="00FD5357" w:rsidRDefault="00341EA7" w:rsidP="00707AFC">
            <w:pPr>
              <w:pStyle w:val="Header"/>
              <w:rPr>
                <w:b w:val="0"/>
                <w:sz w:val="20"/>
              </w:rPr>
            </w:pPr>
          </w:p>
          <w:p w:rsidR="00341EA7" w:rsidRPr="00FD5357" w:rsidRDefault="00341EA7" w:rsidP="00707AFC">
            <w:pPr>
              <w:pStyle w:val="Header"/>
              <w:rPr>
                <w:b w:val="0"/>
                <w:sz w:val="16"/>
                <w:szCs w:val="16"/>
              </w:rPr>
            </w:pPr>
          </w:p>
        </w:tc>
        <w:tc>
          <w:tcPr>
            <w:tcW w:w="4961" w:type="dxa"/>
          </w:tcPr>
          <w:p w:rsidR="00341EA7" w:rsidRPr="0039621D" w:rsidRDefault="00341EA7" w:rsidP="00707AFC">
            <w:r w:rsidRPr="00FD5357">
              <w:rPr>
                <w:b/>
              </w:rPr>
              <w:t>Informal document</w:t>
            </w:r>
            <w:r w:rsidRPr="0060508C">
              <w:t xml:space="preserve"> </w:t>
            </w:r>
            <w:r>
              <w:t>GRSP-67-</w:t>
            </w:r>
            <w:r w:rsidR="0027521C">
              <w:t>31</w:t>
            </w:r>
          </w:p>
          <w:p w:rsidR="00341EA7" w:rsidRPr="00BE31E6" w:rsidRDefault="00341EA7" w:rsidP="00707AFC">
            <w:r w:rsidRPr="00FD5357">
              <w:t>(6</w:t>
            </w:r>
            <w:r w:rsidRPr="00FD5357">
              <w:rPr>
                <w:lang w:eastAsia="ja-JP"/>
              </w:rPr>
              <w:t>7</w:t>
            </w:r>
            <w:r w:rsidRPr="003E603C">
              <w:rPr>
                <w:rFonts w:hint="eastAsia"/>
                <w:vertAlign w:val="superscript"/>
                <w:lang w:eastAsia="ja-JP"/>
              </w:rPr>
              <w:t>th</w:t>
            </w:r>
            <w:r>
              <w:rPr>
                <w:lang w:eastAsia="ja-JP"/>
              </w:rPr>
              <w:t xml:space="preserve"> </w:t>
            </w:r>
            <w:r w:rsidRPr="00FD5357">
              <w:t xml:space="preserve">GRSP, </w:t>
            </w:r>
            <w:r w:rsidRPr="00FD5357">
              <w:rPr>
                <w:lang w:eastAsia="ja-JP"/>
              </w:rPr>
              <w:t>20</w:t>
            </w:r>
            <w:r w:rsidRPr="00FD5357">
              <w:rPr>
                <w:rFonts w:hint="eastAsia"/>
                <w:lang w:eastAsia="ja-JP"/>
              </w:rPr>
              <w:t>-</w:t>
            </w:r>
            <w:r w:rsidRPr="00FD5357">
              <w:t>2</w:t>
            </w:r>
            <w:r>
              <w:t>3</w:t>
            </w:r>
            <w:r w:rsidRPr="00FD5357">
              <w:rPr>
                <w:rFonts w:hint="eastAsia"/>
                <w:lang w:eastAsia="ja-JP"/>
              </w:rPr>
              <w:t xml:space="preserve"> </w:t>
            </w:r>
            <w:r w:rsidRPr="00FD5357">
              <w:rPr>
                <w:lang w:eastAsia="ja-JP"/>
              </w:rPr>
              <w:t>July</w:t>
            </w:r>
            <w:r w:rsidRPr="00FD5357">
              <w:t xml:space="preserve"> 2020</w:t>
            </w:r>
          </w:p>
          <w:p w:rsidR="00341EA7" w:rsidRPr="00E27568" w:rsidRDefault="00341EA7" w:rsidP="002F2638">
            <w:r w:rsidRPr="00FD5357">
              <w:t xml:space="preserve">agenda item </w:t>
            </w:r>
            <w:r w:rsidR="002F2638" w:rsidRPr="00B0100F">
              <w:rPr>
                <w:lang w:eastAsia="ja-JP"/>
              </w:rPr>
              <w:t>17</w:t>
            </w:r>
            <w:r w:rsidRPr="00B0100F">
              <w:rPr>
                <w:lang w:eastAsia="ja-JP"/>
              </w:rPr>
              <w:t>(</w:t>
            </w:r>
            <w:r w:rsidR="002F2638" w:rsidRPr="00B0100F">
              <w:rPr>
                <w:lang w:eastAsia="ja-JP"/>
              </w:rPr>
              <w:t>b</w:t>
            </w:r>
            <w:r w:rsidRPr="00B0100F">
              <w:rPr>
                <w:lang w:eastAsia="ja-JP"/>
              </w:rPr>
              <w:t>)</w:t>
            </w:r>
            <w:r w:rsidRPr="00B0100F">
              <w:t>)</w:t>
            </w:r>
          </w:p>
        </w:tc>
      </w:tr>
    </w:tbl>
    <w:p w:rsidR="00772D17" w:rsidRDefault="00772D17" w:rsidP="00341EA7">
      <w:pPr>
        <w:pStyle w:val="HChG"/>
        <w:rPr>
          <w:szCs w:val="24"/>
        </w:rPr>
      </w:pPr>
      <w:r>
        <w:tab/>
      </w:r>
      <w:r>
        <w:tab/>
      </w:r>
      <w:bookmarkStart w:id="0" w:name="_GoBack"/>
      <w:bookmarkEnd w:id="0"/>
    </w:p>
    <w:p w:rsidR="00DB276D" w:rsidRDefault="00BB280A" w:rsidP="00772D17">
      <w:pPr>
        <w:pStyle w:val="SingleTxtG"/>
        <w:ind w:firstLine="567"/>
      </w:pPr>
      <w:r w:rsidRPr="008405E4">
        <w:rPr>
          <w:lang w:val="en-US"/>
        </w:rPr>
        <w:t xml:space="preserve">The text reproduced below </w:t>
      </w:r>
      <w:r w:rsidR="00341EA7">
        <w:rPr>
          <w:lang w:val="en-US"/>
        </w:rPr>
        <w:t>proposes amendment</w:t>
      </w:r>
      <w:r w:rsidR="00E24AEB">
        <w:rPr>
          <w:lang w:val="en-US"/>
        </w:rPr>
        <w:t>s</w:t>
      </w:r>
      <w:r w:rsidR="00341EA7">
        <w:rPr>
          <w:lang w:val="en-US"/>
        </w:rPr>
        <w:t xml:space="preserve"> to </w:t>
      </w:r>
      <w:r w:rsidR="00341EA7" w:rsidRPr="00341EA7">
        <w:rPr>
          <w:lang w:val="en-US"/>
        </w:rPr>
        <w:t>ECE/TRANS/WP.29/2020/53</w:t>
      </w:r>
      <w:r w:rsidR="00341EA7">
        <w:rPr>
          <w:lang w:val="en-US"/>
        </w:rPr>
        <w:t xml:space="preserve"> as a follow up of the last session of WP.29. </w:t>
      </w:r>
    </w:p>
    <w:p w:rsidR="00193F14" w:rsidRPr="00193F14" w:rsidRDefault="00193F14" w:rsidP="00394C9F">
      <w:pPr>
        <w:autoSpaceDE w:val="0"/>
        <w:autoSpaceDN w:val="0"/>
        <w:adjustRightInd w:val="0"/>
        <w:spacing w:before="240"/>
        <w:ind w:left="2268" w:right="1134" w:hanging="1134"/>
        <w:jc w:val="both"/>
        <w:rPr>
          <w:b/>
        </w:rPr>
      </w:pPr>
      <w:r w:rsidRPr="00193F14">
        <w:rPr>
          <w:b/>
        </w:rPr>
        <w:t>PROPOSAL</w:t>
      </w:r>
      <w:r>
        <w:rPr>
          <w:b/>
        </w:rPr>
        <w:t>:</w:t>
      </w:r>
    </w:p>
    <w:p w:rsidR="00394C9F" w:rsidRPr="004B0413" w:rsidRDefault="00394C9F" w:rsidP="00394C9F">
      <w:pPr>
        <w:autoSpaceDE w:val="0"/>
        <w:autoSpaceDN w:val="0"/>
        <w:adjustRightInd w:val="0"/>
        <w:spacing w:before="240"/>
        <w:ind w:left="2268" w:right="1134" w:hanging="1134"/>
        <w:jc w:val="both"/>
        <w:rPr>
          <w:strike/>
        </w:rPr>
      </w:pPr>
      <w:r w:rsidRPr="004B0413">
        <w:rPr>
          <w:i/>
          <w:strike/>
        </w:rPr>
        <w:t>Insert a new paragraph 1.2.</w:t>
      </w:r>
      <w:r w:rsidRPr="004B0413">
        <w:rPr>
          <w:strike/>
        </w:rPr>
        <w:t>, to read:</w:t>
      </w:r>
    </w:p>
    <w:p w:rsidR="00394C9F" w:rsidRPr="00394C9F" w:rsidRDefault="00394C9F" w:rsidP="00394C9F">
      <w:pPr>
        <w:autoSpaceDE w:val="0"/>
        <w:autoSpaceDN w:val="0"/>
        <w:adjustRightInd w:val="0"/>
        <w:spacing w:before="240"/>
        <w:ind w:left="2268" w:right="1134" w:hanging="1134"/>
        <w:jc w:val="both"/>
      </w:pPr>
      <w:r w:rsidRPr="004B0413">
        <w:rPr>
          <w:strike/>
        </w:rPr>
        <w:t>"1.2.</w:t>
      </w:r>
      <w:r w:rsidRPr="004B0413">
        <w:rPr>
          <w:strike/>
        </w:rPr>
        <w:tab/>
        <w:t xml:space="preserve">This Regulation </w:t>
      </w:r>
      <w:r w:rsidRPr="0006004D">
        <w:rPr>
          <w:strike/>
        </w:rPr>
        <w:t>explicitly forbids</w:t>
      </w:r>
      <w:r w:rsidR="006432F9" w:rsidRPr="0006004D">
        <w:rPr>
          <w:b/>
          <w:strike/>
        </w:rPr>
        <w:t xml:space="preserve"> </w:t>
      </w:r>
      <w:r w:rsidRPr="0006004D">
        <w:rPr>
          <w:strike/>
        </w:rPr>
        <w:t>child restraint systems in the form of belt guides and other sitting devices that are dangerous and can harm children in the event of a vehicle collision</w:t>
      </w:r>
      <w:r w:rsidR="006432F9" w:rsidRPr="0006004D">
        <w:rPr>
          <w:b/>
          <w:strike/>
        </w:rPr>
        <w:t xml:space="preserve"> </w:t>
      </w:r>
      <w:r w:rsidRPr="0006004D">
        <w:rPr>
          <w:strike/>
        </w:rPr>
        <w:t>irrespective of any test results obtained in accordance with paragraph 8</w:t>
      </w:r>
      <w:r w:rsidRPr="00394C9F">
        <w:t>.</w:t>
      </w:r>
    </w:p>
    <w:p w:rsidR="00394C9F" w:rsidRPr="004B0413" w:rsidRDefault="00394C9F" w:rsidP="00394C9F">
      <w:pPr>
        <w:autoSpaceDE w:val="0"/>
        <w:autoSpaceDN w:val="0"/>
        <w:adjustRightInd w:val="0"/>
        <w:spacing w:before="240"/>
        <w:ind w:left="2268" w:right="1134"/>
        <w:jc w:val="both"/>
        <w:rPr>
          <w:strike/>
        </w:rPr>
      </w:pPr>
      <w:r w:rsidRPr="0006004D">
        <w:rPr>
          <w:strike/>
        </w:rPr>
        <w:t>In particular, it concerns belt guides and sitting devices meant for children of a mass from 15 kg to 36 kg that connect to or attach onto the lap belt portion as well as the torso belt portion of a 3-point adult safety belt system with the aim to alter the adult safety belt routing by for example pulling down the torso belt portion or squeezing together the torso belt portion and lap belt portion. Examples of such non-compliant devices are shown below</w:t>
      </w:r>
      <w:r w:rsidRPr="007D0BFE">
        <w:rPr>
          <w:strike/>
        </w:rPr>
        <w:t>.</w:t>
      </w:r>
    </w:p>
    <w:p w:rsidR="00394C9F" w:rsidRPr="006713E3" w:rsidRDefault="006713E3" w:rsidP="00394C9F">
      <w:pPr>
        <w:autoSpaceDE w:val="0"/>
        <w:autoSpaceDN w:val="0"/>
        <w:adjustRightInd w:val="0"/>
        <w:spacing w:before="240"/>
        <w:ind w:left="2268" w:right="1134"/>
        <w:jc w:val="both"/>
        <w:rPr>
          <w:b/>
        </w:rPr>
      </w:pPr>
      <w:r w:rsidRPr="006713E3">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1469020</wp:posOffset>
                </wp:positionH>
                <wp:positionV relativeFrom="paragraph">
                  <wp:posOffset>1161512</wp:posOffset>
                </wp:positionV>
                <wp:extent cx="3945242" cy="12111"/>
                <wp:effectExtent l="0" t="0" r="36830" b="26035"/>
                <wp:wrapNone/>
                <wp:docPr id="2" name="Straight Connector 2"/>
                <wp:cNvGraphicFramePr/>
                <a:graphic xmlns:a="http://schemas.openxmlformats.org/drawingml/2006/main">
                  <a:graphicData uri="http://schemas.microsoft.com/office/word/2010/wordprocessingShape">
                    <wps:wsp>
                      <wps:cNvCnPr/>
                      <wps:spPr>
                        <a:xfrm flipV="1">
                          <a:off x="0" y="0"/>
                          <a:ext cx="3945242" cy="12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851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65pt,91.45pt" to="426.3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" strokecolor="black [3213]"/>
            </w:pict>
          </mc:Fallback>
        </mc:AlternateContent>
      </w:r>
      <w:r w:rsidR="009B2DF2" w:rsidRPr="006713E3">
        <w:rPr>
          <w:b/>
        </w:rPr>
        <w:t xml:space="preserve">        </w:t>
      </w:r>
      <w:r w:rsidR="00394C9F" w:rsidRPr="006713E3">
        <w:rPr>
          <w:noProof/>
          <w:lang w:eastAsia="en-GB"/>
        </w:rPr>
        <w:drawing>
          <wp:inline distT="0" distB="0" distL="0" distR="0" wp14:anchorId="672F7B2E" wp14:editId="23958049">
            <wp:extent cx="1560647" cy="2169034"/>
            <wp:effectExtent l="0" t="0" r="1905" b="3175"/>
            <wp:docPr id="13" name="Image 13" descr="C:\Users\fbendjellal\AppData\Local\Microsoft\Windows\INetCache\Content.Outlook\LW62YJH6\190911_Smart Kid Belt_01_posit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endjellal\AppData\Local\Microsoft\Windows\INetCache\Content.Outlook\LW62YJH6\190911_Smart Kid Belt_01_positon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924" cy="2194436"/>
                    </a:xfrm>
                    <a:prstGeom prst="rect">
                      <a:avLst/>
                    </a:prstGeom>
                    <a:noFill/>
                    <a:ln>
                      <a:noFill/>
                    </a:ln>
                  </pic:spPr>
                </pic:pic>
              </a:graphicData>
            </a:graphic>
          </wp:inline>
        </w:drawing>
      </w:r>
      <w:r w:rsidR="00394C9F" w:rsidRPr="006713E3">
        <w:rPr>
          <w:b/>
        </w:rPr>
        <w:t xml:space="preserve"> </w:t>
      </w:r>
      <w:r w:rsidRPr="006713E3">
        <w:rPr>
          <w:b/>
        </w:rPr>
        <w:t xml:space="preserve">    </w:t>
      </w:r>
      <w:r w:rsidR="00394C9F" w:rsidRPr="006713E3">
        <w:rPr>
          <w:noProof/>
          <w:lang w:eastAsia="en-GB"/>
        </w:rPr>
        <w:drawing>
          <wp:inline distT="0" distB="0" distL="0" distR="0" wp14:anchorId="39672B90" wp14:editId="45FF123F">
            <wp:extent cx="1654175" cy="1677035"/>
            <wp:effectExtent l="0" t="0" r="317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81"/>
                    <a:stretch/>
                  </pic:blipFill>
                  <pic:spPr bwMode="auto">
                    <a:xfrm>
                      <a:off x="0" y="0"/>
                      <a:ext cx="1654175" cy="1677035"/>
                    </a:xfrm>
                    <a:prstGeom prst="rect">
                      <a:avLst/>
                    </a:prstGeom>
                    <a:noFill/>
                    <a:ln>
                      <a:noFill/>
                    </a:ln>
                    <a:extLst>
                      <a:ext uri="{53640926-AAD7-44D8-BBD7-CCE9431645EC}">
                        <a14:shadowObscured xmlns:a14="http://schemas.microsoft.com/office/drawing/2010/main"/>
                      </a:ext>
                    </a:extLst>
                  </pic:spPr>
                </pic:pic>
              </a:graphicData>
            </a:graphic>
          </wp:inline>
        </w:drawing>
      </w:r>
      <w:r w:rsidR="009B2DF2" w:rsidRPr="006713E3">
        <w:rPr>
          <w:b/>
        </w:rPr>
        <w:t xml:space="preserve">        </w:t>
      </w:r>
    </w:p>
    <w:p w:rsidR="0002596C" w:rsidRPr="00394C9F" w:rsidRDefault="00394C9F" w:rsidP="00394C9F">
      <w:pPr>
        <w:autoSpaceDE w:val="0"/>
        <w:autoSpaceDN w:val="0"/>
        <w:adjustRightInd w:val="0"/>
        <w:spacing w:before="120" w:after="120"/>
        <w:ind w:left="2268" w:right="1134"/>
        <w:jc w:val="both"/>
        <w:rPr>
          <w:bCs/>
        </w:rPr>
      </w:pPr>
      <w:r w:rsidRPr="00343887">
        <w:rPr>
          <w:bCs/>
          <w:strike/>
        </w:rPr>
        <w:t>It also concerns sitting devices that are unusable by a child unless they are properly inflated</w:t>
      </w:r>
      <w:r w:rsidRPr="0006004D">
        <w:rPr>
          <w:bCs/>
          <w:strike/>
        </w:rPr>
        <w:t xml:space="preserve"> or other compact sitting devices that attempt to guide the lap belt portion by keeping it down or forward, just above the seat cushion, rather than to significantly elevate the child in relation to the vehicle’s normal seating position and the corresponding adult safety belt effective lower anchorages</w:t>
      </w:r>
      <w:r w:rsidR="00343887" w:rsidRPr="0040453F">
        <w:rPr>
          <w:bCs/>
          <w:strike/>
        </w:rPr>
        <w:t>.</w:t>
      </w:r>
      <w:r w:rsidRPr="0040453F">
        <w:rPr>
          <w:bCs/>
          <w:strike/>
        </w:rPr>
        <w:t>"</w:t>
      </w:r>
    </w:p>
    <w:p w:rsidR="00394C9F" w:rsidRDefault="00394C9F" w:rsidP="00AC25BA">
      <w:pPr>
        <w:pStyle w:val="SingleTxtG"/>
      </w:pPr>
      <w:r>
        <w:rPr>
          <w:i/>
        </w:rPr>
        <w:br w:type="page"/>
      </w:r>
    </w:p>
    <w:p w:rsidR="0006004D" w:rsidRDefault="0006004D" w:rsidP="0006004D">
      <w:pPr>
        <w:pStyle w:val="SingleTxtG"/>
        <w:rPr>
          <w:i/>
        </w:rPr>
      </w:pPr>
    </w:p>
    <w:p w:rsidR="00553697" w:rsidRPr="00E073B0" w:rsidRDefault="00553697" w:rsidP="00553697">
      <w:pPr>
        <w:pStyle w:val="SingleTxtG"/>
      </w:pPr>
      <w:r w:rsidRPr="00E073B0">
        <w:rPr>
          <w:i/>
        </w:rPr>
        <w:t>Paragraph 6.1.3.</w:t>
      </w:r>
      <w:r w:rsidRPr="00E073B0">
        <w:t>, amend to read:</w:t>
      </w:r>
    </w:p>
    <w:p w:rsidR="00553697" w:rsidRPr="00E073B0" w:rsidRDefault="00553697" w:rsidP="00553697">
      <w:pPr>
        <w:pStyle w:val="para"/>
        <w:rPr>
          <w:lang w:val="en-GB"/>
        </w:rPr>
      </w:pPr>
      <w:r w:rsidRPr="00E073B0">
        <w:rPr>
          <w:lang w:val="en-GB"/>
        </w:rPr>
        <w:t>"6.1.3.</w:t>
      </w:r>
      <w:r w:rsidRPr="00E073B0">
        <w:rPr>
          <w:lang w:val="en-GB"/>
        </w:rPr>
        <w:tab/>
        <w:t>According to the category which it belongs to, the child restraint shall be secured to the vehicle structure or to the seat structure.</w:t>
      </w:r>
    </w:p>
    <w:p w:rsidR="00553697" w:rsidRPr="004064FA" w:rsidRDefault="00553697" w:rsidP="00553697">
      <w:pPr>
        <w:pStyle w:val="Heading1"/>
        <w:spacing w:after="120"/>
      </w:pPr>
      <w:r w:rsidRPr="004064FA">
        <w:rPr>
          <w:sz w:val="24"/>
        </w:rPr>
        <w:t>Possible configurations for approval 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553697" w:rsidRPr="00E073B0" w:rsidTr="00B429ED">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rsidR="00553697" w:rsidRPr="00BB7BB2" w:rsidRDefault="00553697" w:rsidP="00B429ED">
            <w:pPr>
              <w:suppressAutoHyphens w:val="0"/>
              <w:autoSpaceDE w:val="0"/>
              <w:autoSpaceDN w:val="0"/>
              <w:adjustRightInd w:val="0"/>
              <w:snapToGrid w:val="0"/>
              <w:spacing w:before="80" w:after="80" w:line="200" w:lineRule="exact"/>
              <w:ind w:left="57" w:right="113"/>
              <w:rPr>
                <w:i/>
                <w:sz w:val="16"/>
                <w:szCs w:val="16"/>
              </w:rPr>
            </w:pPr>
            <w:r w:rsidRPr="00BB7BB2">
              <w:rPr>
                <w:i/>
                <w:sz w:val="16"/>
                <w:szCs w:val="16"/>
              </w:rPr>
              <w:t>Group category</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rsidR="00553697" w:rsidRPr="00E073B0" w:rsidRDefault="00553697" w:rsidP="00B429ED">
            <w:pPr>
              <w:suppressAutoHyphens w:val="0"/>
              <w:autoSpaceDE w:val="0"/>
              <w:autoSpaceDN w:val="0"/>
              <w:adjustRightInd w:val="0"/>
              <w:snapToGrid w:val="0"/>
              <w:spacing w:before="80" w:after="80" w:line="200" w:lineRule="exact"/>
              <w:ind w:left="57" w:right="57"/>
              <w:rPr>
                <w:i/>
                <w:spacing w:val="-2"/>
                <w:sz w:val="16"/>
                <w:szCs w:val="16"/>
              </w:rPr>
            </w:pPr>
            <w:r w:rsidRPr="00E073B0">
              <w:rPr>
                <w:i/>
                <w:spacing w:val="-2"/>
                <w:sz w:val="16"/>
                <w:szCs w:val="16"/>
              </w:rPr>
              <w:t>Semi-universal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Restricted</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Specific vehicle</w:t>
            </w:r>
          </w:p>
        </w:tc>
      </w:tr>
      <w:tr w:rsidR="00553697" w:rsidRPr="00E073B0" w:rsidTr="00981FFE">
        <w:trPr>
          <w:cantSplit/>
          <w:tblHeader/>
        </w:trPr>
        <w:tc>
          <w:tcPr>
            <w:tcW w:w="2360" w:type="dxa"/>
            <w:gridSpan w:val="2"/>
            <w:vMerge/>
            <w:tcBorders>
              <w:top w:val="single" w:sz="2" w:space="0" w:color="auto"/>
              <w:left w:val="single" w:sz="2" w:space="0" w:color="auto"/>
              <w:bottom w:val="single" w:sz="12" w:space="0" w:color="auto"/>
              <w:right w:val="single" w:sz="2" w:space="0" w:color="auto"/>
            </w:tcBorders>
            <w:vAlign w:val="center"/>
            <w:hideMark/>
          </w:tcPr>
          <w:p w:rsidR="00553697" w:rsidRPr="00E073B0" w:rsidRDefault="00553697" w:rsidP="00B429ED">
            <w:pPr>
              <w:suppressAutoHyphens w:val="0"/>
              <w:snapToGrid w:val="0"/>
              <w:spacing w:before="80" w:after="80" w:line="200" w:lineRule="exact"/>
              <w:rPr>
                <w:i/>
                <w:sz w:val="16"/>
                <w:szCs w:val="16"/>
              </w:rPr>
            </w:pPr>
          </w:p>
        </w:tc>
        <w:tc>
          <w:tcPr>
            <w:tcW w:w="524"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rsidR="00553697" w:rsidRPr="00E073B0" w:rsidRDefault="00553697" w:rsidP="00B429ED">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r>
      <w:tr w:rsidR="00553697" w:rsidRPr="00E073B0" w:rsidTr="00981FFE">
        <w:trPr>
          <w:trHeight w:hRule="exact" w:val="400"/>
        </w:trPr>
        <w:tc>
          <w:tcPr>
            <w:tcW w:w="348" w:type="dxa"/>
            <w:vMerge w:val="restart"/>
            <w:tcBorders>
              <w:top w:val="single" w:sz="12" w:space="0" w:color="auto"/>
              <w:left w:val="single" w:sz="2" w:space="0" w:color="auto"/>
              <w:bottom w:val="single" w:sz="2" w:space="0" w:color="auto"/>
              <w:right w:val="single" w:sz="4" w:space="0" w:color="auto"/>
            </w:tcBorders>
            <w:vAlign w:val="center"/>
            <w:hideMark/>
          </w:tcPr>
          <w:p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0</w:t>
            </w:r>
          </w:p>
        </w:tc>
        <w:tc>
          <w:tcPr>
            <w:tcW w:w="2012"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Carry-cot</w:t>
            </w:r>
          </w:p>
        </w:tc>
        <w:tc>
          <w:tcPr>
            <w:tcW w:w="524"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524"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4" w:space="0" w:color="auto"/>
              <w:left w:val="single" w:sz="4" w:space="0" w:color="auto"/>
              <w:bottom w:val="single" w:sz="4" w:space="0" w:color="auto"/>
              <w:right w:val="single" w:sz="4"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981FFE">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rPr>
            </w:pPr>
          </w:p>
        </w:tc>
        <w:tc>
          <w:tcPr>
            <w:tcW w:w="2012"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p>
        </w:tc>
        <w:tc>
          <w:tcPr>
            <w:tcW w:w="524"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c>
          <w:tcPr>
            <w:tcW w:w="524"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pacing w:before="40" w:after="40" w:line="220" w:lineRule="exact"/>
              <w:ind w:left="57" w:right="57"/>
              <w:rPr>
                <w:sz w:val="18"/>
                <w:szCs w:val="18"/>
              </w:rPr>
            </w:pPr>
          </w:p>
        </w:tc>
        <w:tc>
          <w:tcPr>
            <w:tcW w:w="1010" w:type="dxa"/>
            <w:tcBorders>
              <w:top w:val="single" w:sz="4" w:space="0" w:color="auto"/>
              <w:left w:val="single" w:sz="2" w:space="0" w:color="auto"/>
              <w:bottom w:val="single" w:sz="2" w:space="0" w:color="auto"/>
              <w:right w:val="single" w:sz="2" w:space="0" w:color="auto"/>
            </w:tcBorders>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p>
        </w:tc>
      </w:tr>
      <w:tr w:rsidR="00553697" w:rsidRPr="00E073B0" w:rsidTr="00B429ED">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 (3)</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0+</w:t>
            </w: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autoSpaceDE w:val="0"/>
              <w:autoSpaceDN w:val="0"/>
              <w:adjustRightInd w:val="0"/>
              <w:spacing w:before="40" w:after="40" w:line="220" w:lineRule="exact"/>
              <w:ind w:right="113"/>
              <w:jc w:val="center"/>
              <w:rPr>
                <w:sz w:val="18"/>
                <w:szCs w:val="18"/>
              </w:rPr>
            </w:pPr>
            <w:r w:rsidRPr="004E3561">
              <w:rPr>
                <w:sz w:val="18"/>
                <w:szCs w:val="18"/>
              </w:rPr>
              <w:t>I</w:t>
            </w: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r>
      <w:tr w:rsidR="00553697" w:rsidRPr="00E073B0"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autoSpaceDE w:val="0"/>
              <w:autoSpaceDN w:val="0"/>
              <w:adjustRightInd w:val="0"/>
              <w:spacing w:before="40" w:after="40" w:line="220" w:lineRule="exact"/>
              <w:ind w:right="113"/>
              <w:jc w:val="center"/>
              <w:rPr>
                <w:sz w:val="18"/>
                <w:szCs w:val="18"/>
                <w:u w:val="single"/>
              </w:rPr>
            </w:pPr>
            <w:r w:rsidRPr="004E3561">
              <w:rPr>
                <w:sz w:val="18"/>
                <w:szCs w:val="18"/>
              </w:rPr>
              <w:t>II</w:t>
            </w: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right="57"/>
              <w:rPr>
                <w:sz w:val="18"/>
                <w:szCs w:val="18"/>
              </w:rPr>
            </w:pPr>
            <w:r w:rsidRPr="004E3561">
              <w:rPr>
                <w:sz w:val="18"/>
                <w:szCs w:val="18"/>
              </w:rPr>
              <w:t xml:space="preserve"> 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r>
      <w:tr w:rsidR="00553697" w:rsidRPr="00E073B0"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br/>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r>
      <w:tr w:rsidR="00553697" w:rsidRPr="00E073B0"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r>
      <w:tr w:rsidR="00553697" w:rsidRPr="00E073B0" w:rsidTr="00B429ED">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autoSpaceDE w:val="0"/>
              <w:autoSpaceDN w:val="0"/>
              <w:adjustRightInd w:val="0"/>
              <w:spacing w:before="40" w:after="40" w:line="220" w:lineRule="exact"/>
              <w:ind w:right="113"/>
              <w:jc w:val="center"/>
              <w:rPr>
                <w:b/>
                <w:bCs/>
                <w:sz w:val="18"/>
                <w:szCs w:val="18"/>
                <w:u w:val="single"/>
              </w:rPr>
            </w:pPr>
            <w:r w:rsidRPr="004E3561">
              <w:rPr>
                <w:sz w:val="18"/>
                <w:szCs w:val="18"/>
              </w:rPr>
              <w:t>III</w:t>
            </w: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r>
      <w:tr w:rsidR="00553697" w:rsidRPr="00E073B0"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113" w:right="113"/>
              <w:rPr>
                <w:sz w:val="18"/>
                <w:szCs w:val="18"/>
              </w:rPr>
            </w:pPr>
            <w:r w:rsidRPr="004E3561">
              <w:rPr>
                <w:sz w:val="18"/>
                <w:szCs w:val="18"/>
              </w:rPr>
              <w:t>Forward facing</w:t>
            </w:r>
            <w:r>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uppressAutoHyphens w:val="0"/>
              <w:autoSpaceDE w:val="0"/>
              <w:autoSpaceDN w:val="0"/>
              <w:adjustRightInd w:val="0"/>
              <w:spacing w:before="40" w:after="4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4E3561" w:rsidRDefault="00553697" w:rsidP="00981FFE">
            <w:pPr>
              <w:spacing w:before="40" w:after="40" w:line="220" w:lineRule="exact"/>
              <w:ind w:left="57" w:right="57"/>
              <w:rPr>
                <w:sz w:val="18"/>
                <w:szCs w:val="18"/>
              </w:rPr>
            </w:pPr>
            <w:r w:rsidRPr="004E3561">
              <w:rPr>
                <w:sz w:val="18"/>
                <w:szCs w:val="18"/>
              </w:rPr>
              <w:t>A(3)</w:t>
            </w:r>
          </w:p>
        </w:tc>
      </w:tr>
      <w:tr w:rsidR="00553697" w:rsidRPr="00E073B0" w:rsidTr="00B429ED">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rsidR="00553697" w:rsidRPr="004E3561" w:rsidRDefault="00553697" w:rsidP="00981FFE">
            <w:pPr>
              <w:suppressAutoHyphens w:val="0"/>
              <w:spacing w:before="40" w:after="40" w:line="220" w:lineRule="exact"/>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113" w:right="113"/>
              <w:rPr>
                <w:sz w:val="18"/>
                <w:szCs w:val="18"/>
              </w:rPr>
            </w:pPr>
            <w:r w:rsidRPr="00F60735">
              <w:rPr>
                <w:sz w:val="18"/>
                <w:szCs w:val="18"/>
              </w:rPr>
              <w:t xml:space="preserve">Forward facing </w:t>
            </w:r>
            <w:r w:rsidRPr="00F60735">
              <w:rPr>
                <w:sz w:val="18"/>
                <w:szCs w:val="18"/>
              </w:rPr>
              <w:br/>
              <w:t>(non-integral)</w:t>
            </w:r>
          </w:p>
        </w:tc>
        <w:tc>
          <w:tcPr>
            <w:tcW w:w="524"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rsidR="00553697" w:rsidRPr="00F60735" w:rsidRDefault="00553697" w:rsidP="00981FFE">
            <w:pPr>
              <w:suppressAutoHyphens w:val="0"/>
              <w:autoSpaceDE w:val="0"/>
              <w:autoSpaceDN w:val="0"/>
              <w:adjustRightInd w:val="0"/>
              <w:spacing w:before="40" w:after="40" w:line="220" w:lineRule="exact"/>
              <w:ind w:left="57" w:right="57"/>
              <w:rPr>
                <w:sz w:val="18"/>
                <w:szCs w:val="18"/>
              </w:rPr>
            </w:pPr>
            <w:r w:rsidRPr="00F60735">
              <w:rPr>
                <w:sz w:val="18"/>
                <w:szCs w:val="18"/>
              </w:rPr>
              <w:t>A(3)</w:t>
            </w:r>
          </w:p>
        </w:tc>
      </w:tr>
      <w:tr w:rsidR="00553697" w:rsidRPr="00E073B0" w:rsidTr="00B429ED">
        <w:trPr>
          <w:trHeight w:val="465"/>
        </w:trPr>
        <w:tc>
          <w:tcPr>
            <w:tcW w:w="8496" w:type="dxa"/>
            <w:gridSpan w:val="10"/>
            <w:tcBorders>
              <w:top w:val="single" w:sz="2" w:space="0" w:color="auto"/>
              <w:left w:val="single" w:sz="2" w:space="0" w:color="auto"/>
              <w:bottom w:val="single" w:sz="2" w:space="0" w:color="auto"/>
              <w:right w:val="single" w:sz="2" w:space="0" w:color="auto"/>
            </w:tcBorders>
          </w:tcPr>
          <w:p w:rsidR="00553697" w:rsidRPr="004E3561" w:rsidRDefault="00553697" w:rsidP="00B429ED">
            <w:pPr>
              <w:widowControl w:val="0"/>
              <w:suppressAutoHyphens w:val="0"/>
              <w:autoSpaceDE w:val="0"/>
              <w:autoSpaceDN w:val="0"/>
              <w:adjustRightInd w:val="0"/>
              <w:spacing w:before="40" w:line="240" w:lineRule="auto"/>
              <w:ind w:left="113" w:right="113"/>
              <w:rPr>
                <w:i/>
                <w:sz w:val="18"/>
                <w:szCs w:val="18"/>
              </w:rPr>
            </w:pPr>
            <w:r w:rsidRPr="004E3561">
              <w:rPr>
                <w:i/>
                <w:sz w:val="18"/>
                <w:szCs w:val="18"/>
              </w:rPr>
              <w:t xml:space="preserve">With: </w:t>
            </w:r>
          </w:p>
          <w:p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CRS: </w:t>
            </w:r>
            <w:r w:rsidRPr="00E073B0">
              <w:rPr>
                <w:sz w:val="18"/>
                <w:szCs w:val="18"/>
              </w:rPr>
              <w:tab/>
              <w:t>Child restraint system</w:t>
            </w:r>
          </w:p>
          <w:p w:rsidR="00553697" w:rsidRPr="00E073B0" w:rsidRDefault="00553697" w:rsidP="00B429ED">
            <w:pPr>
              <w:widowControl w:val="0"/>
              <w:suppressAutoHyphens w:val="0"/>
              <w:autoSpaceDE w:val="0"/>
              <w:autoSpaceDN w:val="0"/>
              <w:adjustRightInd w:val="0"/>
              <w:spacing w:line="240" w:lineRule="auto"/>
              <w:ind w:left="113" w:right="283"/>
              <w:rPr>
                <w:sz w:val="18"/>
                <w:szCs w:val="18"/>
              </w:rPr>
            </w:pPr>
            <w:r w:rsidRPr="00E073B0">
              <w:rPr>
                <w:sz w:val="18"/>
                <w:szCs w:val="18"/>
              </w:rPr>
              <w:t xml:space="preserve">A: </w:t>
            </w:r>
            <w:r w:rsidRPr="00E073B0">
              <w:rPr>
                <w:sz w:val="18"/>
                <w:szCs w:val="18"/>
              </w:rPr>
              <w:tab/>
              <w:t>Applicable</w:t>
            </w:r>
          </w:p>
          <w:p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NA: </w:t>
            </w:r>
            <w:r w:rsidRPr="00E073B0">
              <w:rPr>
                <w:sz w:val="18"/>
                <w:szCs w:val="18"/>
              </w:rPr>
              <w:tab/>
              <w:t>Not Applicable</w:t>
            </w:r>
          </w:p>
          <w:p w:rsidR="00553697" w:rsidRPr="00E073B0" w:rsidRDefault="00553697" w:rsidP="00B429ED">
            <w:pPr>
              <w:widowControl w:val="0"/>
              <w:suppressAutoHyphens w:val="0"/>
              <w:autoSpaceDE w:val="0"/>
              <w:autoSpaceDN w:val="0"/>
              <w:adjustRightInd w:val="0"/>
              <w:spacing w:line="240" w:lineRule="auto"/>
              <w:ind w:left="113" w:right="113"/>
              <w:rPr>
                <w:sz w:val="18"/>
                <w:szCs w:val="18"/>
              </w:rPr>
            </w:pPr>
            <w:r w:rsidRPr="00E073B0">
              <w:rPr>
                <w:sz w:val="18"/>
                <w:szCs w:val="18"/>
              </w:rPr>
              <w:t>______________________</w:t>
            </w:r>
          </w:p>
          <w:p w:rsidR="00553697" w:rsidRPr="00E073B0" w:rsidRDefault="00553697" w:rsidP="00B429ED">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(1)</w:t>
            </w:r>
            <w:r w:rsidRPr="00E073B0">
              <w:rPr>
                <w:sz w:val="18"/>
                <w:szCs w:val="18"/>
              </w:rPr>
              <w:tab/>
              <w:t>ISOFIX universal CRS means forward facing restraints for use in vehicles with positions equipped with ISOFIX anchorages system and a top tether anchorage.</w:t>
            </w:r>
          </w:p>
          <w:p w:rsidR="00553697" w:rsidRPr="00E073B0" w:rsidRDefault="00553697" w:rsidP="00B429ED">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(2)</w:t>
            </w:r>
            <w:r w:rsidRPr="00E073B0">
              <w:rPr>
                <w:sz w:val="18"/>
                <w:szCs w:val="18"/>
              </w:rPr>
              <w:tab/>
              <w:t>ISOFIX semi universal CRS means:</w:t>
            </w:r>
          </w:p>
          <w:p w:rsidR="00553697" w:rsidRPr="00E073B0" w:rsidRDefault="00553697" w:rsidP="00AD38AA">
            <w:pPr>
              <w:widowControl w:val="0"/>
              <w:suppressAutoHyphens w:val="0"/>
              <w:autoSpaceDE w:val="0"/>
              <w:autoSpaceDN w:val="0"/>
              <w:adjustRightInd w:val="0"/>
              <w:spacing w:line="240" w:lineRule="auto"/>
              <w:ind w:left="844" w:right="113" w:hanging="284"/>
              <w:rPr>
                <w:sz w:val="18"/>
                <w:szCs w:val="18"/>
              </w:rPr>
            </w:pPr>
            <w:r w:rsidRPr="00E073B0">
              <w:rPr>
                <w:rFonts w:ascii="Symbol" w:hAnsi="Symbol"/>
                <w:sz w:val="18"/>
                <w:szCs w:val="18"/>
              </w:rPr>
              <w:t></w:t>
            </w:r>
            <w:r w:rsidRPr="00E073B0">
              <w:rPr>
                <w:rFonts w:ascii="Symbol" w:hAnsi="Symbol"/>
                <w:sz w:val="18"/>
                <w:szCs w:val="18"/>
              </w:rPr>
              <w:tab/>
            </w:r>
            <w:r w:rsidRPr="00E073B0">
              <w:rPr>
                <w:sz w:val="18"/>
                <w:szCs w:val="18"/>
              </w:rPr>
              <w:t xml:space="preserve">Forward facing restraints equipped with support leg or </w:t>
            </w:r>
          </w:p>
          <w:p w:rsidR="00553697" w:rsidRPr="00E073B0" w:rsidRDefault="00553697" w:rsidP="00AD38AA">
            <w:pPr>
              <w:widowControl w:val="0"/>
              <w:tabs>
                <w:tab w:val="left" w:pos="284"/>
              </w:tabs>
              <w:suppressAutoHyphens w:val="0"/>
              <w:autoSpaceDE w:val="0"/>
              <w:autoSpaceDN w:val="0"/>
              <w:adjustRightInd w:val="0"/>
              <w:spacing w:line="240" w:lineRule="auto"/>
              <w:ind w:left="844" w:right="113" w:hanging="284"/>
              <w:rPr>
                <w:spacing w:val="-2"/>
                <w:sz w:val="18"/>
                <w:szCs w:val="18"/>
              </w:rPr>
            </w:pPr>
            <w:r w:rsidRPr="00E073B0">
              <w:rPr>
                <w:rFonts w:ascii="Symbol" w:hAnsi="Symbol"/>
                <w:spacing w:val="-2"/>
                <w:sz w:val="18"/>
                <w:szCs w:val="18"/>
              </w:rPr>
              <w:t></w:t>
            </w:r>
            <w:r w:rsidRPr="00E073B0">
              <w:rPr>
                <w:rFonts w:ascii="Symbol" w:hAnsi="Symbol"/>
                <w:spacing w:val="-2"/>
                <w:sz w:val="18"/>
                <w:szCs w:val="18"/>
              </w:rPr>
              <w:tab/>
            </w:r>
            <w:r w:rsidRPr="00E073B0">
              <w:rPr>
                <w:spacing w:val="-2"/>
                <w:sz w:val="18"/>
                <w:szCs w:val="18"/>
              </w:rPr>
              <w:t>Rearward facing restraints equipped with a support leg or a top tether strap for use in vehicles with positions equipped with ISOFIX anchorages system and a top tether anchorage if needed</w:t>
            </w:r>
          </w:p>
          <w:p w:rsidR="00553697" w:rsidRPr="004E3561" w:rsidRDefault="00553697" w:rsidP="00AD38AA">
            <w:pPr>
              <w:widowControl w:val="0"/>
              <w:tabs>
                <w:tab w:val="left" w:pos="284"/>
              </w:tabs>
              <w:suppressAutoHyphens w:val="0"/>
              <w:autoSpaceDE w:val="0"/>
              <w:autoSpaceDN w:val="0"/>
              <w:adjustRightInd w:val="0"/>
              <w:spacing w:line="240" w:lineRule="auto"/>
              <w:ind w:left="844" w:right="113" w:hanging="284"/>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 xml:space="preserve">Or rearward facing restraints, supported by the vehicle dashboard, for use in the front passenger seat equipped with ISOFIX anchorages system, </w:t>
            </w:r>
          </w:p>
          <w:p w:rsidR="00553697" w:rsidRPr="004E3561" w:rsidRDefault="00553697" w:rsidP="00AD38AA">
            <w:pPr>
              <w:widowControl w:val="0"/>
              <w:tabs>
                <w:tab w:val="left" w:pos="284"/>
              </w:tabs>
              <w:suppressAutoHyphens w:val="0"/>
              <w:autoSpaceDE w:val="0"/>
              <w:autoSpaceDN w:val="0"/>
              <w:adjustRightInd w:val="0"/>
              <w:spacing w:line="240" w:lineRule="auto"/>
              <w:ind w:left="844" w:hanging="284"/>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 xml:space="preserve">Or </w:t>
            </w:r>
            <w:r w:rsidRPr="004E3561">
              <w:rPr>
                <w:sz w:val="18"/>
                <w:szCs w:val="18"/>
              </w:rPr>
              <w:t>lateral facing position restraint equipped if needed with an anti-rotation device for use in vehicles with positions equipped with ISOFIX anchorages system and top tether anchorage if needed.</w:t>
            </w:r>
          </w:p>
          <w:p w:rsidR="00553697" w:rsidRPr="00BB7BB2" w:rsidRDefault="00553697" w:rsidP="00AD38AA">
            <w:pPr>
              <w:widowControl w:val="0"/>
              <w:tabs>
                <w:tab w:val="left" w:pos="284"/>
              </w:tabs>
              <w:suppressAutoHyphens w:val="0"/>
              <w:autoSpaceDE w:val="0"/>
              <w:autoSpaceDN w:val="0"/>
              <w:adjustRightInd w:val="0"/>
              <w:spacing w:line="240" w:lineRule="auto"/>
              <w:ind w:left="567" w:hanging="7"/>
              <w:rPr>
                <w:sz w:val="18"/>
                <w:szCs w:val="18"/>
              </w:rPr>
            </w:pPr>
            <w:r w:rsidRPr="00BB7BB2">
              <w:rPr>
                <w:sz w:val="18"/>
                <w:szCs w:val="18"/>
                <w:vertAlign w:val="superscript"/>
              </w:rPr>
              <w:t>…</w:t>
            </w:r>
          </w:p>
          <w:p w:rsidR="00553697" w:rsidRPr="00E073B0" w:rsidRDefault="00553697" w:rsidP="006578F6">
            <w:pPr>
              <w:widowControl w:val="0"/>
              <w:suppressAutoHyphens w:val="0"/>
              <w:autoSpaceDE w:val="0"/>
              <w:autoSpaceDN w:val="0"/>
              <w:adjustRightInd w:val="0"/>
              <w:spacing w:after="120" w:line="240" w:lineRule="auto"/>
              <w:ind w:left="142"/>
              <w:rPr>
                <w:b/>
                <w:sz w:val="18"/>
                <w:szCs w:val="18"/>
              </w:rPr>
            </w:pPr>
            <w:r w:rsidRPr="00AD38AA">
              <w:rPr>
                <w:bCs/>
                <w:sz w:val="18"/>
                <w:szCs w:val="18"/>
                <w:vertAlign w:val="superscript"/>
              </w:rPr>
              <w:t>(3)</w:t>
            </w:r>
            <w:r w:rsidRPr="00E073B0">
              <w:rPr>
                <w:b/>
                <w:sz w:val="18"/>
                <w:szCs w:val="18"/>
              </w:rPr>
              <w:tab/>
            </w:r>
            <w:r w:rsidRPr="00E073B0">
              <w:rPr>
                <w:sz w:val="18"/>
                <w:szCs w:val="18"/>
              </w:rPr>
              <w:t>New approvals and extensions will be granted in accordance with paragraphs 17.</w:t>
            </w:r>
            <w:r w:rsidRPr="008E2D8C">
              <w:rPr>
                <w:sz w:val="18"/>
                <w:szCs w:val="18"/>
              </w:rPr>
              <w:t>16 to 17.23.</w:t>
            </w:r>
          </w:p>
        </w:tc>
      </w:tr>
    </w:tbl>
    <w:p w:rsidR="00394C9F" w:rsidRPr="006578F6" w:rsidRDefault="006578F6" w:rsidP="006578F6">
      <w:pPr>
        <w:pStyle w:val="para"/>
        <w:jc w:val="right"/>
        <w:rPr>
          <w:lang w:val="en-GB"/>
        </w:rPr>
      </w:pPr>
      <w:r w:rsidRPr="00E073B0">
        <w:rPr>
          <w:lang w:val="en-GB"/>
        </w:rPr>
        <w:t>"</w:t>
      </w:r>
    </w:p>
    <w:p w:rsidR="0002596C" w:rsidRPr="006432F9" w:rsidRDefault="0002596C" w:rsidP="0002596C">
      <w:pPr>
        <w:autoSpaceDE w:val="0"/>
        <w:autoSpaceDN w:val="0"/>
        <w:adjustRightInd w:val="0"/>
        <w:spacing w:before="240"/>
        <w:ind w:left="2268" w:right="1134" w:hanging="1134"/>
        <w:jc w:val="both"/>
        <w:rPr>
          <w:strike/>
        </w:rPr>
      </w:pPr>
      <w:r w:rsidRPr="006432F9">
        <w:rPr>
          <w:i/>
          <w:strike/>
        </w:rPr>
        <w:t>Amend paragraph 17.15.</w:t>
      </w:r>
      <w:r w:rsidRPr="006432F9">
        <w:rPr>
          <w:strike/>
        </w:rPr>
        <w:t>, to read:</w:t>
      </w:r>
    </w:p>
    <w:p w:rsidR="0002596C" w:rsidRPr="00394C9F" w:rsidRDefault="0002596C" w:rsidP="0002596C">
      <w:pPr>
        <w:spacing w:before="120" w:after="120" w:line="240" w:lineRule="auto"/>
        <w:ind w:left="2262" w:right="1134" w:hanging="1128"/>
        <w:jc w:val="both"/>
        <w:rPr>
          <w:bCs/>
        </w:rPr>
      </w:pPr>
      <w:r w:rsidRPr="006432F9">
        <w:rPr>
          <w:strike/>
        </w:rPr>
        <w:lastRenderedPageBreak/>
        <w:t xml:space="preserve">"17.15. </w:t>
      </w:r>
      <w:r w:rsidRPr="006432F9">
        <w:rPr>
          <w:strike/>
        </w:rPr>
        <w:tab/>
      </w:r>
      <w:r w:rsidRPr="006432F9">
        <w:rPr>
          <w:bCs/>
          <w:strike/>
        </w:rPr>
        <w:t>As from the official date of entry into force of Supplement 18 to the 04 series of Amendments of this Regulation, Contracting Parties applying this Regulation may prohibit the placing on the market of non-compliant devices and child restraint systems which do not meet the requirements of the 04 series of Amendments of this Regulation."</w:t>
      </w:r>
    </w:p>
    <w:p w:rsidR="00553697" w:rsidRPr="00AD38AA" w:rsidRDefault="00553697" w:rsidP="00553697">
      <w:pPr>
        <w:pStyle w:val="para"/>
        <w:rPr>
          <w:lang w:val="en-GB"/>
        </w:rPr>
      </w:pPr>
      <w:r w:rsidRPr="00AD38AA">
        <w:rPr>
          <w:i/>
          <w:lang w:val="en-GB"/>
        </w:rPr>
        <w:t>Insert new paragraphs 17.22. to 17.25.</w:t>
      </w:r>
      <w:r w:rsidRPr="00AD38AA">
        <w:rPr>
          <w:lang w:val="en-GB"/>
        </w:rPr>
        <w:t>, to read:</w:t>
      </w:r>
    </w:p>
    <w:p w:rsidR="00553697" w:rsidRPr="001F577A" w:rsidRDefault="00553697" w:rsidP="00553697">
      <w:pPr>
        <w:pStyle w:val="SingleTxtG"/>
        <w:ind w:left="2268" w:hanging="1134"/>
      </w:pPr>
      <w:r w:rsidRPr="001F577A">
        <w:t xml:space="preserve">"17.22. </w:t>
      </w:r>
      <w:r w:rsidRPr="001F577A">
        <w:tab/>
        <w:t>As from 1 September 2021, Contracting Parties applying this Regulation shall not be obliged to accept type approvals issued according to this Regulation, first issued after 1 September 2021.</w:t>
      </w:r>
    </w:p>
    <w:p w:rsidR="00553697" w:rsidRPr="001F577A" w:rsidRDefault="00553697" w:rsidP="00553697">
      <w:pPr>
        <w:pStyle w:val="SingleTxtG"/>
        <w:ind w:left="2268" w:hanging="1134"/>
      </w:pPr>
      <w:r w:rsidRPr="001F577A">
        <w:t xml:space="preserve">17.23. </w:t>
      </w:r>
      <w:r w:rsidRPr="001F577A">
        <w:tab/>
        <w:t>Until 1 September 2023, Contracting Parties applying this Regulation shall accept type approvals issued according to the 04 series of amendments to this Regulation, first issued before 1 September 2021.</w:t>
      </w:r>
    </w:p>
    <w:p w:rsidR="00553697" w:rsidRPr="001F577A" w:rsidRDefault="00553697" w:rsidP="00553697">
      <w:pPr>
        <w:pStyle w:val="SingleTxtG"/>
        <w:ind w:left="2268" w:hanging="1134"/>
      </w:pPr>
      <w:r w:rsidRPr="001F577A">
        <w:t xml:space="preserve">17.24. </w:t>
      </w:r>
      <w:r w:rsidRPr="001F577A">
        <w:tab/>
        <w:t>As from 1 September 2023, Contracting Parties applying this Regulation shall not be obliged to accept type approvals issued in accordance with this Regulation.</w:t>
      </w:r>
    </w:p>
    <w:p w:rsidR="00553697" w:rsidRDefault="00553697" w:rsidP="00553697">
      <w:pPr>
        <w:pStyle w:val="SingleTxtG"/>
        <w:ind w:left="2268" w:hanging="1134"/>
      </w:pPr>
      <w:r w:rsidRPr="001F577A">
        <w:t xml:space="preserve">17.25. </w:t>
      </w:r>
      <w:r w:rsidRPr="001F577A">
        <w:tab/>
        <w:t>Notwithstanding paragraph</w:t>
      </w:r>
      <w:r w:rsidR="007D0BFE">
        <w:rPr>
          <w:b/>
        </w:rPr>
        <w:t>s 17.22. and</w:t>
      </w:r>
      <w:r w:rsidRPr="001F577A">
        <w:t xml:space="preserve"> 17.24., Contracting Parties applying this Regulation shall continue to accept type approvals of vehicle specific "built in" or specific vehicle "built in" child restraint systems issued according to the 04 series of amendments to this Regulation."</w:t>
      </w:r>
    </w:p>
    <w:p w:rsidR="00F82C46" w:rsidRDefault="00193F14" w:rsidP="00193F14">
      <w:pPr>
        <w:autoSpaceDE w:val="0"/>
        <w:autoSpaceDN w:val="0"/>
        <w:adjustRightInd w:val="0"/>
        <w:spacing w:before="240"/>
        <w:ind w:left="2268" w:right="1134" w:hanging="1134"/>
        <w:jc w:val="both"/>
        <w:rPr>
          <w:b/>
          <w:u w:val="single"/>
        </w:rPr>
      </w:pPr>
      <w:r w:rsidRPr="00193F14">
        <w:rPr>
          <w:b/>
          <w:u w:val="single"/>
        </w:rPr>
        <w:t>JUSTIFICATION</w:t>
      </w:r>
      <w:r>
        <w:rPr>
          <w:b/>
          <w:u w:val="single"/>
        </w:rPr>
        <w:t>:</w:t>
      </w:r>
    </w:p>
    <w:p w:rsidR="00193F14" w:rsidRDefault="00193F14" w:rsidP="00F82C46">
      <w:pPr>
        <w:pStyle w:val="SingleTxtG"/>
      </w:pPr>
    </w:p>
    <w:p w:rsidR="00E41DE0" w:rsidRDefault="00E41DE0" w:rsidP="00F82C46">
      <w:pPr>
        <w:pStyle w:val="SingleTxtG"/>
      </w:pPr>
      <w:r>
        <w:t>At the last GRSP</w:t>
      </w:r>
      <w:r w:rsidR="00D929D1">
        <w:t xml:space="preserve"> in December 2019</w:t>
      </w:r>
      <w:r>
        <w:t>, t</w:t>
      </w:r>
      <w:r w:rsidR="00F82C46">
        <w:t xml:space="preserve">he </w:t>
      </w:r>
      <w:r>
        <w:t>Commission proposed</w:t>
      </w:r>
      <w:r w:rsidR="00F82C46">
        <w:t xml:space="preserve"> to amend the scope of UN Regulation No 44 (Child restraint systems) </w:t>
      </w:r>
      <w:r>
        <w:t>to clarify that belt guide cannot be approved under Regulation 44 without being part of a child restraints system</w:t>
      </w:r>
      <w:r w:rsidR="00D929D1">
        <w:t xml:space="preserve"> (paragraph 1.2)</w:t>
      </w:r>
      <w:r>
        <w:t xml:space="preserve">. </w:t>
      </w:r>
      <w:r w:rsidR="00D929D1">
        <w:t xml:space="preserve">The amendment </w:t>
      </w:r>
      <w:r w:rsidR="00F82C46">
        <w:t xml:space="preserve">was </w:t>
      </w:r>
      <w:r>
        <w:t xml:space="preserve">agreed by the GRSP and sent to WP.29 together with the proposal from </w:t>
      </w:r>
      <w:r w:rsidR="00485978">
        <w:t>IC/</w:t>
      </w:r>
      <w:r>
        <w:t xml:space="preserve">ANEC on the phase out of the </w:t>
      </w:r>
      <w:r w:rsidR="00D929D1">
        <w:t>R</w:t>
      </w:r>
      <w:r>
        <w:t xml:space="preserve">egulation </w:t>
      </w:r>
      <w:r w:rsidR="00D929D1">
        <w:t xml:space="preserve">No 44 </w:t>
      </w:r>
      <w:r>
        <w:t>(</w:t>
      </w:r>
      <w:r w:rsidRPr="00193F14">
        <w:t>ECE/TRANS/WP.29/GRSP/2019/28</w:t>
      </w:r>
      <w:r>
        <w:t>)</w:t>
      </w:r>
      <w:r w:rsidRPr="00E41DE0">
        <w:t xml:space="preserve"> </w:t>
      </w:r>
      <w:r>
        <w:t>for consideration at its June 2020 session.</w:t>
      </w:r>
    </w:p>
    <w:p w:rsidR="00E41DE0" w:rsidRDefault="00D929D1" w:rsidP="00F82C46">
      <w:pPr>
        <w:pStyle w:val="SingleTxtG"/>
      </w:pPr>
      <w:r>
        <w:t xml:space="preserve">Upon further examination, </w:t>
      </w:r>
      <w:r w:rsidR="00E41DE0">
        <w:t>t</w:t>
      </w:r>
      <w:r w:rsidR="00F82C46">
        <w:t xml:space="preserve">he Commission identified that the text </w:t>
      </w:r>
      <w:r>
        <w:t xml:space="preserve">of the amendment </w:t>
      </w:r>
      <w:r w:rsidR="00F82C46">
        <w:t xml:space="preserve">in paragraph 1.2 </w:t>
      </w:r>
      <w:r w:rsidR="00E41DE0">
        <w:t xml:space="preserve">was not </w:t>
      </w:r>
      <w:r w:rsidR="00F82C46">
        <w:t xml:space="preserve">in line with the </w:t>
      </w:r>
      <w:hyperlink r:id="rId10" w:history="1">
        <w:r w:rsidR="00F82C46" w:rsidRPr="00F82C46">
          <w:t>General Guidelines for UN regulatory procedures and transitional provisions in UN Regulations</w:t>
        </w:r>
      </w:hyperlink>
      <w:r w:rsidR="00F82C46">
        <w:t xml:space="preserve">. </w:t>
      </w:r>
      <w:r w:rsidR="00E41DE0">
        <w:t xml:space="preserve">In reconsidering the </w:t>
      </w:r>
      <w:r>
        <w:t>drafting according to the above Guidelines</w:t>
      </w:r>
      <w:r w:rsidR="00E41DE0">
        <w:t xml:space="preserve">, the Commission concluded that </w:t>
      </w:r>
      <w:r w:rsidRPr="00D929D1">
        <w:rPr>
          <w:i/>
        </w:rPr>
        <w:t xml:space="preserve">de </w:t>
      </w:r>
      <w:r w:rsidR="00341EA7">
        <w:rPr>
          <w:i/>
        </w:rPr>
        <w:t>j</w:t>
      </w:r>
      <w:r w:rsidRPr="00D929D1">
        <w:rPr>
          <w:i/>
        </w:rPr>
        <w:t>ure</w:t>
      </w:r>
      <w:r>
        <w:t xml:space="preserve"> </w:t>
      </w:r>
      <w:r w:rsidR="00E41DE0">
        <w:t xml:space="preserve">the change proposed to paragraph 1.2 </w:t>
      </w:r>
      <w:r>
        <w:t xml:space="preserve">would not imply any changes to </w:t>
      </w:r>
      <w:r w:rsidR="00E41DE0">
        <w:t xml:space="preserve">the current requirements of </w:t>
      </w:r>
      <w:r w:rsidR="00485978">
        <w:t xml:space="preserve">the </w:t>
      </w:r>
      <w:r w:rsidR="00E41DE0">
        <w:t>Regulation</w:t>
      </w:r>
      <w:r>
        <w:t>,</w:t>
      </w:r>
      <w:r w:rsidR="00E41DE0">
        <w:t xml:space="preserve"> in particular that a</w:t>
      </w:r>
      <w:r w:rsidR="00F82C46">
        <w:t xml:space="preserve"> </w:t>
      </w:r>
      <w:r w:rsidR="00F82C46" w:rsidRPr="004502AB">
        <w:t xml:space="preserve">‘guide strap’ </w:t>
      </w:r>
      <w:r w:rsidR="00F82C46">
        <w:t xml:space="preserve">and similar devices </w:t>
      </w:r>
      <w:r w:rsidR="00F82C46" w:rsidRPr="004502AB">
        <w:t xml:space="preserve">cannot be separately approved as a </w:t>
      </w:r>
      <w:r w:rsidR="00F82C46">
        <w:t>c</w:t>
      </w:r>
      <w:r w:rsidR="00F82C46" w:rsidRPr="004502AB">
        <w:t xml:space="preserve">hild </w:t>
      </w:r>
      <w:r w:rsidR="00F82C46">
        <w:t xml:space="preserve">restraint system </w:t>
      </w:r>
      <w:r>
        <w:t xml:space="preserve">already </w:t>
      </w:r>
      <w:r w:rsidR="00F82C46">
        <w:t xml:space="preserve">under </w:t>
      </w:r>
      <w:r>
        <w:t xml:space="preserve">the current wording of </w:t>
      </w:r>
      <w:r w:rsidR="00F82C46" w:rsidRPr="004502AB">
        <w:t>Regulation</w:t>
      </w:r>
      <w:r w:rsidR="00F82C46">
        <w:t xml:space="preserve"> No 44</w:t>
      </w:r>
      <w:r w:rsidR="00193F14">
        <w:t xml:space="preserve"> as </w:t>
      </w:r>
      <w:r>
        <w:t xml:space="preserve">applicable since March 2012 </w:t>
      </w:r>
      <w:r w:rsidR="00B969DE" w:rsidRPr="00B969DE">
        <w:t xml:space="preserve">(Interpretation by </w:t>
      </w:r>
      <w:r w:rsidR="00193F14" w:rsidRPr="00B969DE">
        <w:t xml:space="preserve">GRSP in </w:t>
      </w:r>
      <w:r w:rsidR="00B969DE" w:rsidRPr="00B969DE">
        <w:t xml:space="preserve">December </w:t>
      </w:r>
      <w:r w:rsidR="00193F14" w:rsidRPr="00B969DE">
        <w:t xml:space="preserve">2011 and endorsed by </w:t>
      </w:r>
      <w:hyperlink r:id="rId11" w:history="1">
        <w:r w:rsidR="00193F14" w:rsidRPr="00B969DE">
          <w:t>WP29 at its 156th session of WP.29 of March 2012</w:t>
        </w:r>
      </w:hyperlink>
      <w:r w:rsidR="00B969DE" w:rsidRPr="00B969DE">
        <w:t>)</w:t>
      </w:r>
      <w:r w:rsidR="00193F14">
        <w:t>.</w:t>
      </w:r>
      <w:r w:rsidR="00F82C46">
        <w:t xml:space="preserve"> </w:t>
      </w:r>
    </w:p>
    <w:p w:rsidR="00F82C46" w:rsidRDefault="00D929D1" w:rsidP="00F82C46">
      <w:pPr>
        <w:pStyle w:val="SingleTxtG"/>
      </w:pPr>
      <w:r>
        <w:t xml:space="preserve">For that reason, the Commission </w:t>
      </w:r>
      <w:r w:rsidR="00E41DE0">
        <w:t>propose</w:t>
      </w:r>
      <w:r>
        <w:t>s</w:t>
      </w:r>
      <w:r w:rsidR="00E41DE0">
        <w:t xml:space="preserve"> to withdraw </w:t>
      </w:r>
      <w:r>
        <w:t>its</w:t>
      </w:r>
      <w:r w:rsidR="00E41DE0">
        <w:t xml:space="preserve"> initial </w:t>
      </w:r>
      <w:r>
        <w:t>draft amendment</w:t>
      </w:r>
      <w:r w:rsidR="00E41DE0">
        <w:t xml:space="preserve">. </w:t>
      </w:r>
      <w:r>
        <w:t>T</w:t>
      </w:r>
      <w:r w:rsidR="00E41DE0">
        <w:t xml:space="preserve">he </w:t>
      </w:r>
      <w:r>
        <w:t xml:space="preserve">draft amendment by IC/ANEC regarding </w:t>
      </w:r>
      <w:r w:rsidR="00E41DE0">
        <w:t>the phasing out of the</w:t>
      </w:r>
      <w:r>
        <w:t xml:space="preserve"> R</w:t>
      </w:r>
      <w:r w:rsidR="00E41DE0">
        <w:t xml:space="preserve">egulation </w:t>
      </w:r>
      <w:r>
        <w:t xml:space="preserve">is </w:t>
      </w:r>
      <w:r w:rsidR="00E41DE0">
        <w:t>kept.</w:t>
      </w:r>
    </w:p>
    <w:p w:rsidR="00D929D1" w:rsidRDefault="00D929D1" w:rsidP="00F82C46">
      <w:pPr>
        <w:pStyle w:val="SingleTxtG"/>
      </w:pPr>
      <w:r>
        <w:t xml:space="preserve">The Commission would like to underline that </w:t>
      </w:r>
      <w:r w:rsidR="00485978">
        <w:t>t</w:t>
      </w:r>
      <w:r w:rsidR="00E41DE0">
        <w:t xml:space="preserve">he withdrawal of </w:t>
      </w:r>
      <w:r>
        <w:t xml:space="preserve">its draft amendment </w:t>
      </w:r>
      <w:r w:rsidR="00E41DE0">
        <w:t xml:space="preserve">does not change </w:t>
      </w:r>
      <w:r>
        <w:t xml:space="preserve">its </w:t>
      </w:r>
      <w:r w:rsidR="00485978">
        <w:t xml:space="preserve">understanding of </w:t>
      </w:r>
      <w:r w:rsidR="00C519F8">
        <w:t xml:space="preserve">paragraph 2.8.8. of </w:t>
      </w:r>
      <w:r>
        <w:t>R</w:t>
      </w:r>
      <w:r w:rsidR="00485978">
        <w:t>egulation</w:t>
      </w:r>
      <w:r w:rsidR="00E41DE0">
        <w:t xml:space="preserve"> </w:t>
      </w:r>
      <w:r>
        <w:t xml:space="preserve">44 </w:t>
      </w:r>
      <w:r w:rsidR="00E41DE0">
        <w:t>that approvals granted</w:t>
      </w:r>
      <w:r w:rsidR="00C519F8">
        <w:t xml:space="preserve"> </w:t>
      </w:r>
      <w:r w:rsidR="00E41DE0">
        <w:t>to guide straps that are not part of a child restraints systems are not valid.</w:t>
      </w:r>
      <w:r w:rsidR="00485978">
        <w:t xml:space="preserve"> </w:t>
      </w:r>
    </w:p>
    <w:p w:rsidR="00E41DE0" w:rsidRDefault="00950225" w:rsidP="00F82C46">
      <w:pPr>
        <w:pStyle w:val="SingleTxtG"/>
      </w:pPr>
      <w:r>
        <w:t>Taking into account the above interpretation of the Regulation 44, t</w:t>
      </w:r>
      <w:r w:rsidR="00D929D1">
        <w:t xml:space="preserve">he Commission has </w:t>
      </w:r>
      <w:r>
        <w:t xml:space="preserve">been </w:t>
      </w:r>
      <w:r w:rsidR="00E41DE0">
        <w:t xml:space="preserve">following up at the EU level </w:t>
      </w:r>
      <w:r>
        <w:t xml:space="preserve">cases of </w:t>
      </w:r>
      <w:r w:rsidR="00E41DE0">
        <w:t xml:space="preserve">acceptance of such invalid approvals and </w:t>
      </w:r>
      <w:r>
        <w:t xml:space="preserve">has committed to carry </w:t>
      </w:r>
      <w:r w:rsidR="00E41DE0">
        <w:t xml:space="preserve">out own tests </w:t>
      </w:r>
      <w:r>
        <w:t xml:space="preserve">(by Joint Research Centre) </w:t>
      </w:r>
      <w:r w:rsidR="00E41DE0">
        <w:t xml:space="preserve">to assess </w:t>
      </w:r>
      <w:r w:rsidR="00485978">
        <w:t>the risk raised by such products</w:t>
      </w:r>
      <w:r w:rsidR="00E41DE0">
        <w:t xml:space="preserve"> so that appropriate market restriction measures </w:t>
      </w:r>
      <w:r w:rsidR="00485978">
        <w:t>can be</w:t>
      </w:r>
      <w:r w:rsidR="00E41DE0">
        <w:t xml:space="preserve"> taken</w:t>
      </w:r>
      <w:r w:rsidR="00485978">
        <w:t xml:space="preserve"> if needed</w:t>
      </w:r>
      <w:r w:rsidR="00E41DE0">
        <w:t xml:space="preserve">. </w:t>
      </w:r>
      <w:r>
        <w:t xml:space="preserve">The Commission </w:t>
      </w:r>
      <w:r w:rsidR="00E41DE0">
        <w:t xml:space="preserve">will share more information </w:t>
      </w:r>
      <w:r>
        <w:t xml:space="preserve">regarding </w:t>
      </w:r>
      <w:r w:rsidR="00E41DE0">
        <w:t>these actions</w:t>
      </w:r>
      <w:r>
        <w:t>, including tests results,</w:t>
      </w:r>
      <w:r w:rsidR="00E41DE0">
        <w:t xml:space="preserve"> with GRSP at the next session.</w:t>
      </w:r>
    </w:p>
    <w:p w:rsidR="00800042" w:rsidRPr="00F82C46" w:rsidRDefault="00950225" w:rsidP="00587AF9">
      <w:pPr>
        <w:pStyle w:val="SingleTxtG"/>
      </w:pPr>
      <w:r>
        <w:t xml:space="preserve">The assessment by the Commission of the Regulation 44 and </w:t>
      </w:r>
      <w:r w:rsidR="00E41DE0">
        <w:t>the</w:t>
      </w:r>
      <w:r>
        <w:t xml:space="preserve"> on-going </w:t>
      </w:r>
      <w:r w:rsidR="00E41DE0">
        <w:t>discussion</w:t>
      </w:r>
      <w:r>
        <w:t>s</w:t>
      </w:r>
      <w:r w:rsidR="00E41DE0">
        <w:t xml:space="preserve"> on </w:t>
      </w:r>
      <w:r>
        <w:t xml:space="preserve">its </w:t>
      </w:r>
      <w:r w:rsidR="00E41DE0">
        <w:t xml:space="preserve">scope </w:t>
      </w:r>
      <w:r>
        <w:t xml:space="preserve">in GRSP, </w:t>
      </w:r>
      <w:r w:rsidR="00E41DE0">
        <w:t xml:space="preserve">made it clear that </w:t>
      </w:r>
      <w:r>
        <w:t xml:space="preserve">systemic and </w:t>
      </w:r>
      <w:r w:rsidR="00E41DE0">
        <w:t xml:space="preserve">more profound changes and more </w:t>
      </w:r>
      <w:r>
        <w:t xml:space="preserve">clarity is </w:t>
      </w:r>
      <w:r w:rsidR="00E41DE0">
        <w:t xml:space="preserve">needed </w:t>
      </w:r>
      <w:r>
        <w:t>with regard to the contents of the rules regarding Child Restraint Systems</w:t>
      </w:r>
      <w:r w:rsidR="005766CE">
        <w:t xml:space="preserve"> in order </w:t>
      </w:r>
      <w:r w:rsidR="00E41DE0">
        <w:t xml:space="preserve">to make </w:t>
      </w:r>
      <w:r w:rsidR="005766CE">
        <w:t>them</w:t>
      </w:r>
      <w:r w:rsidR="00E41DE0">
        <w:t xml:space="preserve"> more robust </w:t>
      </w:r>
      <w:r w:rsidR="005766CE">
        <w:t xml:space="preserve">and up to date. The Commission </w:t>
      </w:r>
      <w:r w:rsidR="00E41DE0">
        <w:t xml:space="preserve">would like to invite GRSP to engage in </w:t>
      </w:r>
      <w:r w:rsidR="005766CE">
        <w:t xml:space="preserve">such </w:t>
      </w:r>
      <w:r w:rsidR="00E41DE0">
        <w:t>activity.</w:t>
      </w:r>
    </w:p>
    <w:sectPr w:rsidR="00800042" w:rsidRPr="00F82C46" w:rsidSect="00544F27">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19C" w:rsidRDefault="000E319C"/>
  </w:endnote>
  <w:endnote w:type="continuationSeparator" w:id="0">
    <w:p w:rsidR="000E319C" w:rsidRDefault="000E319C"/>
  </w:endnote>
  <w:endnote w:type="continuationNotice" w:id="1">
    <w:p w:rsidR="000E319C" w:rsidRDefault="000E3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2F2638">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2F2638">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19C" w:rsidRPr="000B175B" w:rsidRDefault="000E319C" w:rsidP="000B175B">
      <w:pPr>
        <w:tabs>
          <w:tab w:val="right" w:pos="2155"/>
        </w:tabs>
        <w:spacing w:after="80"/>
        <w:ind w:left="680"/>
        <w:rPr>
          <w:u w:val="single"/>
        </w:rPr>
      </w:pPr>
      <w:r>
        <w:rPr>
          <w:u w:val="single"/>
        </w:rPr>
        <w:tab/>
      </w:r>
    </w:p>
  </w:footnote>
  <w:footnote w:type="continuationSeparator" w:id="0">
    <w:p w:rsidR="000E319C" w:rsidRPr="00FC68B7" w:rsidRDefault="000E319C" w:rsidP="00FC68B7">
      <w:pPr>
        <w:tabs>
          <w:tab w:val="left" w:pos="2155"/>
        </w:tabs>
        <w:spacing w:after="80"/>
        <w:ind w:left="680"/>
        <w:rPr>
          <w:u w:val="single"/>
        </w:rPr>
      </w:pPr>
      <w:r>
        <w:rPr>
          <w:u w:val="single"/>
        </w:rPr>
        <w:tab/>
      </w:r>
    </w:p>
  </w:footnote>
  <w:footnote w:type="continuationNotice" w:id="1">
    <w:p w:rsidR="000E319C" w:rsidRDefault="000E31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B0100F" w:rsidP="00772D17">
    <w:pPr>
      <w:pStyle w:val="Header"/>
      <w:jc w:val="right"/>
    </w:pPr>
    <w:r>
      <w:fldChar w:fldCharType="begin"/>
    </w:r>
    <w:r>
      <w:instrText xml:space="preserve"> TITLE  \* MERGEFORMAT </w:instrText>
    </w:r>
    <w:r>
      <w:fldChar w:fldCharType="separate"/>
    </w:r>
    <w:r w:rsidR="00772D17">
      <w:t>ECE/TRANS/WP.29/2020/</w:t>
    </w:r>
    <w:r>
      <w:fldChar w:fldCharType="end"/>
    </w:r>
    <w:r w:rsidR="00553697">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271369"/>
    <w:multiLevelType w:val="hybridMultilevel"/>
    <w:tmpl w:val="45B6A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E"/>
  </w:docVars>
  <w:rsids>
    <w:rsidRoot w:val="00772D17"/>
    <w:rsid w:val="00002A7D"/>
    <w:rsid w:val="000038A8"/>
    <w:rsid w:val="00005DF3"/>
    <w:rsid w:val="00006790"/>
    <w:rsid w:val="000120A7"/>
    <w:rsid w:val="0002596C"/>
    <w:rsid w:val="00027624"/>
    <w:rsid w:val="00050F6B"/>
    <w:rsid w:val="0006004D"/>
    <w:rsid w:val="000678CD"/>
    <w:rsid w:val="00072C8C"/>
    <w:rsid w:val="00081CE0"/>
    <w:rsid w:val="00084D30"/>
    <w:rsid w:val="00086316"/>
    <w:rsid w:val="00090320"/>
    <w:rsid w:val="000931C0"/>
    <w:rsid w:val="00097003"/>
    <w:rsid w:val="00097916"/>
    <w:rsid w:val="000A2E09"/>
    <w:rsid w:val="000A7732"/>
    <w:rsid w:val="000B175B"/>
    <w:rsid w:val="000B3A0F"/>
    <w:rsid w:val="000E0415"/>
    <w:rsid w:val="000E319C"/>
    <w:rsid w:val="000F7715"/>
    <w:rsid w:val="0011067B"/>
    <w:rsid w:val="00156B99"/>
    <w:rsid w:val="00166124"/>
    <w:rsid w:val="00184DDA"/>
    <w:rsid w:val="001900CD"/>
    <w:rsid w:val="00193F14"/>
    <w:rsid w:val="001A0452"/>
    <w:rsid w:val="001A1F65"/>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7521C"/>
    <w:rsid w:val="00284748"/>
    <w:rsid w:val="002974E9"/>
    <w:rsid w:val="002A306B"/>
    <w:rsid w:val="002A7F94"/>
    <w:rsid w:val="002B109A"/>
    <w:rsid w:val="002C6D45"/>
    <w:rsid w:val="002D6E53"/>
    <w:rsid w:val="002F046D"/>
    <w:rsid w:val="002F2638"/>
    <w:rsid w:val="002F3023"/>
    <w:rsid w:val="00301764"/>
    <w:rsid w:val="00310C86"/>
    <w:rsid w:val="003229D8"/>
    <w:rsid w:val="00336C97"/>
    <w:rsid w:val="00337F88"/>
    <w:rsid w:val="00341EA7"/>
    <w:rsid w:val="00342432"/>
    <w:rsid w:val="00343887"/>
    <w:rsid w:val="0035223F"/>
    <w:rsid w:val="00352D4B"/>
    <w:rsid w:val="0035638C"/>
    <w:rsid w:val="00372F21"/>
    <w:rsid w:val="00394C9F"/>
    <w:rsid w:val="003A46BB"/>
    <w:rsid w:val="003A4EC7"/>
    <w:rsid w:val="003A7295"/>
    <w:rsid w:val="003B1F60"/>
    <w:rsid w:val="003C2CC4"/>
    <w:rsid w:val="003C6214"/>
    <w:rsid w:val="003D418A"/>
    <w:rsid w:val="003D4B23"/>
    <w:rsid w:val="003E278A"/>
    <w:rsid w:val="003F2DF4"/>
    <w:rsid w:val="0040453F"/>
    <w:rsid w:val="004064FA"/>
    <w:rsid w:val="00413520"/>
    <w:rsid w:val="004325CB"/>
    <w:rsid w:val="00440A07"/>
    <w:rsid w:val="00462880"/>
    <w:rsid w:val="00476F24"/>
    <w:rsid w:val="00485978"/>
    <w:rsid w:val="004A5D33"/>
    <w:rsid w:val="004B0413"/>
    <w:rsid w:val="004C1E79"/>
    <w:rsid w:val="004C55B0"/>
    <w:rsid w:val="004F6BA0"/>
    <w:rsid w:val="00503BEA"/>
    <w:rsid w:val="00533616"/>
    <w:rsid w:val="00535ABA"/>
    <w:rsid w:val="0053768B"/>
    <w:rsid w:val="005420F2"/>
    <w:rsid w:val="0054285C"/>
    <w:rsid w:val="00544F27"/>
    <w:rsid w:val="00553697"/>
    <w:rsid w:val="00557F71"/>
    <w:rsid w:val="005766CE"/>
    <w:rsid w:val="00577427"/>
    <w:rsid w:val="00584173"/>
    <w:rsid w:val="00587AF9"/>
    <w:rsid w:val="0059064E"/>
    <w:rsid w:val="00595520"/>
    <w:rsid w:val="005A44B9"/>
    <w:rsid w:val="005B1BA0"/>
    <w:rsid w:val="005B3DB3"/>
    <w:rsid w:val="005C0268"/>
    <w:rsid w:val="005C4A8B"/>
    <w:rsid w:val="005D15CA"/>
    <w:rsid w:val="005F08DF"/>
    <w:rsid w:val="005F3066"/>
    <w:rsid w:val="005F3E61"/>
    <w:rsid w:val="00604DDD"/>
    <w:rsid w:val="006115CC"/>
    <w:rsid w:val="00611FC4"/>
    <w:rsid w:val="006176FB"/>
    <w:rsid w:val="00630FCB"/>
    <w:rsid w:val="00640B26"/>
    <w:rsid w:val="006432F9"/>
    <w:rsid w:val="0065766B"/>
    <w:rsid w:val="006578F6"/>
    <w:rsid w:val="006713E3"/>
    <w:rsid w:val="00671AEC"/>
    <w:rsid w:val="006770B2"/>
    <w:rsid w:val="00686A48"/>
    <w:rsid w:val="0068763C"/>
    <w:rsid w:val="006940E1"/>
    <w:rsid w:val="006A3C72"/>
    <w:rsid w:val="006A7392"/>
    <w:rsid w:val="006A7763"/>
    <w:rsid w:val="006A7FED"/>
    <w:rsid w:val="006B03A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0BFE"/>
    <w:rsid w:val="007D6F65"/>
    <w:rsid w:val="007D7362"/>
    <w:rsid w:val="007F5CE2"/>
    <w:rsid w:val="007F6611"/>
    <w:rsid w:val="00800042"/>
    <w:rsid w:val="00810BAC"/>
    <w:rsid w:val="0081411B"/>
    <w:rsid w:val="008175E9"/>
    <w:rsid w:val="008242D7"/>
    <w:rsid w:val="0082577B"/>
    <w:rsid w:val="00825CB5"/>
    <w:rsid w:val="00840FE6"/>
    <w:rsid w:val="00866893"/>
    <w:rsid w:val="00866F02"/>
    <w:rsid w:val="00867D18"/>
    <w:rsid w:val="00871F9A"/>
    <w:rsid w:val="00871FD5"/>
    <w:rsid w:val="008815D7"/>
    <w:rsid w:val="0088172E"/>
    <w:rsid w:val="00881EFA"/>
    <w:rsid w:val="008879CB"/>
    <w:rsid w:val="008969B8"/>
    <w:rsid w:val="008979B1"/>
    <w:rsid w:val="008A6B25"/>
    <w:rsid w:val="008A6C4F"/>
    <w:rsid w:val="008B3889"/>
    <w:rsid w:val="008B389E"/>
    <w:rsid w:val="008D045E"/>
    <w:rsid w:val="008D3F25"/>
    <w:rsid w:val="008D4D82"/>
    <w:rsid w:val="008E0E46"/>
    <w:rsid w:val="008E2D8C"/>
    <w:rsid w:val="008E7116"/>
    <w:rsid w:val="008F143B"/>
    <w:rsid w:val="008F3882"/>
    <w:rsid w:val="008F4B7C"/>
    <w:rsid w:val="00903512"/>
    <w:rsid w:val="00926E47"/>
    <w:rsid w:val="00947162"/>
    <w:rsid w:val="00950225"/>
    <w:rsid w:val="009519CC"/>
    <w:rsid w:val="009610D0"/>
    <w:rsid w:val="0096375C"/>
    <w:rsid w:val="009662E6"/>
    <w:rsid w:val="0097095E"/>
    <w:rsid w:val="00981FFE"/>
    <w:rsid w:val="009854D1"/>
    <w:rsid w:val="0098592B"/>
    <w:rsid w:val="00985FC4"/>
    <w:rsid w:val="00990766"/>
    <w:rsid w:val="00991261"/>
    <w:rsid w:val="009964C4"/>
    <w:rsid w:val="009A7B81"/>
    <w:rsid w:val="009B2DF2"/>
    <w:rsid w:val="009B7EB7"/>
    <w:rsid w:val="009D01C0"/>
    <w:rsid w:val="009D6A08"/>
    <w:rsid w:val="009E0A16"/>
    <w:rsid w:val="009E6CB7"/>
    <w:rsid w:val="009E7970"/>
    <w:rsid w:val="009F2EAC"/>
    <w:rsid w:val="009F57E3"/>
    <w:rsid w:val="00A10F4F"/>
    <w:rsid w:val="00A11067"/>
    <w:rsid w:val="00A1704A"/>
    <w:rsid w:val="00A31000"/>
    <w:rsid w:val="00A32555"/>
    <w:rsid w:val="00A36AC2"/>
    <w:rsid w:val="00A425EB"/>
    <w:rsid w:val="00A72F22"/>
    <w:rsid w:val="00A733BC"/>
    <w:rsid w:val="00A748A6"/>
    <w:rsid w:val="00A76A69"/>
    <w:rsid w:val="00A879A4"/>
    <w:rsid w:val="00AA0FF8"/>
    <w:rsid w:val="00AC0F2C"/>
    <w:rsid w:val="00AC25BA"/>
    <w:rsid w:val="00AC502A"/>
    <w:rsid w:val="00AD38AA"/>
    <w:rsid w:val="00AE1E26"/>
    <w:rsid w:val="00AF58C1"/>
    <w:rsid w:val="00B0100F"/>
    <w:rsid w:val="00B04A3F"/>
    <w:rsid w:val="00B06643"/>
    <w:rsid w:val="00B14004"/>
    <w:rsid w:val="00B15055"/>
    <w:rsid w:val="00B20551"/>
    <w:rsid w:val="00B30179"/>
    <w:rsid w:val="00B31E0B"/>
    <w:rsid w:val="00B33FC7"/>
    <w:rsid w:val="00B37B15"/>
    <w:rsid w:val="00B4162A"/>
    <w:rsid w:val="00B42026"/>
    <w:rsid w:val="00B45C02"/>
    <w:rsid w:val="00B70B63"/>
    <w:rsid w:val="00B72A1E"/>
    <w:rsid w:val="00B77A52"/>
    <w:rsid w:val="00B81E12"/>
    <w:rsid w:val="00B8573C"/>
    <w:rsid w:val="00B969DE"/>
    <w:rsid w:val="00BA339B"/>
    <w:rsid w:val="00BB23CC"/>
    <w:rsid w:val="00BB280A"/>
    <w:rsid w:val="00BC1E7E"/>
    <w:rsid w:val="00BC74E9"/>
    <w:rsid w:val="00BE36A9"/>
    <w:rsid w:val="00BE618E"/>
    <w:rsid w:val="00BE6AD4"/>
    <w:rsid w:val="00BE7BEC"/>
    <w:rsid w:val="00BF0A5A"/>
    <w:rsid w:val="00BF0E63"/>
    <w:rsid w:val="00BF12A3"/>
    <w:rsid w:val="00BF16D7"/>
    <w:rsid w:val="00BF2373"/>
    <w:rsid w:val="00BF279B"/>
    <w:rsid w:val="00C044E2"/>
    <w:rsid w:val="00C048CB"/>
    <w:rsid w:val="00C066F3"/>
    <w:rsid w:val="00C463DD"/>
    <w:rsid w:val="00C519F8"/>
    <w:rsid w:val="00C745C3"/>
    <w:rsid w:val="00C978F5"/>
    <w:rsid w:val="00CA24A4"/>
    <w:rsid w:val="00CB348D"/>
    <w:rsid w:val="00CC5D75"/>
    <w:rsid w:val="00CD46F5"/>
    <w:rsid w:val="00CE4A8F"/>
    <w:rsid w:val="00CE59CF"/>
    <w:rsid w:val="00CF071D"/>
    <w:rsid w:val="00D0123D"/>
    <w:rsid w:val="00D15B04"/>
    <w:rsid w:val="00D2031B"/>
    <w:rsid w:val="00D25FE2"/>
    <w:rsid w:val="00D37DA9"/>
    <w:rsid w:val="00D406A7"/>
    <w:rsid w:val="00D43252"/>
    <w:rsid w:val="00D44D86"/>
    <w:rsid w:val="00D47357"/>
    <w:rsid w:val="00D50B7D"/>
    <w:rsid w:val="00D52012"/>
    <w:rsid w:val="00D704E5"/>
    <w:rsid w:val="00D72727"/>
    <w:rsid w:val="00D83FB6"/>
    <w:rsid w:val="00D85439"/>
    <w:rsid w:val="00D929D1"/>
    <w:rsid w:val="00D978C6"/>
    <w:rsid w:val="00DA0956"/>
    <w:rsid w:val="00DA357F"/>
    <w:rsid w:val="00DA3E12"/>
    <w:rsid w:val="00DA6AAA"/>
    <w:rsid w:val="00DB276D"/>
    <w:rsid w:val="00DC18AD"/>
    <w:rsid w:val="00DF7CAE"/>
    <w:rsid w:val="00E24AEB"/>
    <w:rsid w:val="00E41DE0"/>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0D58"/>
    <w:rsid w:val="00F82C46"/>
    <w:rsid w:val="00F867EC"/>
    <w:rsid w:val="00F91B2B"/>
    <w:rsid w:val="00F97D28"/>
    <w:rsid w:val="00FC03CD"/>
    <w:rsid w:val="00FC0646"/>
    <w:rsid w:val="00FC68B7"/>
    <w:rsid w:val="00FE460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8B17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styleId="ListParagraph">
    <w:name w:val="List Paragraph"/>
    <w:basedOn w:val="Normal"/>
    <w:semiHidden/>
    <w:rsid w:val="00F82C46"/>
    <w:pPr>
      <w:suppressAutoHyphens w:val="0"/>
      <w:spacing w:after="240" w:line="240" w:lineRule="auto"/>
      <w:ind w:left="720"/>
      <w:contextualSpacing/>
      <w:jc w:val="both"/>
    </w:pPr>
    <w:rPr>
      <w:sz w:val="24"/>
      <w:lang w:eastAsia="en-GB"/>
    </w:rPr>
  </w:style>
  <w:style w:type="paragraph" w:styleId="PlainText">
    <w:name w:val="Plain Text"/>
    <w:basedOn w:val="Normal"/>
    <w:link w:val="PlainTextChar"/>
    <w:uiPriority w:val="99"/>
    <w:semiHidden/>
    <w:unhideWhenUsed/>
    <w:rsid w:val="00E41DE0"/>
    <w:pPr>
      <w:suppressAutoHyphens w:val="0"/>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41DE0"/>
    <w:rPr>
      <w:rFonts w:ascii="Calibri" w:eastAsiaTheme="minorHAnsi" w:hAnsi="Calibri" w:cstheme="minorBidi"/>
      <w:sz w:val="22"/>
      <w:szCs w:val="21"/>
      <w:lang w:val="en-GB" w:eastAsia="en-US"/>
    </w:rPr>
  </w:style>
  <w:style w:type="character" w:customStyle="1" w:styleId="HeaderChar">
    <w:name w:val="Header Char"/>
    <w:aliases w:val="6_G Char"/>
    <w:link w:val="Header"/>
    <w:uiPriority w:val="99"/>
    <w:rsid w:val="00341EA7"/>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12/wp29/ECE-TRANS-WP29-1095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fileadmin/DAM/trans/doc/2018/wp29/ECE-TRANS-WP29-1044r2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66E5-A951-41EF-90E0-23A9899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1062</Words>
  <Characters>6556</Characters>
  <Application>Microsoft Office Word</Application>
  <DocSecurity>0</DocSecurity>
  <Lines>163</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Edoardo Gianotti</cp:lastModifiedBy>
  <cp:revision>2</cp:revision>
  <cp:lastPrinted>2009-02-18T09:36:00Z</cp:lastPrinted>
  <dcterms:created xsi:type="dcterms:W3CDTF">2020-07-20T10:35:00Z</dcterms:created>
  <dcterms:modified xsi:type="dcterms:W3CDTF">2020-07-20T10:35:00Z</dcterms:modified>
</cp:coreProperties>
</file>