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E9592A" w14:paraId="597AB01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FA38BD" w14:textId="77777777" w:rsidR="00F35BAF" w:rsidRPr="00DB58B5" w:rsidRDefault="00F35BAF" w:rsidP="006B240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5F8C38" w14:textId="77777777" w:rsidR="00F35BAF" w:rsidRPr="00E9592A" w:rsidRDefault="00F35BAF" w:rsidP="00C97039">
            <w:pPr>
              <w:spacing w:after="80" w:line="300" w:lineRule="exact"/>
              <w:rPr>
                <w:sz w:val="28"/>
              </w:rPr>
            </w:pPr>
            <w:r w:rsidRPr="00E9592A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9306DA" w14:textId="77777777" w:rsidR="00F35BAF" w:rsidRPr="00E9592A" w:rsidRDefault="006B2407" w:rsidP="006B2407">
            <w:pPr>
              <w:jc w:val="right"/>
            </w:pPr>
            <w:r w:rsidRPr="00E9592A">
              <w:rPr>
                <w:sz w:val="40"/>
              </w:rPr>
              <w:t>ECE</w:t>
            </w:r>
            <w:r w:rsidRPr="00E9592A">
              <w:t>/TRANS/WP</w:t>
            </w:r>
            <w:r w:rsidR="00F12DA8" w:rsidRPr="00E9592A">
              <w:t>.</w:t>
            </w:r>
            <w:r w:rsidRPr="00E9592A">
              <w:t>29/GRSP/2020/17</w:t>
            </w:r>
          </w:p>
        </w:tc>
      </w:tr>
      <w:tr w:rsidR="00F35BAF" w:rsidRPr="00E9592A" w14:paraId="145D4C2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C316FC" w14:textId="77777777" w:rsidR="00F35BAF" w:rsidRPr="00E9592A" w:rsidRDefault="00F35BAF" w:rsidP="00C97039">
            <w:pPr>
              <w:spacing w:before="120"/>
              <w:jc w:val="center"/>
            </w:pPr>
            <w:r w:rsidRPr="00E9592A">
              <w:rPr>
                <w:noProof/>
                <w:lang w:eastAsia="fr-CH"/>
              </w:rPr>
              <w:drawing>
                <wp:inline distT="0" distB="0" distL="0" distR="0" wp14:anchorId="56AADB37" wp14:editId="73A8BD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55A235" w14:textId="77777777" w:rsidR="00F35BAF" w:rsidRPr="00E9592A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9592A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3C8ADE" w14:textId="77777777" w:rsidR="00F35BAF" w:rsidRPr="00E9592A" w:rsidRDefault="006B2407" w:rsidP="00C97039">
            <w:pPr>
              <w:spacing w:before="240"/>
            </w:pPr>
            <w:proofErr w:type="spellStart"/>
            <w:r w:rsidRPr="00E9592A">
              <w:t>Distr</w:t>
            </w:r>
            <w:proofErr w:type="spellEnd"/>
            <w:r w:rsidR="00F12DA8" w:rsidRPr="00E9592A">
              <w:t>.</w:t>
            </w:r>
            <w:r w:rsidRPr="00E9592A">
              <w:t xml:space="preserve"> générale</w:t>
            </w:r>
          </w:p>
          <w:p w14:paraId="46A848A8" w14:textId="77777777" w:rsidR="006B2407" w:rsidRPr="00E9592A" w:rsidRDefault="006B2407" w:rsidP="006B2407">
            <w:pPr>
              <w:spacing w:line="240" w:lineRule="exact"/>
            </w:pPr>
            <w:r w:rsidRPr="00E9592A">
              <w:t>24 septembre 2020</w:t>
            </w:r>
          </w:p>
          <w:p w14:paraId="40F81EFC" w14:textId="77777777" w:rsidR="006B2407" w:rsidRPr="00E9592A" w:rsidRDefault="006B2407" w:rsidP="006B2407">
            <w:pPr>
              <w:spacing w:line="240" w:lineRule="exact"/>
            </w:pPr>
            <w:r w:rsidRPr="00E9592A">
              <w:t>Français</w:t>
            </w:r>
          </w:p>
          <w:p w14:paraId="09C98E1B" w14:textId="77777777" w:rsidR="006B2407" w:rsidRPr="00E9592A" w:rsidRDefault="006B2407" w:rsidP="006B2407">
            <w:pPr>
              <w:spacing w:line="240" w:lineRule="exact"/>
            </w:pPr>
            <w:r w:rsidRPr="00E9592A">
              <w:t>Original : anglais</w:t>
            </w:r>
          </w:p>
        </w:tc>
      </w:tr>
    </w:tbl>
    <w:p w14:paraId="5A3EF2F8" w14:textId="77777777" w:rsidR="007F20FA" w:rsidRPr="00E9592A" w:rsidRDefault="007F20FA" w:rsidP="007F20FA">
      <w:pPr>
        <w:spacing w:before="120"/>
        <w:rPr>
          <w:b/>
          <w:sz w:val="28"/>
          <w:szCs w:val="28"/>
        </w:rPr>
      </w:pPr>
      <w:r w:rsidRPr="00E9592A">
        <w:rPr>
          <w:b/>
          <w:sz w:val="28"/>
          <w:szCs w:val="28"/>
        </w:rPr>
        <w:t>Commission économique pour l’Europe</w:t>
      </w:r>
    </w:p>
    <w:p w14:paraId="3BFBF188" w14:textId="77777777" w:rsidR="007F20FA" w:rsidRPr="00E9592A" w:rsidRDefault="007F20FA" w:rsidP="007F20FA">
      <w:pPr>
        <w:spacing w:before="120"/>
        <w:rPr>
          <w:sz w:val="28"/>
          <w:szCs w:val="28"/>
        </w:rPr>
      </w:pPr>
      <w:r w:rsidRPr="00E9592A">
        <w:rPr>
          <w:sz w:val="28"/>
          <w:szCs w:val="28"/>
        </w:rPr>
        <w:t>Comité des transports intérieurs</w:t>
      </w:r>
    </w:p>
    <w:p w14:paraId="4B6DB54A" w14:textId="77777777" w:rsidR="001B531B" w:rsidRPr="00E9592A" w:rsidRDefault="001B531B" w:rsidP="001B531B">
      <w:pPr>
        <w:spacing w:before="120" w:line="240" w:lineRule="auto"/>
        <w:rPr>
          <w:b/>
          <w:sz w:val="24"/>
          <w:szCs w:val="24"/>
        </w:rPr>
      </w:pPr>
      <w:r w:rsidRPr="00E9592A">
        <w:rPr>
          <w:b/>
          <w:bCs/>
          <w:sz w:val="24"/>
          <w:szCs w:val="24"/>
          <w:lang w:val="fr-FR"/>
        </w:rPr>
        <w:t xml:space="preserve">Forum mondial de l’harmonisation </w:t>
      </w:r>
      <w:r w:rsidR="00CA4C2E" w:rsidRPr="00E9592A">
        <w:rPr>
          <w:b/>
          <w:bCs/>
          <w:sz w:val="24"/>
          <w:szCs w:val="24"/>
          <w:lang w:val="fr-FR"/>
        </w:rPr>
        <w:br/>
      </w:r>
      <w:r w:rsidRPr="00E9592A">
        <w:rPr>
          <w:b/>
          <w:bCs/>
          <w:sz w:val="24"/>
          <w:szCs w:val="24"/>
          <w:lang w:val="fr-FR"/>
        </w:rPr>
        <w:t xml:space="preserve">des </w:t>
      </w:r>
      <w:r w:rsidR="00143FB6" w:rsidRPr="00E9592A">
        <w:rPr>
          <w:b/>
          <w:bCs/>
          <w:sz w:val="24"/>
          <w:szCs w:val="24"/>
          <w:lang w:val="fr-FR"/>
        </w:rPr>
        <w:t>Règlement</w:t>
      </w:r>
      <w:r w:rsidRPr="00E9592A">
        <w:rPr>
          <w:b/>
          <w:bCs/>
          <w:sz w:val="24"/>
          <w:szCs w:val="24"/>
          <w:lang w:val="fr-FR"/>
        </w:rPr>
        <w:t>s concernant les véhicules</w:t>
      </w:r>
    </w:p>
    <w:p w14:paraId="4AD0AB47" w14:textId="77777777" w:rsidR="001B531B" w:rsidRPr="00E9592A" w:rsidRDefault="001B531B" w:rsidP="001B531B">
      <w:pPr>
        <w:spacing w:before="120" w:line="240" w:lineRule="auto"/>
        <w:rPr>
          <w:b/>
        </w:rPr>
      </w:pPr>
      <w:r w:rsidRPr="00E9592A">
        <w:rPr>
          <w:b/>
          <w:bCs/>
          <w:lang w:val="fr-FR"/>
        </w:rPr>
        <w:t>Groupe de travail de la sécurité passive</w:t>
      </w:r>
    </w:p>
    <w:p w14:paraId="4247A300" w14:textId="77777777" w:rsidR="001B531B" w:rsidRPr="00E9592A" w:rsidRDefault="001B531B" w:rsidP="001B531B">
      <w:pPr>
        <w:spacing w:before="120" w:line="240" w:lineRule="auto"/>
        <w:rPr>
          <w:b/>
        </w:rPr>
      </w:pPr>
      <w:r w:rsidRPr="00E9592A">
        <w:rPr>
          <w:b/>
          <w:bCs/>
          <w:lang w:val="fr-FR"/>
        </w:rPr>
        <w:t>Soixante-huitième session</w:t>
      </w:r>
      <w:r w:rsidRPr="00E9592A">
        <w:rPr>
          <w:lang w:val="fr-FR"/>
        </w:rPr>
        <w:t xml:space="preserve"> </w:t>
      </w:r>
    </w:p>
    <w:p w14:paraId="51451988" w14:textId="77777777" w:rsidR="001B531B" w:rsidRPr="00E9592A" w:rsidRDefault="001B531B" w:rsidP="001B531B">
      <w:pPr>
        <w:spacing w:line="240" w:lineRule="auto"/>
        <w:rPr>
          <w:bCs/>
        </w:rPr>
      </w:pPr>
      <w:r w:rsidRPr="00E9592A">
        <w:rPr>
          <w:lang w:val="fr-FR"/>
        </w:rPr>
        <w:t>Genève, 7-11 décembre 2020</w:t>
      </w:r>
    </w:p>
    <w:p w14:paraId="62F14AC6" w14:textId="77777777" w:rsidR="001B531B" w:rsidRPr="00E9592A" w:rsidRDefault="001B531B" w:rsidP="001B531B">
      <w:pPr>
        <w:spacing w:line="240" w:lineRule="auto"/>
        <w:rPr>
          <w:bCs/>
        </w:rPr>
      </w:pPr>
      <w:r w:rsidRPr="00E9592A">
        <w:rPr>
          <w:lang w:val="fr-FR"/>
        </w:rPr>
        <w:t>Point 13 de l’ordre du jour provisoire</w:t>
      </w:r>
    </w:p>
    <w:p w14:paraId="5DCE7BFF" w14:textId="77777777" w:rsidR="001B531B" w:rsidRPr="00E9592A" w:rsidRDefault="00143FB6" w:rsidP="001B531B">
      <w:pPr>
        <w:spacing w:line="240" w:lineRule="auto"/>
        <w:rPr>
          <w:b/>
        </w:rPr>
      </w:pPr>
      <w:r w:rsidRPr="00E9592A">
        <w:rPr>
          <w:b/>
          <w:bCs/>
          <w:lang w:val="fr-FR"/>
        </w:rPr>
        <w:t>Règlement</w:t>
      </w:r>
      <w:r w:rsidR="001B531B" w:rsidRPr="00E9592A">
        <w:rPr>
          <w:b/>
          <w:bCs/>
          <w:lang w:val="fr-FR"/>
        </w:rPr>
        <w:t xml:space="preserve"> ONU n</w:t>
      </w:r>
      <w:r w:rsidR="001B531B" w:rsidRPr="00E9592A">
        <w:rPr>
          <w:b/>
          <w:bCs/>
          <w:vertAlign w:val="superscript"/>
          <w:lang w:val="fr-FR"/>
        </w:rPr>
        <w:t>o</w:t>
      </w:r>
      <w:r w:rsidR="00CA4C2E" w:rsidRPr="00E9592A">
        <w:rPr>
          <w:b/>
          <w:bCs/>
          <w:lang w:val="fr-FR"/>
        </w:rPr>
        <w:t> </w:t>
      </w:r>
      <w:r w:rsidR="001B531B" w:rsidRPr="00E9592A">
        <w:rPr>
          <w:b/>
          <w:bCs/>
          <w:lang w:val="fr-FR"/>
        </w:rPr>
        <w:t xml:space="preserve">134 (Véhicules à hydrogène </w:t>
      </w:r>
      <w:r w:rsidR="00CA4C2E" w:rsidRPr="00E9592A">
        <w:rPr>
          <w:b/>
          <w:bCs/>
          <w:lang w:val="fr-FR"/>
        </w:rPr>
        <w:br/>
      </w:r>
      <w:r w:rsidR="001B531B" w:rsidRPr="00E9592A">
        <w:rPr>
          <w:b/>
          <w:bCs/>
          <w:lang w:val="fr-FR"/>
        </w:rPr>
        <w:t>et à pile à combustible (HFCV))</w:t>
      </w:r>
    </w:p>
    <w:p w14:paraId="5577DF52" w14:textId="77777777" w:rsidR="001B531B" w:rsidRPr="00E9592A" w:rsidRDefault="001B531B" w:rsidP="001B531B">
      <w:pPr>
        <w:pStyle w:val="HChG"/>
      </w:pPr>
      <w:r w:rsidRPr="00E9592A">
        <w:rPr>
          <w:lang w:val="fr-FR"/>
        </w:rPr>
        <w:tab/>
      </w:r>
      <w:r w:rsidRPr="00E9592A">
        <w:rPr>
          <w:lang w:val="fr-FR"/>
        </w:rPr>
        <w:tab/>
        <w:t xml:space="preserve">Proposition de série 01 d’amendements </w:t>
      </w:r>
      <w:r w:rsidRPr="00E9592A">
        <w:rPr>
          <w:lang w:val="fr-FR"/>
        </w:rPr>
        <w:br/>
      </w:r>
      <w:r w:rsidRPr="00E9592A">
        <w:rPr>
          <w:lang w:val="fr-FR"/>
        </w:rPr>
        <w:t xml:space="preserve">au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 xml:space="preserve"> ONU n</w:t>
      </w:r>
      <w:r w:rsidRPr="00E9592A">
        <w:rPr>
          <w:vertAlign w:val="superscript"/>
          <w:lang w:val="fr-FR"/>
        </w:rPr>
        <w:t>o</w:t>
      </w:r>
      <w:r w:rsidR="00CA4C2E" w:rsidRPr="00E9592A">
        <w:rPr>
          <w:lang w:val="fr-FR"/>
        </w:rPr>
        <w:t> </w:t>
      </w:r>
      <w:r w:rsidRPr="00E9592A">
        <w:rPr>
          <w:lang w:val="fr-FR"/>
        </w:rPr>
        <w:t xml:space="preserve">134 (Véhicules </w:t>
      </w:r>
      <w:r w:rsidRPr="00E9592A">
        <w:rPr>
          <w:lang w:val="fr-FR"/>
        </w:rPr>
        <w:br/>
      </w:r>
      <w:r w:rsidRPr="00E9592A">
        <w:rPr>
          <w:lang w:val="fr-FR"/>
        </w:rPr>
        <w:t>à hydrogène et à pile à combustible (HFCV))</w:t>
      </w:r>
    </w:p>
    <w:p w14:paraId="72BF2607" w14:textId="77777777" w:rsidR="001B531B" w:rsidRPr="00E9592A" w:rsidRDefault="001B531B" w:rsidP="001B531B">
      <w:pPr>
        <w:pStyle w:val="H1G"/>
      </w:pP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Pr="00E9592A">
        <w:rPr>
          <w:lang w:val="fr-FR"/>
        </w:rPr>
        <w:t>Communication de l’expert des Pays-Bas</w:t>
      </w:r>
      <w:r w:rsidRPr="00E9592A">
        <w:rPr>
          <w:b w:val="0"/>
          <w:bCs/>
          <w:sz w:val="20"/>
          <w:lang w:val="fr-FR"/>
        </w:rPr>
        <w:footnoteReference w:customMarkFollows="1" w:id="2"/>
        <w:t>*</w:t>
      </w:r>
    </w:p>
    <w:p w14:paraId="2A22C132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ab/>
      </w:r>
      <w:r w:rsidRPr="00E9592A">
        <w:rPr>
          <w:lang w:val="fr-FR"/>
        </w:rPr>
        <w:t>Le texte ci-après, établi par l’expert des Pays-Bas, vise à mettre en place une signalisation des autobus et des camions fonctionnant à l’hydrogène qui soit conforme à celle des autobus fonctionnant au gaz de pétrole liquéfié (GPL), au gaz naturel comprimé (GNC) ou au gaz naturel liquéfié (GNL), déjà prévue dans des règlements existants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Il est fondé sur les documents GRSP-66-05 et GRSP-66-40, distribués à la soixante-sixième session du Groupe de travail de la sécurité passive (GRSP) (voir le document ECE/TRANS/WP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29/GRSP/66, par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 </w:t>
      </w:r>
      <w:r w:rsidRPr="00E9592A">
        <w:rPr>
          <w:lang w:val="fr-FR"/>
        </w:rPr>
        <w:t>42), et sur les documents ECE/TRANS/WP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29/</w:t>
      </w:r>
      <w:r w:rsidRPr="00E9592A">
        <w:rPr>
          <w:lang w:val="fr-FR"/>
        </w:rPr>
        <w:t xml:space="preserve"> </w:t>
      </w:r>
      <w:r w:rsidRPr="00E9592A">
        <w:rPr>
          <w:lang w:val="fr-FR"/>
        </w:rPr>
        <w:t>GRSP/2020/10 et GRSP-67-12, distribués à la soixante-septième session du GRSP (voir le document ECE/TRANS/WP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29/GRSP/67, par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24)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Les modifications qu’il est proposé d’apporter au texte actuel du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 xml:space="preserve"> </w:t>
      </w:r>
      <w:r w:rsidR="00E9592A" w:rsidRPr="00E9592A">
        <w:rPr>
          <w:lang w:val="fr-FR"/>
        </w:rPr>
        <w:t xml:space="preserve">ONU </w:t>
      </w:r>
      <w:r w:rsidRPr="00E9592A">
        <w:rPr>
          <w:lang w:val="fr-FR"/>
        </w:rPr>
        <w:t>figurent en caractères gras pour les ajouts et biffés pour les suppressions</w:t>
      </w:r>
      <w:r w:rsidR="00F12DA8" w:rsidRPr="00E9592A">
        <w:rPr>
          <w:lang w:val="fr-FR"/>
        </w:rPr>
        <w:t>.</w:t>
      </w:r>
    </w:p>
    <w:p w14:paraId="125A6F50" w14:textId="77777777" w:rsidR="001B531B" w:rsidRPr="00E9592A" w:rsidRDefault="001B531B" w:rsidP="001B531B">
      <w:pPr>
        <w:pStyle w:val="HChG"/>
      </w:pPr>
      <w:r w:rsidRPr="00E9592A">
        <w:rPr>
          <w:lang w:val="fr-FR"/>
        </w:rPr>
        <w:lastRenderedPageBreak/>
        <w:tab/>
      </w:r>
      <w:r w:rsidRPr="00E9592A">
        <w:rPr>
          <w:lang w:val="fr-FR"/>
        </w:rPr>
        <w:t>I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Proposition</w:t>
      </w:r>
    </w:p>
    <w:p w14:paraId="326D02DD" w14:textId="77777777" w:rsidR="001B531B" w:rsidRPr="00E9592A" w:rsidRDefault="001B531B" w:rsidP="001B531B">
      <w:pPr>
        <w:pStyle w:val="SingleTxtG"/>
        <w:keepNext/>
        <w:rPr>
          <w:lang w:val="fr-FR"/>
        </w:rPr>
      </w:pPr>
      <w:r w:rsidRPr="00E9592A">
        <w:rPr>
          <w:i/>
          <w:iCs/>
          <w:lang w:val="fr-FR"/>
        </w:rPr>
        <w:t>Table des matières, liste des annexes</w:t>
      </w:r>
      <w:r w:rsidRPr="00E9592A">
        <w:rPr>
          <w:lang w:val="fr-FR"/>
        </w:rPr>
        <w:t>, lire :</w:t>
      </w:r>
    </w:p>
    <w:p w14:paraId="1B13B7F9" w14:textId="77777777" w:rsidR="001B531B" w:rsidRPr="00E9592A" w:rsidRDefault="001B531B" w:rsidP="001B531B">
      <w:pPr>
        <w:keepNext/>
        <w:spacing w:after="120"/>
        <w:rPr>
          <w:sz w:val="28"/>
        </w:rPr>
      </w:pPr>
      <w:r w:rsidRPr="00E9592A">
        <w:t>«</w:t>
      </w:r>
      <w:r w:rsidRPr="00E9592A">
        <w:rPr>
          <w:bCs/>
          <w:lang w:val="fr-FR"/>
        </w:rPr>
        <w:t> </w:t>
      </w:r>
      <w:r w:rsidRPr="00E9592A">
        <w:rPr>
          <w:sz w:val="28"/>
        </w:rPr>
        <w:t>Table des matières</w:t>
      </w:r>
    </w:p>
    <w:p w14:paraId="5E857D35" w14:textId="77777777" w:rsidR="001B531B" w:rsidRPr="00E9592A" w:rsidRDefault="001B531B" w:rsidP="001B531B">
      <w:pPr>
        <w:keepNext/>
        <w:tabs>
          <w:tab w:val="right" w:pos="9638"/>
        </w:tabs>
        <w:spacing w:after="120" w:line="240" w:lineRule="auto"/>
        <w:rPr>
          <w:i/>
          <w:sz w:val="18"/>
          <w:szCs w:val="18"/>
        </w:rPr>
      </w:pPr>
      <w:r w:rsidRPr="00E9592A">
        <w:rPr>
          <w:lang w:val="fr-FR"/>
        </w:rPr>
        <w:tab/>
      </w:r>
      <w:r w:rsidRPr="00E9592A">
        <w:rPr>
          <w:i/>
          <w:iCs/>
          <w:sz w:val="18"/>
          <w:szCs w:val="18"/>
          <w:lang w:val="fr-FR"/>
        </w:rPr>
        <w:t>Page</w:t>
      </w:r>
    </w:p>
    <w:p w14:paraId="42214B79" w14:textId="77777777" w:rsidR="001B531B" w:rsidRPr="00E9592A" w:rsidRDefault="00143FB6" w:rsidP="001B531B">
      <w:pPr>
        <w:keepNext/>
        <w:tabs>
          <w:tab w:val="right" w:pos="9638"/>
        </w:tabs>
        <w:spacing w:after="120" w:line="240" w:lineRule="auto"/>
      </w:pPr>
      <w:r w:rsidRPr="00E9592A">
        <w:rPr>
          <w:lang w:val="fr-FR"/>
        </w:rPr>
        <w:t>Règlement</w:t>
      </w:r>
    </w:p>
    <w:p w14:paraId="1259260B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1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Objet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5</w:t>
      </w:r>
    </w:p>
    <w:p w14:paraId="0115399C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2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Définitions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5</w:t>
      </w:r>
    </w:p>
    <w:p w14:paraId="264FBF55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3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Demande d’homologation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7</w:t>
      </w:r>
    </w:p>
    <w:p w14:paraId="5C6BF96B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Homologation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8</w:t>
      </w:r>
    </w:p>
    <w:p w14:paraId="354C6589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5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</w:r>
      <w:r w:rsidRPr="00E9592A">
        <w:t>Partie</w:t>
      </w:r>
      <w:r w:rsidRPr="00E9592A">
        <w:rPr>
          <w:lang w:val="fr-FR"/>
        </w:rPr>
        <w:t xml:space="preserve"> I </w:t>
      </w:r>
      <w:r w:rsidRPr="00E9592A">
        <w:rPr>
          <w:lang w:val="fr-FR"/>
        </w:rPr>
        <w:t>−</w:t>
      </w:r>
      <w:r w:rsidRPr="00E9592A">
        <w:rPr>
          <w:lang w:val="fr-FR"/>
        </w:rPr>
        <w:t xml:space="preserve"> Spécifications du système de stockage d’hydrogène comprimé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9</w:t>
      </w:r>
    </w:p>
    <w:p w14:paraId="4EE00AE4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6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</w:r>
      <w:r w:rsidRPr="00E9592A">
        <w:t>Partie</w:t>
      </w:r>
      <w:r w:rsidRPr="00E9592A">
        <w:rPr>
          <w:lang w:val="fr-FR"/>
        </w:rPr>
        <w:t xml:space="preserve"> II </w:t>
      </w:r>
      <w:r w:rsidRPr="00E9592A">
        <w:rPr>
          <w:lang w:val="fr-FR"/>
        </w:rPr>
        <w:t>−</w:t>
      </w:r>
      <w:r w:rsidRPr="00E9592A">
        <w:rPr>
          <w:lang w:val="fr-FR"/>
        </w:rPr>
        <w:t xml:space="preserve"> Spécifications des composants spécifiques du système de stockage </w:t>
      </w:r>
      <w:r w:rsidRPr="00E9592A">
        <w:rPr>
          <w:lang w:val="fr-FR"/>
        </w:rPr>
        <w:br/>
      </w:r>
      <w:r w:rsidRPr="00E9592A">
        <w:rPr>
          <w:lang w:val="fr-FR"/>
        </w:rPr>
        <w:t>d’hydrogène comprimé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15</w:t>
      </w:r>
    </w:p>
    <w:p w14:paraId="040EA9AB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7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Partie III </w:t>
      </w:r>
      <w:r w:rsidRPr="00E9592A">
        <w:rPr>
          <w:lang w:val="fr-FR"/>
        </w:rPr>
        <w:t>−</w:t>
      </w:r>
      <w:r w:rsidRPr="00E9592A">
        <w:rPr>
          <w:lang w:val="fr-FR"/>
        </w:rPr>
        <w:t xml:space="preserve"> Spécifications d’un système d’alimentation en carburant du véhicule </w:t>
      </w:r>
      <w:r w:rsidRPr="00E9592A">
        <w:rPr>
          <w:lang w:val="fr-FR"/>
        </w:rPr>
        <w:br/>
      </w:r>
      <w:r w:rsidRPr="00E9592A">
        <w:rPr>
          <w:lang w:val="fr-FR"/>
        </w:rPr>
        <w:t>comportant un système de stockage d’hydrogène comprimé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16</w:t>
      </w:r>
    </w:p>
    <w:p w14:paraId="418FBA9F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8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Modification du type et extension de l’homologation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19</w:t>
      </w:r>
    </w:p>
    <w:p w14:paraId="41F733C3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9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Conformité de la production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20</w:t>
      </w:r>
    </w:p>
    <w:p w14:paraId="43899D0D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10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Sanctions pour non-conformité de la production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22</w:t>
      </w:r>
    </w:p>
    <w:p w14:paraId="115AD411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11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Arrêt définitif de la production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22</w:t>
      </w:r>
    </w:p>
    <w:p w14:paraId="64864992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 w:rsidRPr="00E9592A">
        <w:rPr>
          <w:lang w:val="fr-FR"/>
        </w:rPr>
        <w:tab/>
      </w:r>
      <w:r w:rsidRPr="00E9592A">
        <w:rPr>
          <w:lang w:val="fr-FR"/>
        </w:rPr>
        <w:t>12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Noms et adresses des services techniques chargés des essais d’homologation </w:t>
      </w:r>
      <w:r w:rsidRPr="00E9592A">
        <w:rPr>
          <w:lang w:val="fr-FR"/>
        </w:rPr>
        <w:br/>
      </w:r>
      <w:r w:rsidRPr="00E9592A">
        <w:rPr>
          <w:lang w:val="fr-FR"/>
        </w:rPr>
        <w:t>et des autorités d’homologation de type</w:t>
      </w:r>
      <w:r w:rsidRPr="00E9592A">
        <w:rPr>
          <w:lang w:val="fr-FR"/>
        </w:rPr>
        <w:tab/>
      </w:r>
      <w:r w:rsidRPr="00E9592A">
        <w:rPr>
          <w:lang w:val="fr-FR"/>
        </w:rPr>
        <w:tab/>
        <w:t>22</w:t>
      </w:r>
    </w:p>
    <w:p w14:paraId="0EC14520" w14:textId="77777777" w:rsidR="001B531B" w:rsidRPr="00E9592A" w:rsidRDefault="001B531B" w:rsidP="001B531B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  <w:rPr>
          <w:i/>
        </w:rPr>
      </w:pPr>
      <w:r w:rsidRPr="00E9592A">
        <w:rPr>
          <w:b/>
          <w:bCs/>
          <w:lang w:val="fr-FR"/>
        </w:rPr>
        <w:tab/>
      </w:r>
      <w:r w:rsidRPr="00E9592A">
        <w:rPr>
          <w:b/>
          <w:bCs/>
          <w:lang w:val="fr-FR"/>
        </w:rPr>
        <w:t>13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ab/>
        <w:t>Dispositions transitoires</w:t>
      </w: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Pr="00E9592A">
        <w:rPr>
          <w:b/>
          <w:bCs/>
          <w:lang w:val="fr-FR"/>
        </w:rPr>
        <w:t>23</w:t>
      </w:r>
      <w:r w:rsidRPr="00E9592A">
        <w:rPr>
          <w:b/>
          <w:bCs/>
          <w:lang w:val="fr-FR"/>
        </w:rPr>
        <w:t> </w:t>
      </w:r>
      <w:r w:rsidRPr="00E9592A">
        <w:rPr>
          <w:lang w:val="fr-FR"/>
        </w:rPr>
        <w:t>»</w:t>
      </w:r>
      <w:r w:rsidR="00F12DA8" w:rsidRPr="00E9592A">
        <w:rPr>
          <w:lang w:val="fr-FR"/>
        </w:rPr>
        <w:t>.</w:t>
      </w:r>
    </w:p>
    <w:p w14:paraId="2785A35C" w14:textId="77777777" w:rsidR="001B531B" w:rsidRPr="00E9592A" w:rsidRDefault="001B531B" w:rsidP="001B531B">
      <w:pPr>
        <w:pStyle w:val="SingleTxtG"/>
        <w:spacing w:before="240"/>
      </w:pPr>
      <w:r w:rsidRPr="00E9592A">
        <w:rPr>
          <w:i/>
          <w:iCs/>
          <w:lang w:val="fr-FR"/>
        </w:rPr>
        <w:t>Paragraphe 4</w:t>
      </w:r>
      <w:r w:rsidR="00F12DA8" w:rsidRPr="00E9592A">
        <w:rPr>
          <w:i/>
          <w:iCs/>
          <w:lang w:val="fr-FR"/>
        </w:rPr>
        <w:t>.</w:t>
      </w:r>
      <w:r w:rsidRPr="00E9592A">
        <w:rPr>
          <w:i/>
          <w:iCs/>
          <w:lang w:val="fr-FR"/>
        </w:rPr>
        <w:t>2</w:t>
      </w:r>
      <w:r w:rsidRPr="00E9592A">
        <w:rPr>
          <w:lang w:val="fr-FR"/>
        </w:rPr>
        <w:t>, lire :</w:t>
      </w:r>
    </w:p>
    <w:p w14:paraId="4CD8C5E1" w14:textId="77777777" w:rsidR="001B531B" w:rsidRPr="00E9592A" w:rsidRDefault="001B531B" w:rsidP="001B531B">
      <w:pPr>
        <w:pStyle w:val="SingleTxtG"/>
        <w:ind w:left="2268" w:hanging="1134"/>
        <w:rPr>
          <w:b/>
        </w:rPr>
      </w:pPr>
      <w:r w:rsidRPr="00E9592A">
        <w:rPr>
          <w:lang w:val="fr-FR"/>
        </w:rPr>
        <w:t>« 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2</w:t>
      </w:r>
      <w:r w:rsidRPr="00E9592A">
        <w:rPr>
          <w:lang w:val="fr-FR"/>
        </w:rPr>
        <w:tab/>
        <w:t>Chaque type homologué doit recevoir</w:t>
      </w:r>
      <w:r w:rsidRPr="00E9592A">
        <w:rPr>
          <w:b/>
          <w:bCs/>
          <w:lang w:val="fr-FR"/>
        </w:rPr>
        <w:t xml:space="preserve"> </w:t>
      </w:r>
      <w:r w:rsidRPr="00E9592A">
        <w:rPr>
          <w:lang w:val="fr-FR"/>
        </w:rPr>
        <w:t xml:space="preserve">un numéro d’homologation, </w:t>
      </w:r>
      <w:r w:rsidRPr="00E9592A">
        <w:rPr>
          <w:b/>
          <w:bCs/>
          <w:lang w:val="fr-FR"/>
        </w:rPr>
        <w:t>conformément à l’annexe 4 de l’Accord de 1958 (E/ECE/TRANS/505/</w:t>
      </w:r>
      <w:r w:rsidRPr="00E9592A">
        <w:rPr>
          <w:b/>
          <w:bCs/>
          <w:lang w:val="fr-FR"/>
        </w:rPr>
        <w:t xml:space="preserve"> </w:t>
      </w:r>
      <w:r w:rsidRPr="00E9592A">
        <w:rPr>
          <w:b/>
          <w:bCs/>
          <w:lang w:val="fr-FR"/>
        </w:rPr>
        <w:t>Rev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3)</w:t>
      </w:r>
      <w:r w:rsidR="00F12DA8" w:rsidRPr="00E9592A">
        <w:rPr>
          <w:b/>
          <w:bCs/>
          <w:lang w:val="fr-FR"/>
        </w:rPr>
        <w:t>.</w:t>
      </w:r>
      <w:r w:rsidRPr="00E9592A">
        <w:t xml:space="preserve"> </w:t>
      </w:r>
      <w:r w:rsidRPr="00E9592A">
        <w:rPr>
          <w:strike/>
          <w:lang w:val="fr-FR"/>
        </w:rPr>
        <w:t xml:space="preserve">dont les deux premiers chiffres (dans le cas présent 00 pour le </w:t>
      </w:r>
      <w:r w:rsidR="00143FB6" w:rsidRPr="00E9592A">
        <w:rPr>
          <w:strike/>
          <w:lang w:val="fr-FR"/>
        </w:rPr>
        <w:t>Règlement</w:t>
      </w:r>
      <w:r w:rsidRPr="00E9592A">
        <w:rPr>
          <w:strike/>
          <w:lang w:val="fr-FR"/>
        </w:rPr>
        <w:t xml:space="preserve"> sous sa forme initiale) doivent indiquer la série d’amendements correspondant aux modifications techniques essentielles les plus récentes apportées au </w:t>
      </w:r>
      <w:r w:rsidR="00143FB6" w:rsidRPr="00E9592A">
        <w:rPr>
          <w:strike/>
          <w:lang w:val="fr-FR"/>
        </w:rPr>
        <w:t>Règlement</w:t>
      </w:r>
      <w:r w:rsidRPr="00E9592A">
        <w:rPr>
          <w:strike/>
          <w:lang w:val="fr-FR"/>
        </w:rPr>
        <w:t xml:space="preserve"> à la date de délivrance de l’homologation</w:t>
      </w:r>
      <w:r w:rsidR="00F12DA8" w:rsidRPr="00E9592A">
        <w:rPr>
          <w:strike/>
          <w:lang w:val="fr-FR"/>
        </w:rPr>
        <w:t>.</w:t>
      </w:r>
      <w:r w:rsidRPr="00E9592A">
        <w:rPr>
          <w:strike/>
          <w:lang w:val="fr-FR"/>
        </w:rPr>
        <w:t xml:space="preserve"> Une même Partie contractante ne peut pas attribuer le même numéro à un autre type de véhicule ou de composant</w:t>
      </w:r>
      <w:r w:rsidR="00F12DA8" w:rsidRPr="00E9592A">
        <w:rPr>
          <w:strike/>
          <w:lang w:val="fr-FR"/>
        </w:rPr>
        <w:t>.</w:t>
      </w:r>
      <w:r w:rsidRPr="00E9592A">
        <w:rPr>
          <w:lang w:val="fr-FR"/>
        </w:rPr>
        <w:t> »</w:t>
      </w:r>
      <w:r w:rsidR="00F12DA8" w:rsidRPr="00E9592A">
        <w:rPr>
          <w:lang w:val="fr-FR"/>
        </w:rPr>
        <w:t>.</w:t>
      </w:r>
    </w:p>
    <w:p w14:paraId="332C3130" w14:textId="77777777" w:rsidR="001B531B" w:rsidRPr="00E9592A" w:rsidRDefault="001B531B" w:rsidP="001B531B">
      <w:pPr>
        <w:pStyle w:val="SingleTxtG"/>
        <w:rPr>
          <w:iCs/>
        </w:rPr>
      </w:pPr>
      <w:r w:rsidRPr="00E9592A">
        <w:rPr>
          <w:i/>
          <w:iCs/>
          <w:lang w:val="fr-FR"/>
        </w:rPr>
        <w:t>Ajouter</w:t>
      </w:r>
      <w:r w:rsidR="00E9592A" w:rsidRPr="00E9592A">
        <w:rPr>
          <w:i/>
          <w:iCs/>
          <w:lang w:val="fr-FR"/>
        </w:rPr>
        <w:t xml:space="preserve"> </w:t>
      </w:r>
      <w:r w:rsidRPr="00E9592A">
        <w:rPr>
          <w:i/>
          <w:iCs/>
          <w:lang w:val="fr-FR"/>
        </w:rPr>
        <w:t>le nouveau paragraphe 7</w:t>
      </w:r>
      <w:r w:rsidR="00F12DA8" w:rsidRPr="00E9592A">
        <w:rPr>
          <w:i/>
          <w:iCs/>
          <w:lang w:val="fr-FR"/>
        </w:rPr>
        <w:t>.</w:t>
      </w:r>
      <w:r w:rsidRPr="00E9592A">
        <w:rPr>
          <w:i/>
          <w:iCs/>
          <w:lang w:val="fr-FR"/>
        </w:rPr>
        <w:t>1</w:t>
      </w:r>
      <w:r w:rsidR="00F12DA8" w:rsidRPr="00E9592A">
        <w:rPr>
          <w:i/>
          <w:iCs/>
          <w:lang w:val="fr-FR"/>
        </w:rPr>
        <w:t>.</w:t>
      </w:r>
      <w:r w:rsidRPr="00E9592A">
        <w:rPr>
          <w:i/>
          <w:iCs/>
          <w:lang w:val="fr-FR"/>
        </w:rPr>
        <w:t>7</w:t>
      </w:r>
      <w:r w:rsidRPr="00E9592A">
        <w:rPr>
          <w:lang w:val="fr-FR"/>
        </w:rPr>
        <w:t>, libellé comme suit :</w:t>
      </w:r>
    </w:p>
    <w:p w14:paraId="4167E038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rPr>
          <w:lang w:val="fr-FR"/>
        </w:rPr>
        <w:t>« </w:t>
      </w:r>
      <w:r w:rsidRPr="00E9592A">
        <w:rPr>
          <w:b/>
          <w:bCs/>
          <w:lang w:val="fr-FR"/>
        </w:rPr>
        <w:t>7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1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7</w:t>
      </w:r>
      <w:r w:rsidRPr="00E9592A">
        <w:rPr>
          <w:lang w:val="fr-FR"/>
        </w:rPr>
        <w:tab/>
      </w:r>
      <w:r w:rsidRPr="00E9592A">
        <w:rPr>
          <w:b/>
          <w:bCs/>
          <w:lang w:val="fr-FR"/>
        </w:rPr>
        <w:t>Signalisation des véhicules fonctionnant à l’hydrogène</w:t>
      </w:r>
    </w:p>
    <w:p w14:paraId="49119FC2" w14:textId="77777777" w:rsidR="001B531B" w:rsidRPr="00E9592A" w:rsidRDefault="001B531B" w:rsidP="001B531B">
      <w:pPr>
        <w:pStyle w:val="SingleTxtG"/>
        <w:ind w:left="2268"/>
        <w:rPr>
          <w:b/>
          <w:bCs/>
        </w:rPr>
      </w:pPr>
      <w:r w:rsidRPr="00E9592A">
        <w:rPr>
          <w:b/>
          <w:bCs/>
          <w:lang w:val="fr-FR"/>
        </w:rPr>
        <w:t>Des étiquettes conformes aux prescriptions de l’annexe 6 doivent être placées sur les véhicules des catégories M</w:t>
      </w:r>
      <w:r w:rsidRPr="00E9592A">
        <w:rPr>
          <w:b/>
          <w:bCs/>
          <w:vertAlign w:val="subscript"/>
          <w:lang w:val="fr-FR"/>
        </w:rPr>
        <w:t>2</w:t>
      </w:r>
      <w:r w:rsidRPr="00E9592A">
        <w:rPr>
          <w:b/>
          <w:bCs/>
          <w:lang w:val="fr-FR"/>
        </w:rPr>
        <w:t>/N</w:t>
      </w:r>
      <w:r w:rsidRPr="00E9592A">
        <w:rPr>
          <w:b/>
          <w:bCs/>
          <w:vertAlign w:val="subscript"/>
          <w:lang w:val="fr-FR"/>
        </w:rPr>
        <w:t>2</w:t>
      </w:r>
      <w:r w:rsidRPr="00E9592A">
        <w:rPr>
          <w:b/>
          <w:bCs/>
          <w:lang w:val="fr-FR"/>
        </w:rPr>
        <w:t xml:space="preserve"> et M</w:t>
      </w:r>
      <w:r w:rsidRPr="00E9592A">
        <w:rPr>
          <w:b/>
          <w:bCs/>
          <w:vertAlign w:val="subscript"/>
          <w:lang w:val="fr-FR"/>
        </w:rPr>
        <w:t>3</w:t>
      </w:r>
      <w:r w:rsidRPr="00E9592A">
        <w:rPr>
          <w:b/>
          <w:bCs/>
          <w:lang w:val="fr-FR"/>
        </w:rPr>
        <w:t>/N</w:t>
      </w:r>
      <w:r w:rsidRPr="00E9592A">
        <w:rPr>
          <w:b/>
          <w:bCs/>
          <w:vertAlign w:val="subscript"/>
          <w:lang w:val="fr-FR"/>
        </w:rPr>
        <w:t>3</w:t>
      </w:r>
      <w:r w:rsidRPr="00E9592A">
        <w:rPr>
          <w:b/>
          <w:bCs/>
          <w:lang w:val="fr-FR"/>
        </w:rPr>
        <w:t xml:space="preserve"> équipés d’un système d’hydrogène comprimé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 xml:space="preserve"> </w:t>
      </w:r>
    </w:p>
    <w:p w14:paraId="442AA008" w14:textId="77777777" w:rsidR="001B531B" w:rsidRPr="00E9592A" w:rsidRDefault="001B531B" w:rsidP="001B531B">
      <w:pPr>
        <w:pStyle w:val="SingleTxtG"/>
        <w:ind w:left="2268"/>
        <w:rPr>
          <w:b/>
          <w:bCs/>
        </w:rPr>
      </w:pPr>
      <w:r w:rsidRPr="00E9592A">
        <w:rPr>
          <w:b/>
          <w:bCs/>
          <w:lang w:val="fr-FR"/>
        </w:rPr>
        <w:t>Ces étiquettes doivent être placées à l’avant du véhicule, ainsi que sur les côtés gauche et droit de celui-ci</w:t>
      </w:r>
      <w:r w:rsidR="00212C3D" w:rsidRPr="00E9592A">
        <w:rPr>
          <w:b/>
          <w:bCs/>
          <w:lang w:val="fr-FR"/>
        </w:rPr>
        <w:t> </w:t>
      </w:r>
      <w:r w:rsidRPr="00E9592A">
        <w:rPr>
          <w:b/>
          <w:bCs/>
          <w:lang w:val="fr-FR"/>
        </w:rPr>
        <w:t>;</w:t>
      </w:r>
      <w:r w:rsidRPr="00E9592A">
        <w:rPr>
          <w:lang w:val="fr-FR"/>
        </w:rPr>
        <w:t xml:space="preserve"> </w:t>
      </w:r>
      <w:r w:rsidRPr="00E9592A">
        <w:rPr>
          <w:b/>
          <w:bCs/>
          <w:lang w:val="fr-FR"/>
        </w:rPr>
        <w:t>les étiquettes placées sur les côtés devraient l’être à proximité d’une porte avant, le cas échéant</w:t>
      </w:r>
      <w:r w:rsidR="00F12DA8" w:rsidRPr="00E9592A">
        <w:rPr>
          <w:b/>
          <w:bCs/>
          <w:lang w:val="fr-FR"/>
        </w:rPr>
        <w:t>.</w:t>
      </w:r>
      <w:r w:rsidRPr="00E9592A">
        <w:rPr>
          <w:lang w:val="fr-FR"/>
        </w:rPr>
        <w:t xml:space="preserve"> </w:t>
      </w:r>
      <w:r w:rsidRPr="00E9592A">
        <w:rPr>
          <w:b/>
          <w:bCs/>
          <w:lang w:val="fr-FR"/>
        </w:rPr>
        <w:t>En l’absence de porte avant, l’étiquette doit être placée sur le premier tiers de la longueur du véhicule</w:t>
      </w:r>
      <w:r w:rsidR="00F12DA8" w:rsidRPr="00E9592A">
        <w:rPr>
          <w:b/>
          <w:bCs/>
          <w:lang w:val="fr-FR"/>
        </w:rPr>
        <w:t>.</w:t>
      </w:r>
      <w:r w:rsidRPr="00E9592A">
        <w:rPr>
          <w:lang w:val="fr-FR"/>
        </w:rPr>
        <w:t xml:space="preserve"> </w:t>
      </w:r>
      <w:r w:rsidRPr="00E9592A">
        <w:rPr>
          <w:b/>
          <w:bCs/>
          <w:lang w:val="fr-FR"/>
        </w:rPr>
        <w:t>En outre, pour les véhicules des catégories M</w:t>
      </w:r>
      <w:r w:rsidRPr="00E9592A">
        <w:rPr>
          <w:b/>
          <w:bCs/>
          <w:vertAlign w:val="subscript"/>
          <w:lang w:val="fr-FR"/>
        </w:rPr>
        <w:t>2</w:t>
      </w:r>
      <w:r w:rsidRPr="00E9592A">
        <w:rPr>
          <w:b/>
          <w:bCs/>
          <w:lang w:val="fr-FR"/>
        </w:rPr>
        <w:t xml:space="preserve"> et M</w:t>
      </w:r>
      <w:r w:rsidRPr="00E9592A">
        <w:rPr>
          <w:b/>
          <w:bCs/>
          <w:vertAlign w:val="subscript"/>
          <w:lang w:val="fr-FR"/>
        </w:rPr>
        <w:t>3</w:t>
      </w:r>
      <w:r w:rsidRPr="00E9592A">
        <w:rPr>
          <w:b/>
          <w:bCs/>
          <w:lang w:val="fr-FR"/>
        </w:rPr>
        <w:t>, une étiquette doit être apposée à l’arrière du véhicule</w:t>
      </w:r>
      <w:r w:rsidR="00F12DA8" w:rsidRPr="00E9592A">
        <w:rPr>
          <w:lang w:val="fr-FR"/>
        </w:rPr>
        <w:t>.</w:t>
      </w:r>
      <w:r w:rsidR="00ED63D6">
        <w:rPr>
          <w:lang w:val="fr-FR"/>
        </w:rPr>
        <w:t> </w:t>
      </w:r>
      <w:bookmarkStart w:id="0" w:name="_GoBack"/>
      <w:bookmarkEnd w:id="0"/>
      <w:r w:rsidRPr="00E9592A">
        <w:rPr>
          <w:lang w:val="fr-FR"/>
        </w:rPr>
        <w:t>»</w:t>
      </w:r>
      <w:r w:rsidR="00F12DA8" w:rsidRPr="00E9592A">
        <w:rPr>
          <w:lang w:val="fr-FR"/>
        </w:rPr>
        <w:t>.</w:t>
      </w:r>
    </w:p>
    <w:p w14:paraId="324A227B" w14:textId="77777777" w:rsidR="001B531B" w:rsidRPr="00E9592A" w:rsidRDefault="001B531B" w:rsidP="001B531B">
      <w:pPr>
        <w:pStyle w:val="SingleTxtG"/>
        <w:rPr>
          <w:i/>
        </w:rPr>
      </w:pPr>
      <w:r w:rsidRPr="00E9592A">
        <w:rPr>
          <w:i/>
          <w:iCs/>
          <w:lang w:val="fr-FR"/>
        </w:rPr>
        <w:t>Ajouter les nouveaux paragraphes</w:t>
      </w:r>
      <w:r w:rsidRPr="00E9592A">
        <w:rPr>
          <w:lang w:val="fr-FR"/>
        </w:rPr>
        <w:t xml:space="preserve"> </w:t>
      </w:r>
      <w:r w:rsidRPr="00E9592A">
        <w:rPr>
          <w:i/>
          <w:iCs/>
          <w:lang w:val="fr-FR"/>
        </w:rPr>
        <w:t>13</w:t>
      </w:r>
      <w:r w:rsidR="00F12DA8" w:rsidRPr="00E9592A">
        <w:rPr>
          <w:i/>
          <w:iCs/>
          <w:lang w:val="fr-FR"/>
        </w:rPr>
        <w:t>.</w:t>
      </w:r>
      <w:r w:rsidRPr="00E9592A">
        <w:rPr>
          <w:i/>
          <w:iCs/>
          <w:lang w:val="fr-FR"/>
        </w:rPr>
        <w:t>1 à 13</w:t>
      </w:r>
      <w:r w:rsidR="00F12DA8" w:rsidRPr="00E9592A">
        <w:rPr>
          <w:i/>
          <w:iCs/>
          <w:lang w:val="fr-FR"/>
        </w:rPr>
        <w:t>.</w:t>
      </w:r>
      <w:r w:rsidRPr="00E9592A">
        <w:rPr>
          <w:i/>
          <w:iCs/>
          <w:lang w:val="fr-FR"/>
        </w:rPr>
        <w:t>6</w:t>
      </w:r>
      <w:r w:rsidRPr="00E9592A">
        <w:rPr>
          <w:lang w:val="fr-FR"/>
        </w:rPr>
        <w:t xml:space="preserve">, libellés comme suit : </w:t>
      </w:r>
    </w:p>
    <w:p w14:paraId="61199EC6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t>« </w:t>
      </w:r>
      <w:r w:rsidRPr="00E9592A">
        <w:rPr>
          <w:b/>
          <w:bCs/>
        </w:rPr>
        <w:t>13</w:t>
      </w:r>
      <w:r w:rsidR="00F12DA8" w:rsidRPr="00E9592A">
        <w:rPr>
          <w:b/>
          <w:bCs/>
        </w:rPr>
        <w:t>.</w:t>
      </w:r>
      <w:r w:rsidRPr="00E9592A">
        <w:rPr>
          <w:b/>
          <w:bCs/>
        </w:rPr>
        <w:t>1</w:t>
      </w:r>
      <w:r w:rsidRPr="00E9592A">
        <w:rPr>
          <w:b/>
          <w:bCs/>
        </w:rPr>
        <w:tab/>
        <w:t xml:space="preserve">À compter de la date officielle d’entrée en vigueur de la série 01 d’amendements, aucune Partie contractante appliquant le présent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 xml:space="preserve">ne pourra refuser d’accorder ou d’accepter une </w:t>
      </w:r>
      <w:r w:rsidRPr="00E9592A">
        <w:rPr>
          <w:b/>
          <w:bCs/>
        </w:rPr>
        <w:lastRenderedPageBreak/>
        <w:t xml:space="preserve">homologation de type en vertu dudit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>tel que modifié par la série 01 d’amendements</w:t>
      </w:r>
      <w:r w:rsidR="00CA4C2E" w:rsidRPr="00E9592A">
        <w:rPr>
          <w:b/>
          <w:bCs/>
        </w:rPr>
        <w:t>.</w:t>
      </w:r>
    </w:p>
    <w:p w14:paraId="2EED06D2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rPr>
          <w:b/>
          <w:bCs/>
        </w:rPr>
        <w:t>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2</w:t>
      </w:r>
      <w:r w:rsidRPr="00E9592A">
        <w:rPr>
          <w:b/>
          <w:bCs/>
        </w:rPr>
        <w:tab/>
        <w:t>À compter du [1</w:t>
      </w:r>
      <w:r w:rsidRPr="00E9592A">
        <w:rPr>
          <w:b/>
          <w:bCs/>
          <w:vertAlign w:val="superscript"/>
        </w:rPr>
        <w:t>er</w:t>
      </w:r>
      <w:r w:rsidRPr="00E9592A">
        <w:rPr>
          <w:b/>
          <w:bCs/>
        </w:rPr>
        <w:t xml:space="preserve"> septembre 2022,] les Parties contractantes appliquant le présent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 xml:space="preserve">ne seront plus tenues d’accepter les homologations de type en vertu de la version originale dudit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>délivrées pour la première fois [le 1</w:t>
      </w:r>
      <w:r w:rsidRPr="00E9592A">
        <w:rPr>
          <w:b/>
          <w:bCs/>
          <w:vertAlign w:val="superscript"/>
        </w:rPr>
        <w:t>er</w:t>
      </w:r>
      <w:r w:rsidRPr="00E9592A">
        <w:rPr>
          <w:b/>
          <w:bCs/>
        </w:rPr>
        <w:t xml:space="preserve"> septembre 2022] ou après cette date</w:t>
      </w:r>
      <w:r w:rsidR="00CA4C2E" w:rsidRPr="00E9592A">
        <w:rPr>
          <w:b/>
          <w:bCs/>
        </w:rPr>
        <w:t>.</w:t>
      </w:r>
    </w:p>
    <w:p w14:paraId="562B678D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rPr>
          <w:b/>
          <w:bCs/>
        </w:rPr>
        <w:t>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3</w:t>
      </w:r>
      <w:r w:rsidRPr="00E9592A">
        <w:rPr>
          <w:b/>
          <w:bCs/>
        </w:rPr>
        <w:tab/>
        <w:t>Jusqu’au [1</w:t>
      </w:r>
      <w:r w:rsidRPr="00E9592A">
        <w:rPr>
          <w:b/>
          <w:bCs/>
          <w:vertAlign w:val="superscript"/>
        </w:rPr>
        <w:t>er</w:t>
      </w:r>
      <w:r w:rsidRPr="00E9592A">
        <w:rPr>
          <w:b/>
          <w:bCs/>
        </w:rPr>
        <w:t xml:space="preserve"> septembre 2024,] les Parties contractantes appliquant le présent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 xml:space="preserve">seront tenues d’accepter les homologations de type en vertu de la version originale dudit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>délivrées pour la première fois avant le [1</w:t>
      </w:r>
      <w:r w:rsidRPr="00E9592A">
        <w:rPr>
          <w:b/>
          <w:bCs/>
          <w:vertAlign w:val="superscript"/>
        </w:rPr>
        <w:t xml:space="preserve">er </w:t>
      </w:r>
      <w:r w:rsidRPr="00E9592A">
        <w:rPr>
          <w:b/>
          <w:bCs/>
        </w:rPr>
        <w:t>septembre 2022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]</w:t>
      </w:r>
    </w:p>
    <w:p w14:paraId="5A306E14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rPr>
          <w:b/>
          <w:bCs/>
        </w:rPr>
        <w:t>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4</w:t>
      </w:r>
      <w:r w:rsidRPr="00E9592A">
        <w:rPr>
          <w:b/>
          <w:bCs/>
        </w:rPr>
        <w:tab/>
        <w:t>À compter du [1</w:t>
      </w:r>
      <w:r w:rsidRPr="00E9592A">
        <w:rPr>
          <w:b/>
          <w:bCs/>
          <w:vertAlign w:val="superscript"/>
        </w:rPr>
        <w:t>er</w:t>
      </w:r>
      <w:r w:rsidRPr="00E9592A">
        <w:rPr>
          <w:b/>
          <w:bCs/>
        </w:rPr>
        <w:t xml:space="preserve"> septembre 2024], les Parties contractantes appliquant le présent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 xml:space="preserve">ne seront plus tenues d’accepter les homologations de type délivrées en vertu de la version originale dudit </w:t>
      </w:r>
      <w:r w:rsidR="00143FB6" w:rsidRPr="00E9592A">
        <w:rPr>
          <w:b/>
          <w:bCs/>
        </w:rPr>
        <w:t>Règlement</w:t>
      </w:r>
      <w:r w:rsidR="00E9592A" w:rsidRPr="00E9592A">
        <w:rPr>
          <w:b/>
          <w:bCs/>
        </w:rPr>
        <w:t xml:space="preserve"> ONU</w:t>
      </w:r>
      <w:r w:rsidR="00CA4C2E" w:rsidRPr="00E9592A">
        <w:rPr>
          <w:b/>
          <w:bCs/>
        </w:rPr>
        <w:t>.</w:t>
      </w:r>
    </w:p>
    <w:p w14:paraId="0EFBD7A6" w14:textId="77777777" w:rsidR="001B531B" w:rsidRPr="00E9592A" w:rsidRDefault="001B531B" w:rsidP="001B531B">
      <w:pPr>
        <w:pStyle w:val="SingleTxtG"/>
        <w:ind w:left="2268" w:hanging="1134"/>
        <w:rPr>
          <w:b/>
          <w:bCs/>
        </w:rPr>
      </w:pPr>
      <w:r w:rsidRPr="00E9592A">
        <w:rPr>
          <w:b/>
          <w:bCs/>
        </w:rPr>
        <w:t>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5</w:t>
      </w:r>
      <w:r w:rsidRPr="00E9592A">
        <w:rPr>
          <w:b/>
          <w:bCs/>
        </w:rPr>
        <w:tab/>
        <w:t>Nonobstant les dispositions des paragraphes 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>2 et 13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 xml:space="preserve">4, les Parties contractantes appliquant le présent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 xml:space="preserve">continueront de reconnaître les homologations de type délivrées en vertu de la version originale dudit </w:t>
      </w:r>
      <w:r w:rsidR="00143FB6" w:rsidRPr="00E9592A">
        <w:rPr>
          <w:b/>
          <w:bCs/>
        </w:rPr>
        <w:t>Règlement</w:t>
      </w:r>
      <w:r w:rsidRPr="00E9592A">
        <w:rPr>
          <w:b/>
          <w:bCs/>
        </w:rPr>
        <w:t xml:space="preserve"> </w:t>
      </w:r>
      <w:r w:rsidR="00E9592A" w:rsidRPr="00E9592A">
        <w:rPr>
          <w:b/>
          <w:bCs/>
        </w:rPr>
        <w:t xml:space="preserve">ONU </w:t>
      </w:r>
      <w:r w:rsidRPr="00E9592A">
        <w:rPr>
          <w:b/>
          <w:bCs/>
        </w:rPr>
        <w:t>pour les véhicules ou les systèmes pour véhicules non concernés par les modifications apportées par la série 01 d’amendements</w:t>
      </w:r>
      <w:r w:rsidR="00CA4C2E" w:rsidRPr="00E9592A">
        <w:rPr>
          <w:b/>
          <w:bCs/>
        </w:rPr>
        <w:t>.</w:t>
      </w:r>
      <w:r w:rsidRPr="00E9592A">
        <w:rPr>
          <w:b/>
          <w:bCs/>
        </w:rPr>
        <w:t xml:space="preserve"> </w:t>
      </w:r>
    </w:p>
    <w:p w14:paraId="6E8CC1BC" w14:textId="77777777" w:rsidR="001B531B" w:rsidRPr="00E9592A" w:rsidRDefault="001B531B" w:rsidP="001B531B">
      <w:pPr>
        <w:pStyle w:val="SingleTxtG"/>
        <w:ind w:left="2268" w:hanging="1134"/>
        <w:rPr>
          <w:lang w:val="fr-FR"/>
        </w:rPr>
      </w:pPr>
      <w:r w:rsidRPr="00E9592A">
        <w:rPr>
          <w:b/>
          <w:bCs/>
          <w:lang w:val="fr-FR"/>
        </w:rPr>
        <w:t>13</w:t>
      </w:r>
      <w:r w:rsidR="00CA4C2E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6</w:t>
      </w:r>
      <w:r w:rsidRPr="00E9592A">
        <w:rPr>
          <w:b/>
          <w:bCs/>
          <w:lang w:val="fr-FR"/>
        </w:rPr>
        <w:tab/>
        <w:t xml:space="preserve">Les Parties contractantes appliquant le présent </w:t>
      </w:r>
      <w:r w:rsidR="00143FB6" w:rsidRPr="00E9592A">
        <w:rPr>
          <w:b/>
          <w:bCs/>
          <w:lang w:val="fr-FR"/>
        </w:rPr>
        <w:t>Règlement</w:t>
      </w:r>
      <w:r w:rsidRPr="00E9592A">
        <w:rPr>
          <w:b/>
          <w:bCs/>
          <w:lang w:val="fr-FR"/>
        </w:rPr>
        <w:t xml:space="preserve"> </w:t>
      </w:r>
      <w:r w:rsidR="00E9592A" w:rsidRPr="00E9592A">
        <w:rPr>
          <w:b/>
          <w:bCs/>
          <w:lang w:val="fr-FR"/>
        </w:rPr>
        <w:t xml:space="preserve">ONU </w:t>
      </w:r>
      <w:r w:rsidRPr="00E9592A">
        <w:rPr>
          <w:b/>
          <w:bCs/>
          <w:lang w:val="fr-FR"/>
        </w:rPr>
        <w:t xml:space="preserve">ne pourront refuser d’accorder des homologations de type en vertu de l’une quelconque des précédentes séries d’amendements audit </w:t>
      </w:r>
      <w:r w:rsidR="00143FB6" w:rsidRPr="00E9592A">
        <w:rPr>
          <w:b/>
          <w:bCs/>
          <w:lang w:val="fr-FR"/>
        </w:rPr>
        <w:t>Règlement</w:t>
      </w:r>
      <w:r w:rsidR="00E9592A" w:rsidRPr="00E9592A">
        <w:rPr>
          <w:b/>
          <w:bCs/>
          <w:lang w:val="fr-FR"/>
        </w:rPr>
        <w:t xml:space="preserve"> ONU</w:t>
      </w:r>
      <w:r w:rsidRPr="00E9592A">
        <w:rPr>
          <w:b/>
          <w:bCs/>
          <w:lang w:val="fr-FR"/>
        </w:rPr>
        <w:t>, ou d’accorder des extensions pour les homologations en question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 </w:t>
      </w:r>
      <w:r w:rsidRPr="00E9592A">
        <w:rPr>
          <w:lang w:val="fr-FR"/>
        </w:rPr>
        <w:t>»</w:t>
      </w:r>
      <w:r w:rsidR="00F12DA8" w:rsidRPr="00E9592A">
        <w:rPr>
          <w:lang w:val="fr-FR"/>
        </w:rPr>
        <w:t>.</w:t>
      </w:r>
    </w:p>
    <w:p w14:paraId="28F13F9C" w14:textId="77777777" w:rsidR="001B531B" w:rsidRPr="00E9592A" w:rsidRDefault="001B531B" w:rsidP="001B531B">
      <w:pPr>
        <w:pStyle w:val="SingleTxtG"/>
        <w:rPr>
          <w:rFonts w:eastAsia="Yu Mincho"/>
          <w:bCs/>
          <w:snapToGrid w:val="0"/>
        </w:rPr>
      </w:pPr>
      <w:r w:rsidRPr="00E9592A">
        <w:rPr>
          <w:rFonts w:eastAsia="Yu Mincho"/>
          <w:bCs/>
          <w:i/>
          <w:iCs/>
          <w:snapToGrid w:val="0"/>
        </w:rPr>
        <w:t>Annexe 2</w:t>
      </w:r>
      <w:r w:rsidRPr="00E9592A">
        <w:rPr>
          <w:rFonts w:eastAsia="Yu Mincho"/>
          <w:bCs/>
          <w:snapToGrid w:val="0"/>
        </w:rPr>
        <w:t>, lire :</w:t>
      </w:r>
    </w:p>
    <w:p w14:paraId="4A221651" w14:textId="77777777" w:rsidR="001B531B" w:rsidRPr="00E9592A" w:rsidRDefault="001B531B" w:rsidP="001B531B">
      <w:pPr>
        <w:pStyle w:val="HChG"/>
      </w:pPr>
      <w:r w:rsidRPr="00E9592A">
        <w:rPr>
          <w:b w:val="0"/>
          <w:bCs/>
          <w:sz w:val="20"/>
          <w:lang w:val="fr-FR"/>
        </w:rPr>
        <w:t>« </w:t>
      </w:r>
      <w:r w:rsidRPr="00E9592A">
        <w:rPr>
          <w:lang w:val="fr-FR"/>
        </w:rPr>
        <w:t>Annexe 2</w:t>
      </w:r>
    </w:p>
    <w:p w14:paraId="18BF08AE" w14:textId="77777777" w:rsidR="001B531B" w:rsidRPr="00E9592A" w:rsidRDefault="001B531B" w:rsidP="006346A8">
      <w:pPr>
        <w:pStyle w:val="HChG"/>
      </w:pPr>
      <w:r w:rsidRPr="00E9592A">
        <w:rPr>
          <w:lang w:val="fr-FR"/>
        </w:rPr>
        <w:tab/>
      </w:r>
      <w:r w:rsidRPr="00E9592A">
        <w:rPr>
          <w:lang w:val="fr-FR"/>
        </w:rPr>
        <w:tab/>
        <w:t>Exemples de marques d’homologation</w:t>
      </w:r>
    </w:p>
    <w:p w14:paraId="73BCBA39" w14:textId="77777777" w:rsidR="001B531B" w:rsidRPr="00E9592A" w:rsidRDefault="001B531B" w:rsidP="006346A8">
      <w:pPr>
        <w:pStyle w:val="SingleTxtG"/>
        <w:jc w:val="left"/>
      </w:pPr>
      <w:r w:rsidRPr="00E9592A">
        <w:rPr>
          <w:lang w:val="fr-FR"/>
        </w:rPr>
        <w:t xml:space="preserve">Modèle A </w:t>
      </w:r>
      <w:r w:rsidR="006346A8" w:rsidRPr="00E9592A">
        <w:rPr>
          <w:lang w:val="fr-FR"/>
        </w:rPr>
        <w:br/>
      </w:r>
      <w:r w:rsidRPr="00E9592A">
        <w:rPr>
          <w:lang w:val="fr-FR"/>
        </w:rPr>
        <w:t>(voir les paragraphes 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4 à 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2 du présent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>)</w:t>
      </w:r>
    </w:p>
    <w:p w14:paraId="2A4113B2" w14:textId="77777777" w:rsidR="001B531B" w:rsidRPr="00E9592A" w:rsidRDefault="001B531B" w:rsidP="001B531B">
      <w:pPr>
        <w:spacing w:line="240" w:lineRule="auto"/>
        <w:jc w:val="center"/>
        <w:rPr>
          <w:b/>
        </w:rPr>
      </w:pPr>
    </w:p>
    <w:p w14:paraId="1D9D583A" w14:textId="77777777" w:rsidR="001B531B" w:rsidRPr="00E9592A" w:rsidRDefault="006346A8" w:rsidP="001B531B">
      <w:pPr>
        <w:spacing w:line="240" w:lineRule="auto"/>
        <w:jc w:val="center"/>
        <w:rPr>
          <w:b/>
        </w:rPr>
      </w:pPr>
      <w:r w:rsidRPr="00E9592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0114B" wp14:editId="05543F25">
                <wp:simplePos x="0" y="0"/>
                <wp:positionH relativeFrom="column">
                  <wp:posOffset>2969223</wp:posOffset>
                </wp:positionH>
                <wp:positionV relativeFrom="paragraph">
                  <wp:posOffset>338970</wp:posOffset>
                </wp:positionV>
                <wp:extent cx="1411242" cy="258856"/>
                <wp:effectExtent l="0" t="0" r="0" b="82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242" cy="25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2716" w14:textId="77777777" w:rsidR="006346A8" w:rsidRPr="006346A8" w:rsidRDefault="006346A8" w:rsidP="006346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4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134R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46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01185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1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3.8pt;margin-top:26.7pt;width:111.1pt;height:2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" fillcolor="white [3212]" stroked="f">
                <v:textbox inset="0,0,0,0">
                  <w:txbxContent>
                    <w:p w14:paraId="0AC32716" w14:textId="77777777" w:rsidR="006346A8" w:rsidRPr="006346A8" w:rsidRDefault="006346A8" w:rsidP="006346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46A8">
                        <w:rPr>
                          <w:b/>
                          <w:bCs/>
                          <w:sz w:val="28"/>
                          <w:szCs w:val="28"/>
                        </w:rPr>
                        <w:t>134R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46A8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46A8">
                        <w:rPr>
                          <w:b/>
                          <w:bCs/>
                          <w:sz w:val="28"/>
                          <w:szCs w:val="28"/>
                        </w:rPr>
                        <w:t>01185</w:t>
                      </w:r>
                    </w:p>
                  </w:txbxContent>
                </v:textbox>
              </v:shape>
            </w:pict>
          </mc:Fallback>
        </mc:AlternateContent>
      </w:r>
      <w:r w:rsidR="001B531B" w:rsidRPr="00E9592A">
        <w:rPr>
          <w:b/>
          <w:noProof/>
          <w:lang w:val="nl-NL" w:eastAsia="nl-NL"/>
        </w:rPr>
        <w:drawing>
          <wp:inline distT="0" distB="0" distL="0" distR="0" wp14:anchorId="0C071A34" wp14:editId="0784F35E">
            <wp:extent cx="3924300" cy="939828"/>
            <wp:effectExtent l="0" t="0" r="0" b="0"/>
            <wp:docPr id="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71" cy="9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6444" w14:textId="77777777" w:rsidR="001B531B" w:rsidRPr="00E9592A" w:rsidRDefault="001B531B" w:rsidP="006346A8">
      <w:pPr>
        <w:spacing w:after="240" w:line="240" w:lineRule="auto"/>
        <w:ind w:left="1134" w:right="2268"/>
        <w:jc w:val="right"/>
        <w:rPr>
          <w:sz w:val="18"/>
          <w:szCs w:val="18"/>
        </w:rPr>
      </w:pPr>
      <w:r w:rsidRPr="00E9592A">
        <w:rPr>
          <w:sz w:val="18"/>
          <w:szCs w:val="18"/>
          <w:lang w:val="fr-FR"/>
        </w:rPr>
        <w:t>a = 8 mm min</w:t>
      </w:r>
      <w:r w:rsidR="00F12DA8" w:rsidRPr="00E9592A">
        <w:rPr>
          <w:sz w:val="18"/>
          <w:szCs w:val="18"/>
          <w:lang w:val="fr-FR"/>
        </w:rPr>
        <w:t>.</w:t>
      </w:r>
    </w:p>
    <w:p w14:paraId="32694B36" w14:textId="77777777" w:rsidR="001B531B" w:rsidRPr="00E9592A" w:rsidRDefault="006346A8" w:rsidP="001B531B">
      <w:pPr>
        <w:pStyle w:val="SingleTxtG"/>
        <w:rPr>
          <w:b/>
        </w:rPr>
      </w:pPr>
      <w:r w:rsidRPr="00E9592A">
        <w:rPr>
          <w:lang w:val="fr-FR"/>
        </w:rPr>
        <w:tab/>
      </w:r>
      <w:r w:rsidR="001B531B" w:rsidRPr="00E9592A">
        <w:rPr>
          <w:lang w:val="fr-FR"/>
        </w:rPr>
        <w:t xml:space="preserve">La marque d’homologation ci-dessus, apposée sur un véhicule/système de stockage/composant spécifique, indique que le type de ce véhicule/système de stockage/composant spécifique a été homologué en Belgique (E6) en ce qui concerne les prescriptions de sécurité des véhicules fonctionnant à l’hydrogène en vertu du </w:t>
      </w:r>
      <w:r w:rsidR="00143FB6" w:rsidRPr="00E9592A">
        <w:rPr>
          <w:lang w:val="fr-FR"/>
        </w:rPr>
        <w:t>Règlement</w:t>
      </w:r>
      <w:r w:rsidR="001B531B" w:rsidRPr="00E9592A">
        <w:rPr>
          <w:lang w:val="fr-FR"/>
        </w:rPr>
        <w:t xml:space="preserve"> </w:t>
      </w:r>
      <w:r w:rsidR="00E9592A" w:rsidRPr="00E9592A">
        <w:rPr>
          <w:lang w:val="fr-FR"/>
        </w:rPr>
        <w:t xml:space="preserve">ONU </w:t>
      </w:r>
      <w:r w:rsidR="001B531B" w:rsidRPr="00E9592A">
        <w:rPr>
          <w:lang w:val="fr-FR"/>
        </w:rPr>
        <w:t>n</w:t>
      </w:r>
      <w:r w:rsidR="001B531B" w:rsidRPr="00E9592A">
        <w:rPr>
          <w:vertAlign w:val="superscript"/>
          <w:lang w:val="fr-FR"/>
        </w:rPr>
        <w:t>o</w:t>
      </w:r>
      <w:r w:rsidR="00212C3D" w:rsidRPr="00E9592A">
        <w:rPr>
          <w:lang w:val="fr-FR"/>
        </w:rPr>
        <w:t> </w:t>
      </w:r>
      <w:r w:rsidR="001B531B" w:rsidRPr="00E9592A">
        <w:rPr>
          <w:lang w:val="fr-FR"/>
        </w:rPr>
        <w:t>134</w:t>
      </w:r>
      <w:r w:rsidR="00F12DA8" w:rsidRPr="00E9592A">
        <w:rPr>
          <w:lang w:val="fr-FR"/>
        </w:rPr>
        <w:t>.</w:t>
      </w:r>
      <w:r w:rsidR="001B531B" w:rsidRPr="00E9592A">
        <w:rPr>
          <w:lang w:val="fr-FR"/>
        </w:rPr>
        <w:t xml:space="preserve"> Les deux premiers chiffres du numéro d’homologation indiquent que l’homologation a été délivrée conformément aux dispositions du </w:t>
      </w:r>
      <w:r w:rsidR="00143FB6" w:rsidRPr="00E9592A">
        <w:rPr>
          <w:lang w:val="fr-FR"/>
        </w:rPr>
        <w:t>Règlement</w:t>
      </w:r>
      <w:r w:rsidR="001B531B" w:rsidRPr="00E9592A">
        <w:rPr>
          <w:lang w:val="fr-FR"/>
        </w:rPr>
        <w:t xml:space="preserve"> </w:t>
      </w:r>
      <w:r w:rsidR="00E9592A" w:rsidRPr="00E9592A">
        <w:rPr>
          <w:lang w:val="fr-FR"/>
        </w:rPr>
        <w:t xml:space="preserve">ONU </w:t>
      </w:r>
      <w:r w:rsidR="001B531B" w:rsidRPr="00E9592A">
        <w:rPr>
          <w:lang w:val="fr-FR"/>
        </w:rPr>
        <w:t>n</w:t>
      </w:r>
      <w:r w:rsidR="001B531B" w:rsidRPr="00E9592A">
        <w:rPr>
          <w:vertAlign w:val="superscript"/>
          <w:lang w:val="fr-FR"/>
        </w:rPr>
        <w:t>o</w:t>
      </w:r>
      <w:r w:rsidR="00212C3D" w:rsidRPr="00E9592A">
        <w:rPr>
          <w:lang w:val="fr-FR"/>
        </w:rPr>
        <w:t> </w:t>
      </w:r>
      <w:r w:rsidR="001B531B" w:rsidRPr="00E9592A">
        <w:rPr>
          <w:lang w:val="fr-FR"/>
        </w:rPr>
        <w:t xml:space="preserve">134 </w:t>
      </w:r>
      <w:r w:rsidR="001B531B" w:rsidRPr="00E9592A">
        <w:rPr>
          <w:strike/>
          <w:lang w:val="fr-FR"/>
        </w:rPr>
        <w:t>sous sa forme originale</w:t>
      </w:r>
      <w:r w:rsidR="001B531B" w:rsidRPr="00E9592A">
        <w:rPr>
          <w:lang w:val="fr-FR"/>
        </w:rPr>
        <w:t xml:space="preserve"> </w:t>
      </w:r>
      <w:r w:rsidR="001B531B" w:rsidRPr="00E9592A">
        <w:rPr>
          <w:b/>
          <w:bCs/>
          <w:lang w:val="fr-FR"/>
        </w:rPr>
        <w:t>tel que modifié par la série 01 d’amendements</w:t>
      </w:r>
      <w:r w:rsidR="00F12DA8" w:rsidRPr="00E9592A">
        <w:rPr>
          <w:lang w:val="fr-FR"/>
        </w:rPr>
        <w:t>.</w:t>
      </w:r>
    </w:p>
    <w:p w14:paraId="0C772D8A" w14:textId="77777777" w:rsidR="001B531B" w:rsidRPr="00E9592A" w:rsidRDefault="001B531B" w:rsidP="006346A8">
      <w:pPr>
        <w:pStyle w:val="SingleTxtG"/>
        <w:keepNext/>
        <w:jc w:val="left"/>
      </w:pPr>
      <w:r w:rsidRPr="00E9592A">
        <w:rPr>
          <w:lang w:val="fr-FR"/>
        </w:rPr>
        <w:lastRenderedPageBreak/>
        <w:t xml:space="preserve">Modèle B </w:t>
      </w:r>
      <w:r w:rsidR="006346A8" w:rsidRPr="00E9592A">
        <w:rPr>
          <w:lang w:val="fr-FR"/>
        </w:rPr>
        <w:br/>
      </w:r>
      <w:r w:rsidRPr="00E9592A">
        <w:rPr>
          <w:lang w:val="fr-FR"/>
        </w:rPr>
        <w:t>(voir le paragraphe 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5 du présent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>)</w:t>
      </w:r>
    </w:p>
    <w:p w14:paraId="531AAF38" w14:textId="77777777" w:rsidR="001B531B" w:rsidRPr="00E9592A" w:rsidRDefault="006346A8" w:rsidP="001B531B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40" w:lineRule="auto"/>
        <w:ind w:left="756"/>
        <w:rPr>
          <w:sz w:val="24"/>
          <w:szCs w:val="24"/>
        </w:rPr>
      </w:pPr>
      <w:r w:rsidRPr="00E9592A"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912A6" wp14:editId="49CD384E">
                <wp:simplePos x="0" y="0"/>
                <wp:positionH relativeFrom="column">
                  <wp:posOffset>4791504</wp:posOffset>
                </wp:positionH>
                <wp:positionV relativeFrom="paragraph">
                  <wp:posOffset>43180</wp:posOffset>
                </wp:positionV>
                <wp:extent cx="581660" cy="728345"/>
                <wp:effectExtent l="0" t="0" r="6985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F71FE" w14:textId="77777777" w:rsidR="001B531B" w:rsidRDefault="006346A8" w:rsidP="001B531B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71593BC8" wp14:editId="0757646A">
                                  <wp:extent cx="400050" cy="666750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12A6" id="Tekstvak 7" o:spid="_x0000_s1027" type="#_x0000_t202" style="position:absolute;left:0;text-align:left;margin-left:377.3pt;margin-top:3.4pt;width:45.8pt;height:57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" stroked="f">
                <v:textbox>
                  <w:txbxContent>
                    <w:p w14:paraId="6B8F71FE" w14:textId="77777777" w:rsidR="001B531B" w:rsidRDefault="006346A8" w:rsidP="001B531B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71593BC8" wp14:editId="0757646A">
                            <wp:extent cx="400050" cy="666750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592A">
        <w:rPr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F5E58C" wp14:editId="54740433">
                <wp:simplePos x="0" y="0"/>
                <wp:positionH relativeFrom="column">
                  <wp:posOffset>2260501</wp:posOffset>
                </wp:positionH>
                <wp:positionV relativeFrom="paragraph">
                  <wp:posOffset>144333</wp:posOffset>
                </wp:positionV>
                <wp:extent cx="2536789" cy="713549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789" cy="713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2034"/>
                            </w:tblGrid>
                            <w:tr w:rsidR="006346A8" w:rsidRPr="00D00EBE" w14:paraId="641605D4" w14:textId="77777777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36640DBF" w14:textId="77777777" w:rsidR="001B531B" w:rsidRPr="006346A8" w:rsidRDefault="001B531B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6A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77023B1" w14:textId="77777777" w:rsidR="001B531B" w:rsidRPr="006346A8" w:rsidRDefault="001B531B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6A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02 2492</w:t>
                                  </w:r>
                                </w:p>
                              </w:tc>
                            </w:tr>
                            <w:tr w:rsidR="006346A8" w:rsidRPr="00D65598" w14:paraId="557F7077" w14:textId="77777777" w:rsidTr="009030BE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3BEA8FA0" w14:textId="77777777" w:rsidR="001B531B" w:rsidRPr="006346A8" w:rsidRDefault="001B531B" w:rsidP="009030B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6A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3094BF66" w14:textId="77777777" w:rsidR="001B531B" w:rsidRPr="006346A8" w:rsidRDefault="001B531B" w:rsidP="008D27F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6A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01 1628</w:t>
                                  </w:r>
                                </w:p>
                              </w:tc>
                            </w:tr>
                          </w:tbl>
                          <w:p w14:paraId="150A58DA" w14:textId="77777777" w:rsidR="001B531B" w:rsidRDefault="001B531B" w:rsidP="00634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E58C" id="Tekstvak 4" o:spid="_x0000_s1028" type="#_x0000_t202" style="position:absolute;left:0;text-align:left;margin-left:178pt;margin-top:11.35pt;width:199.75pt;height:5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2034"/>
                      </w:tblGrid>
                      <w:tr w:rsidR="006346A8" w:rsidRPr="00D00EBE" w14:paraId="641605D4" w14:textId="77777777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36640DBF" w14:textId="77777777" w:rsidR="001B531B" w:rsidRPr="006346A8" w:rsidRDefault="001B531B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6A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377023B1" w14:textId="77777777" w:rsidR="001B531B" w:rsidRPr="006346A8" w:rsidRDefault="001B531B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6A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02 2492</w:t>
                            </w:r>
                          </w:p>
                        </w:tc>
                      </w:tr>
                      <w:tr w:rsidR="006346A8" w:rsidRPr="00D65598" w14:paraId="557F7077" w14:textId="77777777" w:rsidTr="009030BE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3BEA8FA0" w14:textId="77777777" w:rsidR="001B531B" w:rsidRPr="006346A8" w:rsidRDefault="001B531B" w:rsidP="009030BE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6A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3094BF66" w14:textId="77777777" w:rsidR="001B531B" w:rsidRPr="006346A8" w:rsidRDefault="001B531B" w:rsidP="008D27F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346A8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01 1628</w:t>
                            </w:r>
                          </w:p>
                        </w:tc>
                      </w:tr>
                    </w:tbl>
                    <w:p w14:paraId="150A58DA" w14:textId="77777777" w:rsidR="001B531B" w:rsidRDefault="001B531B" w:rsidP="006346A8"/>
                  </w:txbxContent>
                </v:textbox>
              </v:shape>
            </w:pict>
          </mc:Fallback>
        </mc:AlternateContent>
      </w:r>
      <w:r w:rsidR="001B531B" w:rsidRPr="00E9592A">
        <w:rPr>
          <w:sz w:val="24"/>
          <w:szCs w:val="24"/>
        </w:rPr>
        <w:tab/>
      </w:r>
      <w:r w:rsidR="001B531B" w:rsidRPr="00E9592A">
        <w:rPr>
          <w:noProof/>
          <w:sz w:val="24"/>
          <w:szCs w:val="24"/>
          <w:lang w:val="nl-NL" w:eastAsia="nl-NL"/>
        </w:rPr>
        <w:drawing>
          <wp:inline distT="0" distB="0" distL="0" distR="0" wp14:anchorId="01D1F84A" wp14:editId="6F2EE79A">
            <wp:extent cx="1628775" cy="904875"/>
            <wp:effectExtent l="0" t="0" r="9525" b="9525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D800" w14:textId="77777777" w:rsidR="001B531B" w:rsidRPr="00E9592A" w:rsidRDefault="001B531B" w:rsidP="006346A8">
      <w:pPr>
        <w:pStyle w:val="SingleTxtG"/>
        <w:spacing w:after="240" w:line="240" w:lineRule="auto"/>
        <w:jc w:val="right"/>
        <w:rPr>
          <w:sz w:val="18"/>
          <w:szCs w:val="18"/>
        </w:rPr>
      </w:pPr>
      <w:r w:rsidRPr="00E9592A">
        <w:rPr>
          <w:sz w:val="18"/>
          <w:szCs w:val="18"/>
          <w:lang w:val="fr-FR"/>
        </w:rPr>
        <w:t>a = 8 mm min</w:t>
      </w:r>
      <w:r w:rsidR="00F12DA8" w:rsidRPr="00E9592A">
        <w:rPr>
          <w:sz w:val="18"/>
          <w:szCs w:val="18"/>
          <w:lang w:val="fr-FR"/>
        </w:rPr>
        <w:t>.</w:t>
      </w:r>
    </w:p>
    <w:p w14:paraId="1E2B5DFB" w14:textId="77777777" w:rsidR="001B531B" w:rsidRPr="00E9592A" w:rsidRDefault="006346A8" w:rsidP="001B531B">
      <w:pPr>
        <w:pStyle w:val="SingleTxtG"/>
      </w:pPr>
      <w:r w:rsidRPr="00E9592A">
        <w:rPr>
          <w:lang w:val="fr-FR"/>
        </w:rPr>
        <w:tab/>
      </w:r>
      <w:r w:rsidR="001B531B" w:rsidRPr="00E9592A">
        <w:rPr>
          <w:lang w:val="fr-FR"/>
        </w:rPr>
        <w:t xml:space="preserve">La marque d’homologation ci-dessus, apposée sur un véhicule, indique que le véhicule routier concerné a été homologué aux Pays-Bas (E 4) en vertu des </w:t>
      </w:r>
      <w:r w:rsidR="00143FB6" w:rsidRPr="00E9592A">
        <w:rPr>
          <w:lang w:val="fr-FR"/>
        </w:rPr>
        <w:t>Règlement</w:t>
      </w:r>
      <w:r w:rsidR="001B531B" w:rsidRPr="00E9592A">
        <w:rPr>
          <w:lang w:val="fr-FR"/>
        </w:rPr>
        <w:t xml:space="preserve">s </w:t>
      </w:r>
      <w:r w:rsidR="00E9592A" w:rsidRPr="00E9592A">
        <w:rPr>
          <w:lang w:val="fr-FR"/>
        </w:rPr>
        <w:t xml:space="preserve">ONU </w:t>
      </w:r>
      <w:r w:rsidRPr="00E9592A">
        <w:rPr>
          <w:rFonts w:eastAsia="MS Mincho"/>
          <w:lang w:val="fr-FR"/>
        </w:rPr>
        <w:t>n</w:t>
      </w:r>
      <w:r w:rsidRPr="00E9592A">
        <w:rPr>
          <w:rFonts w:eastAsia="MS Mincho"/>
          <w:vertAlign w:val="superscript"/>
          <w:lang w:val="fr-FR"/>
        </w:rPr>
        <w:t>os</w:t>
      </w:r>
      <w:r w:rsidR="001E71AC" w:rsidRPr="00E9592A">
        <w:rPr>
          <w:lang w:val="fr-FR"/>
        </w:rPr>
        <w:t> </w:t>
      </w:r>
      <w:r w:rsidR="001B531B" w:rsidRPr="00E9592A">
        <w:rPr>
          <w:lang w:val="fr-FR"/>
        </w:rPr>
        <w:t>134 et 100</w:t>
      </w:r>
      <w:r w:rsidR="001B531B" w:rsidRPr="00E9592A">
        <w:rPr>
          <w:rStyle w:val="Appelnotedebasdep"/>
          <w:sz w:val="20"/>
          <w:vertAlign w:val="baseline"/>
          <w:lang w:val="fr-FR"/>
        </w:rPr>
        <w:footnoteReference w:customMarkFollows="1" w:id="3"/>
        <w:t>*</w:t>
      </w:r>
      <w:r w:rsidR="00F12DA8" w:rsidRPr="00E9592A">
        <w:rPr>
          <w:lang w:val="fr-FR"/>
        </w:rPr>
        <w:t>.</w:t>
      </w:r>
      <w:r w:rsidR="001B531B" w:rsidRPr="00E9592A">
        <w:rPr>
          <w:lang w:val="fr-FR"/>
        </w:rPr>
        <w:t xml:space="preserve"> Le numéro d’homologation indique qu’à la date où les homologations correspondantes ont été délivrées, le </w:t>
      </w:r>
      <w:r w:rsidR="00143FB6" w:rsidRPr="00E9592A">
        <w:rPr>
          <w:lang w:val="fr-FR"/>
        </w:rPr>
        <w:t>Règlement</w:t>
      </w:r>
      <w:r w:rsidR="001B531B" w:rsidRPr="00E9592A">
        <w:rPr>
          <w:lang w:val="fr-FR"/>
        </w:rPr>
        <w:t xml:space="preserve"> </w:t>
      </w:r>
      <w:r w:rsidR="00E9592A" w:rsidRPr="00E9592A">
        <w:rPr>
          <w:lang w:val="fr-FR"/>
        </w:rPr>
        <w:t xml:space="preserve">ONU </w:t>
      </w:r>
      <w:r w:rsidR="001B531B" w:rsidRPr="00E9592A">
        <w:rPr>
          <w:lang w:val="fr-FR"/>
        </w:rPr>
        <w:t>n</w:t>
      </w:r>
      <w:r w:rsidR="001B531B" w:rsidRPr="00E9592A">
        <w:rPr>
          <w:vertAlign w:val="superscript"/>
          <w:lang w:val="fr-FR"/>
        </w:rPr>
        <w:t>o </w:t>
      </w:r>
      <w:r w:rsidR="001B531B" w:rsidRPr="00E9592A">
        <w:rPr>
          <w:lang w:val="fr-FR"/>
        </w:rPr>
        <w:t>100 était modifié par la série</w:t>
      </w:r>
      <w:r w:rsidR="001E71AC" w:rsidRPr="00E9592A">
        <w:rPr>
          <w:lang w:val="fr-FR"/>
        </w:rPr>
        <w:t> </w:t>
      </w:r>
      <w:r w:rsidR="001B531B" w:rsidRPr="00E9592A">
        <w:rPr>
          <w:lang w:val="fr-FR"/>
        </w:rPr>
        <w:t xml:space="preserve">02 d’amendements et le </w:t>
      </w:r>
      <w:r w:rsidR="00143FB6" w:rsidRPr="00E9592A">
        <w:rPr>
          <w:lang w:val="fr-FR"/>
        </w:rPr>
        <w:t>Règlement</w:t>
      </w:r>
      <w:r w:rsidR="001B531B" w:rsidRPr="00E9592A">
        <w:rPr>
          <w:lang w:val="fr-FR"/>
        </w:rPr>
        <w:t xml:space="preserve"> </w:t>
      </w:r>
      <w:r w:rsidR="00E9592A" w:rsidRPr="00E9592A">
        <w:rPr>
          <w:lang w:val="fr-FR"/>
        </w:rPr>
        <w:t xml:space="preserve">ONU </w:t>
      </w:r>
      <w:r w:rsidR="001B531B" w:rsidRPr="00E9592A">
        <w:rPr>
          <w:lang w:val="fr-FR"/>
        </w:rPr>
        <w:t>n</w:t>
      </w:r>
      <w:r w:rsidR="001B531B" w:rsidRPr="00E9592A">
        <w:rPr>
          <w:vertAlign w:val="superscript"/>
          <w:lang w:val="fr-FR"/>
        </w:rPr>
        <w:t>o</w:t>
      </w:r>
      <w:r w:rsidR="00212C3D" w:rsidRPr="00E9592A">
        <w:rPr>
          <w:lang w:val="fr-FR"/>
        </w:rPr>
        <w:t> </w:t>
      </w:r>
      <w:r w:rsidR="001B531B" w:rsidRPr="00E9592A">
        <w:rPr>
          <w:lang w:val="fr-FR"/>
        </w:rPr>
        <w:t xml:space="preserve">134 était </w:t>
      </w:r>
      <w:r w:rsidR="001B531B" w:rsidRPr="00E9592A">
        <w:rPr>
          <w:strike/>
          <w:lang w:val="fr-FR"/>
        </w:rPr>
        <w:t>sous sa forme originale</w:t>
      </w:r>
      <w:r w:rsidR="001B531B" w:rsidRPr="00E9592A">
        <w:rPr>
          <w:lang w:val="fr-FR"/>
        </w:rPr>
        <w:t xml:space="preserve"> </w:t>
      </w:r>
      <w:r w:rsidR="001B531B" w:rsidRPr="00E9592A">
        <w:rPr>
          <w:b/>
          <w:bCs/>
          <w:lang w:val="fr-FR"/>
        </w:rPr>
        <w:t>modifié par la série</w:t>
      </w:r>
      <w:r w:rsidR="001E71AC" w:rsidRPr="00E9592A">
        <w:rPr>
          <w:b/>
          <w:bCs/>
          <w:lang w:val="fr-FR"/>
        </w:rPr>
        <w:t> </w:t>
      </w:r>
      <w:r w:rsidR="001B531B" w:rsidRPr="00E9592A">
        <w:rPr>
          <w:b/>
          <w:bCs/>
          <w:lang w:val="fr-FR"/>
        </w:rPr>
        <w:t>01 d’amendements</w:t>
      </w:r>
      <w:r w:rsidR="00F12DA8" w:rsidRPr="00E9592A">
        <w:rPr>
          <w:lang w:val="fr-FR"/>
        </w:rPr>
        <w:t>.</w:t>
      </w:r>
      <w:r w:rsidR="001B531B" w:rsidRPr="00E9592A">
        <w:rPr>
          <w:lang w:val="fr-FR"/>
        </w:rPr>
        <w:t> »</w:t>
      </w:r>
      <w:r w:rsidR="00F12DA8" w:rsidRPr="00E9592A">
        <w:rPr>
          <w:lang w:val="fr-FR"/>
        </w:rPr>
        <w:t>.</w:t>
      </w:r>
    </w:p>
    <w:p w14:paraId="00C121D5" w14:textId="77777777" w:rsidR="001B531B" w:rsidRPr="00E9592A" w:rsidRDefault="001B531B" w:rsidP="001B531B">
      <w:pPr>
        <w:pStyle w:val="SingleTxtG"/>
        <w:rPr>
          <w:i/>
        </w:rPr>
      </w:pPr>
      <w:r w:rsidRPr="00E9592A">
        <w:rPr>
          <w:i/>
          <w:iCs/>
          <w:lang w:val="fr-FR"/>
        </w:rPr>
        <w:t>Ajouter la nouvelle annexe 6</w:t>
      </w:r>
      <w:r w:rsidRPr="00E9592A">
        <w:rPr>
          <w:lang w:val="fr-FR"/>
        </w:rPr>
        <w:t>, libellée comme suit :</w:t>
      </w:r>
    </w:p>
    <w:p w14:paraId="0C3B8BF9" w14:textId="77777777" w:rsidR="001B531B" w:rsidRPr="00E9592A" w:rsidRDefault="001B531B" w:rsidP="001B531B">
      <w:pPr>
        <w:keepNext/>
        <w:keepLines/>
        <w:tabs>
          <w:tab w:val="right" w:pos="851"/>
        </w:tabs>
        <w:spacing w:before="360" w:after="240" w:line="240" w:lineRule="auto"/>
        <w:ind w:left="1134" w:right="1134" w:hanging="1134"/>
        <w:rPr>
          <w:rStyle w:val="HChGChar"/>
        </w:rPr>
      </w:pPr>
      <w:r w:rsidRPr="00E9592A">
        <w:rPr>
          <w:lang w:val="fr-FR"/>
        </w:rPr>
        <w:t>«</w:t>
      </w:r>
      <w:r w:rsidRPr="00E9592A">
        <w:rPr>
          <w:b/>
          <w:bCs/>
          <w:lang w:val="fr-FR"/>
        </w:rPr>
        <w:t> </w:t>
      </w:r>
      <w:r w:rsidRPr="00E9592A">
        <w:rPr>
          <w:rStyle w:val="HChGChar"/>
        </w:rPr>
        <w:t>Annexe 6</w:t>
      </w:r>
    </w:p>
    <w:p w14:paraId="63758DA6" w14:textId="77777777" w:rsidR="001B531B" w:rsidRPr="00E9592A" w:rsidRDefault="001B531B" w:rsidP="006346A8">
      <w:pPr>
        <w:pStyle w:val="HChG"/>
      </w:pPr>
      <w:r w:rsidRPr="00E9592A">
        <w:rPr>
          <w:lang w:val="fr-FR"/>
        </w:rPr>
        <w:tab/>
      </w:r>
      <w:r w:rsidRPr="00E9592A">
        <w:rPr>
          <w:lang w:val="fr-FR"/>
        </w:rPr>
        <w:tab/>
        <w:t xml:space="preserve">Dispositions relatives à une étiquette pour les véhicules </w:t>
      </w:r>
      <w:r w:rsidR="006346A8" w:rsidRPr="00E9592A">
        <w:rPr>
          <w:lang w:val="fr-FR"/>
        </w:rPr>
        <w:br/>
      </w:r>
      <w:r w:rsidRPr="00E9592A">
        <w:rPr>
          <w:lang w:val="fr-FR"/>
        </w:rPr>
        <w:t>des catégories M</w:t>
      </w:r>
      <w:r w:rsidRPr="00E9592A">
        <w:rPr>
          <w:vertAlign w:val="subscript"/>
          <w:lang w:val="fr-FR"/>
        </w:rPr>
        <w:t>2</w:t>
      </w:r>
      <w:r w:rsidRPr="00E9592A">
        <w:rPr>
          <w:lang w:val="fr-FR"/>
        </w:rPr>
        <w:t>/N</w:t>
      </w:r>
      <w:r w:rsidRPr="00E9592A">
        <w:rPr>
          <w:vertAlign w:val="subscript"/>
          <w:lang w:val="fr-FR"/>
        </w:rPr>
        <w:t>2</w:t>
      </w:r>
      <w:r w:rsidRPr="00E9592A">
        <w:rPr>
          <w:lang w:val="fr-FR"/>
        </w:rPr>
        <w:t xml:space="preserve"> et M</w:t>
      </w:r>
      <w:r w:rsidRPr="00E9592A">
        <w:rPr>
          <w:vertAlign w:val="subscript"/>
          <w:lang w:val="fr-FR"/>
        </w:rPr>
        <w:t>3</w:t>
      </w:r>
      <w:r w:rsidRPr="00E9592A">
        <w:rPr>
          <w:lang w:val="fr-FR"/>
        </w:rPr>
        <w:t>/N</w:t>
      </w:r>
      <w:r w:rsidRPr="00E9592A">
        <w:rPr>
          <w:vertAlign w:val="subscript"/>
          <w:lang w:val="fr-FR"/>
        </w:rPr>
        <w:t>3</w:t>
      </w:r>
      <w:r w:rsidRPr="00E9592A">
        <w:rPr>
          <w:lang w:val="fr-FR"/>
        </w:rPr>
        <w:t xml:space="preserve"> fonctionnant  à l’hydrogène</w:t>
      </w:r>
    </w:p>
    <w:p w14:paraId="2FC7F581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(Par</w:t>
      </w:r>
      <w:r w:rsidR="00F12DA8" w:rsidRPr="00E9592A">
        <w:rPr>
          <w:b/>
          <w:bCs/>
          <w:lang w:val="fr-FR"/>
        </w:rPr>
        <w:t>.</w:t>
      </w:r>
      <w:r w:rsidR="006346A8" w:rsidRPr="00E9592A">
        <w:rPr>
          <w:b/>
          <w:bCs/>
          <w:lang w:val="fr-FR"/>
        </w:rPr>
        <w:t> </w:t>
      </w:r>
      <w:r w:rsidRPr="00E9592A">
        <w:rPr>
          <w:b/>
          <w:bCs/>
          <w:lang w:val="fr-FR"/>
        </w:rPr>
        <w:t>7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>1</w:t>
      </w:r>
      <w:r w:rsidR="00F12DA8" w:rsidRPr="00E9592A">
        <w:rPr>
          <w:b/>
          <w:bCs/>
          <w:lang w:val="fr-FR"/>
        </w:rPr>
        <w:t>.</w:t>
      </w:r>
      <w:r w:rsidRPr="00E9592A">
        <w:rPr>
          <w:b/>
          <w:bCs/>
          <w:lang w:val="fr-FR"/>
        </w:rPr>
        <w:t xml:space="preserve">7 du présent </w:t>
      </w:r>
      <w:r w:rsidR="00143FB6" w:rsidRPr="00E9592A">
        <w:rPr>
          <w:b/>
          <w:bCs/>
          <w:lang w:val="fr-FR"/>
        </w:rPr>
        <w:t>Règlement</w:t>
      </w:r>
      <w:r w:rsidR="00E9592A" w:rsidRPr="00E9592A">
        <w:rPr>
          <w:b/>
          <w:bCs/>
          <w:lang w:val="fr-FR"/>
        </w:rPr>
        <w:t xml:space="preserve"> ONU</w:t>
      </w:r>
      <w:r w:rsidRPr="00E9592A">
        <w:rPr>
          <w:b/>
          <w:bCs/>
          <w:lang w:val="fr-FR"/>
        </w:rPr>
        <w:t>)</w:t>
      </w:r>
    </w:p>
    <w:p w14:paraId="25223014" w14:textId="77777777" w:rsidR="001B531B" w:rsidRPr="00E9592A" w:rsidRDefault="001B531B" w:rsidP="006346A8">
      <w:pPr>
        <w:spacing w:after="240" w:line="240" w:lineRule="auto"/>
        <w:ind w:left="1134" w:right="1134"/>
        <w:jc w:val="center"/>
        <w:rPr>
          <w:i/>
          <w:sz w:val="24"/>
          <w:szCs w:val="24"/>
        </w:rPr>
      </w:pPr>
      <w:r w:rsidRPr="00E9592A">
        <w:rPr>
          <w:i/>
          <w:noProof/>
          <w:sz w:val="24"/>
          <w:szCs w:val="24"/>
          <w:lang w:val="nl-NL" w:eastAsia="nl-NL"/>
        </w:rPr>
        <w:drawing>
          <wp:inline distT="0" distB="0" distL="0" distR="0" wp14:anchorId="7577EC0A" wp14:editId="14A73E89">
            <wp:extent cx="4423444" cy="2728232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44" cy="27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B9B3D6B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L’étiquette doit résister aux intempéries</w:t>
      </w:r>
    </w:p>
    <w:p w14:paraId="7D8FF6A7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La zone centrale indique la source d’énergie première</w:t>
      </w:r>
    </w:p>
    <w:p w14:paraId="16F65B22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La zone supérieure indique la source d’énergie secondaire</w:t>
      </w:r>
    </w:p>
    <w:p w14:paraId="0412E193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La zone de gauche indique le comportement du gaz en raison de sa densité</w:t>
      </w:r>
    </w:p>
    <w:p w14:paraId="63647D0C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La zone de droite indique l’état d’agrégation du carburant gazeux présent dans le réservoir</w:t>
      </w:r>
    </w:p>
    <w:p w14:paraId="211E1B7D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Le schéma et les symboles doivent être conformes à la norme ISO 17840-4:2018</w:t>
      </w:r>
    </w:p>
    <w:p w14:paraId="1B1153FE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lastRenderedPageBreak/>
        <w:t>Les couleurs et les dimensions de l’étiquette doivent être conformes aux prescriptions suivantes :</w:t>
      </w:r>
    </w:p>
    <w:p w14:paraId="02CFF8FD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Couleurs :</w:t>
      </w:r>
    </w:p>
    <w:p w14:paraId="7F8FC0D9" w14:textId="77777777" w:rsidR="001B531B" w:rsidRPr="00E9592A" w:rsidRDefault="001E71AC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Fond :</w:t>
      </w:r>
      <w:r w:rsidR="001B531B" w:rsidRPr="00E9592A">
        <w:rPr>
          <w:lang w:val="fr-FR"/>
        </w:rPr>
        <w:tab/>
      </w: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="001B531B" w:rsidRPr="00E9592A">
        <w:rPr>
          <w:b/>
          <w:bCs/>
          <w:lang w:val="fr-FR"/>
        </w:rPr>
        <w:t>bleu clair, codes RVB 0,</w:t>
      </w:r>
      <w:r w:rsidR="00212C3D" w:rsidRPr="00E9592A">
        <w:rPr>
          <w:b/>
          <w:bCs/>
          <w:lang w:val="fr-FR"/>
        </w:rPr>
        <w:t xml:space="preserve"> </w:t>
      </w:r>
      <w:r w:rsidR="001B531B" w:rsidRPr="00E9592A">
        <w:rPr>
          <w:b/>
          <w:bCs/>
          <w:lang w:val="fr-FR"/>
        </w:rPr>
        <w:t>176 et 240</w:t>
      </w:r>
    </w:p>
    <w:p w14:paraId="48E634DA" w14:textId="77777777" w:rsidR="001B531B" w:rsidRPr="00E9592A" w:rsidRDefault="001E71AC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Bordure :</w:t>
      </w:r>
      <w:r w:rsidR="001B531B" w:rsidRPr="00E9592A">
        <w:rPr>
          <w:lang w:val="fr-FR"/>
        </w:rPr>
        <w:tab/>
      </w: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="001B531B" w:rsidRPr="00E9592A">
        <w:rPr>
          <w:b/>
          <w:bCs/>
          <w:lang w:val="fr-FR"/>
        </w:rPr>
        <w:t>blanc réfléchissant</w:t>
      </w:r>
    </w:p>
    <w:p w14:paraId="42866EE1" w14:textId="77777777" w:rsidR="001B531B" w:rsidRPr="00E9592A" w:rsidRDefault="001E71AC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Lettres et symboles :</w:t>
      </w:r>
      <w:r w:rsidR="001B531B" w:rsidRPr="00E9592A">
        <w:rPr>
          <w:lang w:val="fr-FR"/>
        </w:rPr>
        <w:tab/>
      </w:r>
      <w:r w:rsidR="001B531B" w:rsidRPr="00E9592A">
        <w:rPr>
          <w:b/>
          <w:bCs/>
          <w:lang w:val="fr-FR"/>
        </w:rPr>
        <w:t>blanc réfléchissant</w:t>
      </w:r>
    </w:p>
    <w:p w14:paraId="3A5885DB" w14:textId="77777777" w:rsidR="001B531B" w:rsidRPr="00E9592A" w:rsidRDefault="001B531B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>Dimensions :</w:t>
      </w:r>
    </w:p>
    <w:p w14:paraId="7113ED69" w14:textId="77777777" w:rsidR="001B531B" w:rsidRPr="00E9592A" w:rsidRDefault="001E71AC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Largeur de l’autocollant :</w:t>
      </w:r>
      <w:r w:rsidRPr="00E9592A">
        <w:rPr>
          <w:b/>
          <w:bCs/>
          <w:lang w:val="fr-FR"/>
        </w:rPr>
        <w:tab/>
      </w: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≥110 mm</w:t>
      </w:r>
    </w:p>
    <w:p w14:paraId="2487C098" w14:textId="77777777" w:rsidR="001B531B" w:rsidRPr="00E9592A" w:rsidRDefault="001E71AC" w:rsidP="001B531B">
      <w:pPr>
        <w:pStyle w:val="SingleTxtG"/>
        <w:rPr>
          <w:b/>
        </w:rPr>
      </w:pPr>
      <w:r w:rsidRPr="00E9592A">
        <w:rPr>
          <w:b/>
          <w:bCs/>
          <w:lang w:val="fr-FR"/>
        </w:rPr>
        <w:tab/>
      </w:r>
      <w:r w:rsidR="001B531B" w:rsidRPr="00E9592A">
        <w:rPr>
          <w:b/>
          <w:bCs/>
          <w:lang w:val="fr-FR"/>
        </w:rPr>
        <w:t>Hauteur de l’autocollant :</w:t>
      </w:r>
      <w:r w:rsidRPr="00E9592A">
        <w:rPr>
          <w:lang w:val="fr-FR"/>
        </w:rPr>
        <w:tab/>
      </w:r>
      <w:r w:rsidRPr="00E9592A">
        <w:rPr>
          <w:lang w:val="fr-FR"/>
        </w:rPr>
        <w:tab/>
      </w:r>
      <w:r w:rsidR="001B531B" w:rsidRPr="00E9592A">
        <w:rPr>
          <w:b/>
          <w:bCs/>
          <w:lang w:val="fr-FR"/>
        </w:rPr>
        <w:t>≥80 mm </w:t>
      </w:r>
      <w:r w:rsidR="001B531B" w:rsidRPr="00E9592A">
        <w:rPr>
          <w:lang w:val="fr-FR"/>
        </w:rPr>
        <w:t>»</w:t>
      </w:r>
      <w:r w:rsidR="00F12DA8" w:rsidRPr="00E9592A">
        <w:rPr>
          <w:lang w:val="fr-FR"/>
        </w:rPr>
        <w:t>.</w:t>
      </w:r>
    </w:p>
    <w:p w14:paraId="06F44CFB" w14:textId="77777777" w:rsidR="001B531B" w:rsidRPr="00E9592A" w:rsidRDefault="001B531B" w:rsidP="001B531B">
      <w:pPr>
        <w:pStyle w:val="HChG"/>
      </w:pPr>
      <w:r w:rsidRPr="00E9592A">
        <w:rPr>
          <w:lang w:val="fr-FR"/>
        </w:rPr>
        <w:tab/>
      </w:r>
      <w:r w:rsidRPr="00E9592A">
        <w:rPr>
          <w:lang w:val="fr-FR"/>
        </w:rPr>
        <w:t>II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Justification</w:t>
      </w:r>
    </w:p>
    <w:p w14:paraId="6539F0C7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1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On trouve des dispositions relatives à la signalisation des carburants gazeux et liquéfiés dans les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>s ONU portant sur les véhicules des catégories M</w:t>
      </w:r>
      <w:r w:rsidRPr="00E9592A">
        <w:rPr>
          <w:vertAlign w:val="subscript"/>
          <w:lang w:val="fr-FR"/>
        </w:rPr>
        <w:t>2</w:t>
      </w:r>
      <w:r w:rsidRPr="00E9592A">
        <w:rPr>
          <w:lang w:val="fr-FR"/>
        </w:rPr>
        <w:t xml:space="preserve"> et M</w:t>
      </w:r>
      <w:r w:rsidRPr="00E9592A">
        <w:rPr>
          <w:vertAlign w:val="subscript"/>
          <w:lang w:val="fr-FR"/>
        </w:rPr>
        <w:t>3</w:t>
      </w:r>
      <w:r w:rsidRPr="00E9592A">
        <w:rPr>
          <w:lang w:val="fr-FR"/>
        </w:rPr>
        <w:t xml:space="preserve"> fonctionnant au gaz de pétrole liquéfié (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 xml:space="preserve"> ONU n</w:t>
      </w:r>
      <w:r w:rsidRPr="00E9592A">
        <w:rPr>
          <w:vertAlign w:val="superscript"/>
          <w:lang w:val="fr-FR"/>
        </w:rPr>
        <w:t>o</w:t>
      </w:r>
      <w:r w:rsidR="00B8537F" w:rsidRPr="00E9592A">
        <w:rPr>
          <w:lang w:val="fr-FR"/>
        </w:rPr>
        <w:t> </w:t>
      </w:r>
      <w:r w:rsidRPr="00E9592A">
        <w:rPr>
          <w:lang w:val="fr-FR"/>
        </w:rPr>
        <w:t>67, par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17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1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8 et annexe</w:t>
      </w:r>
      <w:r w:rsidR="001E71AC" w:rsidRPr="00E9592A">
        <w:rPr>
          <w:lang w:val="fr-FR"/>
        </w:rPr>
        <w:t> </w:t>
      </w:r>
      <w:r w:rsidRPr="00E9592A">
        <w:rPr>
          <w:lang w:val="fr-FR"/>
        </w:rPr>
        <w:t>16 pour les détails) et sur les véhicules des catégories M</w:t>
      </w:r>
      <w:r w:rsidRPr="00E9592A">
        <w:rPr>
          <w:vertAlign w:val="subscript"/>
          <w:lang w:val="fr-FR"/>
        </w:rPr>
        <w:t>2</w:t>
      </w:r>
      <w:r w:rsidRPr="00E9592A">
        <w:rPr>
          <w:lang w:val="fr-FR"/>
        </w:rPr>
        <w:t xml:space="preserve"> et M</w:t>
      </w:r>
      <w:r w:rsidRPr="00E9592A">
        <w:rPr>
          <w:vertAlign w:val="subscript"/>
          <w:lang w:val="fr-FR"/>
        </w:rPr>
        <w:t>3</w:t>
      </w:r>
      <w:r w:rsidRPr="00E9592A">
        <w:rPr>
          <w:lang w:val="fr-FR"/>
        </w:rPr>
        <w:t xml:space="preserve"> fonctionnant au gaz naturel comprimé/gaz naturel liquéfié (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 xml:space="preserve"> ONU n</w:t>
      </w:r>
      <w:r w:rsidRPr="00E9592A">
        <w:rPr>
          <w:vertAlign w:val="superscript"/>
          <w:lang w:val="fr-FR"/>
        </w:rPr>
        <w:t>o</w:t>
      </w:r>
      <w:r w:rsidRPr="00E9592A">
        <w:rPr>
          <w:lang w:val="fr-FR"/>
        </w:rPr>
        <w:t xml:space="preserve"> 110, par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18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1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>8 et annexes 6 et 7 pour les détails)</w:t>
      </w:r>
      <w:r w:rsidR="00F12DA8" w:rsidRPr="00E9592A">
        <w:rPr>
          <w:lang w:val="fr-FR"/>
        </w:rPr>
        <w:t>.</w:t>
      </w:r>
    </w:p>
    <w:p w14:paraId="7AD6F9F3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2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L’étiquetage supplémentaire proposé ci-dessus a pour but d’aider les services d’urgence à déterminer le mode d’intervention à adopter vis-à-vis des véhicules en cas d’incendie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(Face à un feu, on peut décider de refroidir les réservoirs ou les bouteilles pour éviter l’activation des dispositifs de décompression thermo-commandés ou, si l’incendie a progressé au-delà de ce stade, de prendre des mesures pour atténuer les effets d’un feu torche ou d’une explosion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 xml:space="preserve"> Les gaz comprimés et liquéfiés se comportent de manière différente dans les incendies</w:t>
      </w:r>
      <w:r w:rsidR="00B8537F" w:rsidRPr="00E9592A">
        <w:rPr>
          <w:lang w:val="fr-FR"/>
        </w:rPr>
        <w:t>.</w:t>
      </w:r>
      <w:r w:rsidRPr="00E9592A">
        <w:rPr>
          <w:lang w:val="fr-FR"/>
        </w:rPr>
        <w:t>)</w:t>
      </w:r>
    </w:p>
    <w:p w14:paraId="243FE28E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3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Il est nécessaire d’étendre le champ d’application du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 xml:space="preserve"> aux véhicules des catégories N</w:t>
      </w:r>
      <w:r w:rsidRPr="00E9592A">
        <w:rPr>
          <w:vertAlign w:val="subscript"/>
          <w:lang w:val="fr-FR"/>
        </w:rPr>
        <w:t>2</w:t>
      </w:r>
      <w:r w:rsidRPr="00E9592A">
        <w:rPr>
          <w:lang w:val="fr-FR"/>
        </w:rPr>
        <w:t>/N</w:t>
      </w:r>
      <w:r w:rsidRPr="00E9592A">
        <w:rPr>
          <w:vertAlign w:val="subscript"/>
          <w:lang w:val="fr-FR"/>
        </w:rPr>
        <w:t>3</w:t>
      </w:r>
      <w:r w:rsidRPr="00E9592A">
        <w:rPr>
          <w:lang w:val="fr-FR"/>
        </w:rPr>
        <w:t xml:space="preserve"> en raison de la grande diversité des véhicules visés à l’heure actuelle, alors que par le passé ils étaient généralemen</w:t>
      </w:r>
      <w:r w:rsidR="00B8537F" w:rsidRPr="00E9592A">
        <w:rPr>
          <w:lang w:val="fr-FR"/>
        </w:rPr>
        <w:t>t</w:t>
      </w:r>
      <w:r w:rsidRPr="00E9592A">
        <w:rPr>
          <w:lang w:val="fr-FR"/>
        </w:rPr>
        <w:t xml:space="preserve"> alimentés au gazole</w:t>
      </w:r>
      <w:r w:rsidR="00F12DA8" w:rsidRPr="00E9592A">
        <w:rPr>
          <w:lang w:val="fr-FR"/>
        </w:rPr>
        <w:t>.</w:t>
      </w:r>
    </w:p>
    <w:p w14:paraId="41E31E0E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4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En ce qui concerne l’installation des étiquettes, la présente proposition vise à assurer la cohérence avec les </w:t>
      </w:r>
      <w:r w:rsidR="00143FB6" w:rsidRPr="00E9592A">
        <w:rPr>
          <w:lang w:val="fr-FR"/>
        </w:rPr>
        <w:t>Règlement</w:t>
      </w:r>
      <w:r w:rsidRPr="00E9592A">
        <w:rPr>
          <w:lang w:val="fr-FR"/>
        </w:rPr>
        <w:t>s ONU n</w:t>
      </w:r>
      <w:r w:rsidRPr="00E9592A">
        <w:rPr>
          <w:vertAlign w:val="superscript"/>
          <w:lang w:val="fr-FR"/>
        </w:rPr>
        <w:t>os</w:t>
      </w:r>
      <w:r w:rsidRPr="00E9592A">
        <w:rPr>
          <w:lang w:val="fr-FR"/>
        </w:rPr>
        <w:t xml:space="preserve"> 67 et 110</w:t>
      </w:r>
      <w:r w:rsidR="00F12DA8" w:rsidRPr="00E9592A">
        <w:rPr>
          <w:lang w:val="fr-FR"/>
        </w:rPr>
        <w:t>.</w:t>
      </w:r>
    </w:p>
    <w:p w14:paraId="4104C8F7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5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 xml:space="preserve">Le Comité technique international de prévention et d’extinction du feu (CTIF) recommande l’utilisation de symboles conformes à la norme internationale ISO 17840-4, partie 4 </w:t>
      </w:r>
      <w:r w:rsidR="00143FB6" w:rsidRPr="00E9592A">
        <w:rPr>
          <w:lang w:val="fr-FR"/>
        </w:rPr>
        <w:t>− </w:t>
      </w:r>
      <w:r w:rsidRPr="00E9592A">
        <w:rPr>
          <w:lang w:val="fr-FR"/>
        </w:rPr>
        <w:t>Identification de l’énergie de propulsion (le CTIF est le sigle du «</w:t>
      </w:r>
      <w:r w:rsidR="00143FB6" w:rsidRPr="00E9592A">
        <w:rPr>
          <w:lang w:val="fr-FR"/>
        </w:rPr>
        <w:t> </w:t>
      </w:r>
      <w:r w:rsidRPr="00E9592A">
        <w:rPr>
          <w:i/>
          <w:iCs/>
          <w:lang w:val="fr-FR"/>
        </w:rPr>
        <w:t xml:space="preserve">Comité </w:t>
      </w:r>
      <w:r w:rsidR="00143FB6" w:rsidRPr="00E9592A">
        <w:rPr>
          <w:i/>
          <w:iCs/>
          <w:lang w:val="fr-FR"/>
        </w:rPr>
        <w:t>t</w:t>
      </w:r>
      <w:r w:rsidRPr="00E9592A">
        <w:rPr>
          <w:i/>
          <w:iCs/>
          <w:lang w:val="fr-FR"/>
        </w:rPr>
        <w:t xml:space="preserve">echnique </w:t>
      </w:r>
      <w:r w:rsidR="00143FB6" w:rsidRPr="00E9592A">
        <w:rPr>
          <w:i/>
          <w:iCs/>
          <w:lang w:val="fr-FR"/>
        </w:rPr>
        <w:t>i</w:t>
      </w:r>
      <w:r w:rsidRPr="00E9592A">
        <w:rPr>
          <w:i/>
          <w:iCs/>
          <w:lang w:val="fr-FR"/>
        </w:rPr>
        <w:t xml:space="preserve">nternational de prévention et d’extinction du </w:t>
      </w:r>
      <w:r w:rsidR="00143FB6" w:rsidRPr="00E9592A">
        <w:rPr>
          <w:i/>
          <w:iCs/>
          <w:lang w:val="fr-FR"/>
        </w:rPr>
        <w:t>f</w:t>
      </w:r>
      <w:r w:rsidRPr="00E9592A">
        <w:rPr>
          <w:i/>
          <w:iCs/>
          <w:lang w:val="fr-FR"/>
        </w:rPr>
        <w:t>eu »</w:t>
      </w:r>
      <w:r w:rsidRPr="00E9592A">
        <w:rPr>
          <w:lang w:val="fr-FR"/>
        </w:rPr>
        <w:t>)</w:t>
      </w:r>
      <w:r w:rsidR="00F12DA8" w:rsidRPr="00E9592A">
        <w:rPr>
          <w:lang w:val="fr-FR"/>
        </w:rPr>
        <w:t>.</w:t>
      </w:r>
    </w:p>
    <w:p w14:paraId="6F9E8950" w14:textId="77777777" w:rsidR="001B531B" w:rsidRPr="00E9592A" w:rsidRDefault="001B531B" w:rsidP="001B531B">
      <w:pPr>
        <w:pStyle w:val="SingleTxtG"/>
      </w:pPr>
      <w:r w:rsidRPr="00E9592A">
        <w:rPr>
          <w:lang w:val="fr-FR"/>
        </w:rPr>
        <w:t>6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S’agissant de l’aspect de l’étiquette, la présente proposition vise l’harmonisation avec la norme ISO susmentionnée</w:t>
      </w:r>
      <w:r w:rsidR="00F12DA8" w:rsidRPr="00E9592A">
        <w:rPr>
          <w:lang w:val="fr-FR"/>
        </w:rPr>
        <w:t>.</w:t>
      </w:r>
    </w:p>
    <w:p w14:paraId="3006BD3F" w14:textId="77777777" w:rsidR="00F9573C" w:rsidRDefault="001B531B" w:rsidP="001B531B">
      <w:pPr>
        <w:pStyle w:val="SingleTxtG"/>
        <w:rPr>
          <w:lang w:val="fr-FR"/>
        </w:rPr>
      </w:pPr>
      <w:r w:rsidRPr="00E9592A">
        <w:rPr>
          <w:lang w:val="fr-FR"/>
        </w:rPr>
        <w:t>7</w:t>
      </w:r>
      <w:r w:rsidR="00F12DA8" w:rsidRPr="00E9592A">
        <w:rPr>
          <w:lang w:val="fr-FR"/>
        </w:rPr>
        <w:t>.</w:t>
      </w:r>
      <w:r w:rsidRPr="00E9592A">
        <w:rPr>
          <w:lang w:val="fr-FR"/>
        </w:rPr>
        <w:tab/>
        <w:t>L’emplacement des étiquettes  est conforme aux recommandations du CTIF</w:t>
      </w:r>
      <w:r w:rsidR="00F12DA8" w:rsidRPr="00E9592A">
        <w:rPr>
          <w:lang w:val="fr-FR"/>
        </w:rPr>
        <w:t>.</w:t>
      </w:r>
    </w:p>
    <w:p w14:paraId="0D96E50B" w14:textId="77777777" w:rsidR="001B531B" w:rsidRPr="001B531B" w:rsidRDefault="001B531B" w:rsidP="001B53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531B" w:rsidRPr="001B531B" w:rsidSect="006B240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E015" w14:textId="77777777" w:rsidR="00D75584" w:rsidRDefault="00D75584" w:rsidP="00F95C08">
      <w:pPr>
        <w:spacing w:line="240" w:lineRule="auto"/>
      </w:pPr>
    </w:p>
  </w:endnote>
  <w:endnote w:type="continuationSeparator" w:id="0">
    <w:p w14:paraId="416EC38A" w14:textId="77777777" w:rsidR="00D75584" w:rsidRPr="00AC3823" w:rsidRDefault="00D75584" w:rsidP="00AC3823">
      <w:pPr>
        <w:pStyle w:val="Pieddepage"/>
      </w:pPr>
    </w:p>
  </w:endnote>
  <w:endnote w:type="continuationNotice" w:id="1">
    <w:p w14:paraId="13C86317" w14:textId="77777777" w:rsidR="00D75584" w:rsidRDefault="00D755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6D6" w14:textId="77777777" w:rsidR="006B2407" w:rsidRPr="006B2407" w:rsidRDefault="006B2407" w:rsidP="006B2407">
    <w:pPr>
      <w:pStyle w:val="Pieddepage"/>
      <w:tabs>
        <w:tab w:val="right" w:pos="9638"/>
      </w:tabs>
    </w:pPr>
    <w:r w:rsidRPr="006B2407">
      <w:rPr>
        <w:b/>
        <w:sz w:val="18"/>
      </w:rPr>
      <w:fldChar w:fldCharType="begin"/>
    </w:r>
    <w:r w:rsidRPr="006B2407">
      <w:rPr>
        <w:b/>
        <w:sz w:val="18"/>
      </w:rPr>
      <w:instrText xml:space="preserve"> PAGE  \* MERGEFORMAT </w:instrText>
    </w:r>
    <w:r w:rsidRPr="006B2407">
      <w:rPr>
        <w:b/>
        <w:sz w:val="18"/>
      </w:rPr>
      <w:fldChar w:fldCharType="separate"/>
    </w:r>
    <w:r w:rsidRPr="006B2407">
      <w:rPr>
        <w:b/>
        <w:noProof/>
        <w:sz w:val="18"/>
      </w:rPr>
      <w:t>2</w:t>
    </w:r>
    <w:r w:rsidRPr="006B2407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F12DA8" w:rsidRPr="00F12DA8">
      <w:t>.</w:t>
    </w:r>
    <w:r>
      <w:t>20-12437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92AB" w14:textId="77777777" w:rsidR="006B2407" w:rsidRPr="006B2407" w:rsidRDefault="006B2407" w:rsidP="006B2407">
    <w:pPr>
      <w:pStyle w:val="Pieddepage"/>
      <w:tabs>
        <w:tab w:val="right" w:pos="9638"/>
      </w:tabs>
      <w:rPr>
        <w:b/>
        <w:sz w:val="18"/>
      </w:rPr>
    </w:pPr>
    <w:r>
      <w:t>GE</w:t>
    </w:r>
    <w:r w:rsidR="00F12DA8" w:rsidRPr="00F12DA8">
      <w:t>.</w:t>
    </w:r>
    <w:r>
      <w:t>20-12437</w:t>
    </w:r>
    <w:r>
      <w:tab/>
    </w:r>
    <w:r w:rsidRPr="006B2407">
      <w:rPr>
        <w:b/>
        <w:sz w:val="18"/>
      </w:rPr>
      <w:fldChar w:fldCharType="begin"/>
    </w:r>
    <w:r w:rsidRPr="006B2407">
      <w:rPr>
        <w:b/>
        <w:sz w:val="18"/>
      </w:rPr>
      <w:instrText xml:space="preserve"> PAGE  \* MERGEFORMAT </w:instrText>
    </w:r>
    <w:r w:rsidRPr="006B2407">
      <w:rPr>
        <w:b/>
        <w:sz w:val="18"/>
      </w:rPr>
      <w:fldChar w:fldCharType="separate"/>
    </w:r>
    <w:r w:rsidRPr="006B2407">
      <w:rPr>
        <w:b/>
        <w:noProof/>
        <w:sz w:val="18"/>
      </w:rPr>
      <w:t>3</w:t>
    </w:r>
    <w:r w:rsidRPr="006B24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EBEB" w14:textId="77777777" w:rsidR="007F20FA" w:rsidRPr="006B2407" w:rsidRDefault="006B2407" w:rsidP="006B2407">
    <w:pPr>
      <w:pStyle w:val="Pieddepage"/>
      <w:spacing w:before="120"/>
      <w:rPr>
        <w:sz w:val="20"/>
      </w:rPr>
    </w:pPr>
    <w:r>
      <w:rPr>
        <w:sz w:val="20"/>
      </w:rPr>
      <w:t>GE</w:t>
    </w:r>
    <w:r w:rsidR="00F12DA8" w:rsidRPr="00F12DA8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0E0E21" wp14:editId="3440B5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20-12437  (F)    201020    201020</w:t>
    </w:r>
    <w:r>
      <w:rPr>
        <w:sz w:val="20"/>
      </w:rPr>
      <w:br/>
    </w:r>
    <w:r w:rsidRPr="006B2407">
      <w:rPr>
        <w:rFonts w:ascii="C39T30Lfz" w:hAnsi="C39T30Lfz"/>
        <w:sz w:val="56"/>
      </w:rPr>
      <w:t>*2012437*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78E6A78" wp14:editId="5D975D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CDD5" w14:textId="77777777" w:rsidR="00D75584" w:rsidRPr="00AC3823" w:rsidRDefault="00D755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94481F" w14:textId="77777777" w:rsidR="00D75584" w:rsidRPr="00AC3823" w:rsidRDefault="00D755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2295E7" w14:textId="77777777" w:rsidR="00D75584" w:rsidRPr="00AC3823" w:rsidRDefault="00D75584">
      <w:pPr>
        <w:spacing w:line="240" w:lineRule="auto"/>
        <w:rPr>
          <w:sz w:val="2"/>
          <w:szCs w:val="2"/>
        </w:rPr>
      </w:pPr>
    </w:p>
  </w:footnote>
  <w:footnote w:id="2">
    <w:p w14:paraId="12D9A54D" w14:textId="77777777" w:rsidR="001B531B" w:rsidRPr="00794188" w:rsidRDefault="001B531B" w:rsidP="001B531B">
      <w:pPr>
        <w:pStyle w:val="Notedebasdepage"/>
      </w:pPr>
      <w:r w:rsidRPr="001B531B">
        <w:rPr>
          <w:sz w:val="20"/>
          <w:lang w:val="fr-FR"/>
        </w:rPr>
        <w:tab/>
        <w:t>*</w:t>
      </w:r>
      <w:r w:rsidRPr="001B531B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</w:t>
      </w:r>
      <w:r w:rsidR="00F12DA8" w:rsidRPr="00F12DA8">
        <w:rPr>
          <w:lang w:val="fr-FR"/>
        </w:rPr>
        <w:t>.</w:t>
      </w:r>
      <w:r>
        <w:rPr>
          <w:lang w:val="fr-FR"/>
        </w:rPr>
        <w:t xml:space="preserve"> 20), par</w:t>
      </w:r>
      <w:r w:rsidR="00F12DA8" w:rsidRPr="00F12DA8">
        <w:rPr>
          <w:lang w:val="fr-FR"/>
        </w:rPr>
        <w:t>.</w:t>
      </w:r>
      <w:r>
        <w:rPr>
          <w:lang w:val="fr-FR"/>
        </w:rPr>
        <w:t xml:space="preserve"> 20</w:t>
      </w:r>
      <w:r w:rsidR="00F12DA8" w:rsidRPr="00F12DA8">
        <w:rPr>
          <w:lang w:val="fr-FR"/>
        </w:rPr>
        <w:t>.</w:t>
      </w:r>
      <w:r>
        <w:rPr>
          <w:lang w:val="fr-FR"/>
        </w:rPr>
        <w:t xml:space="preserve">37), le Forum mondial a pour mission d’élaborer, d’harmoniser et de mettre à jour les </w:t>
      </w:r>
      <w:r w:rsidR="00143FB6" w:rsidRPr="00143FB6">
        <w:rPr>
          <w:lang w:val="fr-FR"/>
        </w:rPr>
        <w:t>Règlement</w:t>
      </w:r>
      <w:r w:rsidRPr="00143FB6">
        <w:rPr>
          <w:lang w:val="fr-FR"/>
        </w:rPr>
        <w:t>s</w:t>
      </w:r>
      <w:r>
        <w:rPr>
          <w:lang w:val="fr-FR"/>
        </w:rPr>
        <w:t xml:space="preserve"> ONU en vue d’améliorer les caractéristiques fonctionnelles des véhicules</w:t>
      </w:r>
      <w:r w:rsidR="00F12DA8" w:rsidRPr="00F12DA8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F12DA8" w:rsidRPr="00F12DA8">
        <w:rPr>
          <w:lang w:val="fr-FR"/>
        </w:rPr>
        <w:t>.</w:t>
      </w:r>
      <w:r>
        <w:rPr>
          <w:lang w:val="fr-FR"/>
        </w:rPr>
        <w:t xml:space="preserve"> </w:t>
      </w:r>
    </w:p>
  </w:footnote>
  <w:footnote w:id="3">
    <w:p w14:paraId="42A72BD3" w14:textId="77777777" w:rsidR="001B531B" w:rsidRPr="00794188" w:rsidRDefault="001B531B" w:rsidP="001B531B">
      <w:pPr>
        <w:pStyle w:val="Notedebasdepage"/>
      </w:pPr>
      <w:r w:rsidRPr="006346A8">
        <w:rPr>
          <w:sz w:val="20"/>
          <w:lang w:val="fr-FR"/>
        </w:rPr>
        <w:tab/>
        <w:t>*</w:t>
      </w:r>
      <w:r w:rsidRPr="006346A8">
        <w:rPr>
          <w:sz w:val="20"/>
          <w:lang w:val="fr-FR"/>
        </w:rPr>
        <w:tab/>
      </w:r>
      <w:r>
        <w:rPr>
          <w:lang w:val="fr-FR"/>
        </w:rPr>
        <w:t>Le dernier chiffre n’est donné qu’à titre d’exemple</w:t>
      </w:r>
      <w:r w:rsidR="00F12DA8" w:rsidRPr="00F12DA8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D65F" w14:textId="51557D59" w:rsidR="006B2407" w:rsidRPr="006B2407" w:rsidRDefault="006B2407">
    <w:pPr>
      <w:pStyle w:val="En-tte"/>
    </w:pPr>
    <w:fldSimple w:instr=" TITLE  \* MERGEFORMAT ">
      <w:r w:rsidR="00A204EA">
        <w:t>ECE/TRANS/WP.29/GRSP/2020/17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EEDF" w14:textId="156C4426" w:rsidR="006B2407" w:rsidRPr="006B2407" w:rsidRDefault="006B2407" w:rsidP="006B2407">
    <w:pPr>
      <w:pStyle w:val="En-tte"/>
      <w:jc w:val="right"/>
    </w:pPr>
    <w:fldSimple w:instr=" TITLE  \* MERGEFORMAT ">
      <w:r w:rsidR="00A204EA">
        <w:t>ECE/TRANS/WP.29/GRSP/2020/17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5584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3FB6"/>
    <w:rsid w:val="00176178"/>
    <w:rsid w:val="001B531B"/>
    <w:rsid w:val="001E71AC"/>
    <w:rsid w:val="001F525A"/>
    <w:rsid w:val="00212C3D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02D2"/>
    <w:rsid w:val="00452396"/>
    <w:rsid w:val="004837D8"/>
    <w:rsid w:val="004E2EED"/>
    <w:rsid w:val="004E468C"/>
    <w:rsid w:val="005505B7"/>
    <w:rsid w:val="00573BE5"/>
    <w:rsid w:val="00586ED3"/>
    <w:rsid w:val="00596AA9"/>
    <w:rsid w:val="006346A8"/>
    <w:rsid w:val="006B2407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204E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537F"/>
    <w:rsid w:val="00BA0CA9"/>
    <w:rsid w:val="00C02897"/>
    <w:rsid w:val="00C97039"/>
    <w:rsid w:val="00CA4C2E"/>
    <w:rsid w:val="00D3439C"/>
    <w:rsid w:val="00D75584"/>
    <w:rsid w:val="00DB1831"/>
    <w:rsid w:val="00DD3BFD"/>
    <w:rsid w:val="00DF6678"/>
    <w:rsid w:val="00E0299A"/>
    <w:rsid w:val="00E85C74"/>
    <w:rsid w:val="00E9592A"/>
    <w:rsid w:val="00EA6547"/>
    <w:rsid w:val="00ED63D6"/>
    <w:rsid w:val="00EF2E22"/>
    <w:rsid w:val="00F12DA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B3FA9E"/>
  <w15:docId w15:val="{8673467D-CD13-472F-8D7A-3387888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B531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B531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1B531B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Yu Mincho"/>
      <w:snapToGrid w:val="0"/>
      <w:lang w:val="fr-FR"/>
    </w:rPr>
  </w:style>
  <w:style w:type="character" w:customStyle="1" w:styleId="paraChar">
    <w:name w:val="para Char"/>
    <w:link w:val="para"/>
    <w:rsid w:val="001B531B"/>
    <w:rPr>
      <w:rFonts w:ascii="Times New Roman" w:eastAsia="Yu Mincho" w:hAnsi="Times New Roman" w:cs="Times New Roman"/>
      <w:snapToGrid w:val="0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1367</Words>
  <Characters>8203</Characters>
  <Application>Microsoft Office Word</Application>
  <DocSecurity>0</DocSecurity>
  <Lines>1171</Lines>
  <Paragraphs>503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ECE/TRANS/WP.29/GRSP/2020/17</vt:lpstr>
    </vt:vector>
  </TitlesOfParts>
  <Company>DCM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ECE/TRANS/WP.29/GRSP/2020/17</dc:title>
  <dc:subject/>
  <dc:creator>Maud DARICHE</dc:creator>
  <cp:keywords/>
  <cp:lastModifiedBy>Maud Dariche</cp:lastModifiedBy>
  <cp:revision>3</cp:revision>
  <cp:lastPrinted>2020-10-20T14:39:00Z</cp:lastPrinted>
  <dcterms:created xsi:type="dcterms:W3CDTF">2020-10-20T14:39:00Z</dcterms:created>
  <dcterms:modified xsi:type="dcterms:W3CDTF">2020-10-20T14:40:00Z</dcterms:modified>
</cp:coreProperties>
</file>