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DBC4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FC7422" w14:textId="77777777" w:rsidR="002D5AAC" w:rsidRDefault="002D5AAC" w:rsidP="00DA52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FFE2F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B20E50" w14:textId="77777777" w:rsidR="002D5AAC" w:rsidRDefault="00DA52D7" w:rsidP="00DA52D7">
            <w:pPr>
              <w:jc w:val="right"/>
            </w:pPr>
            <w:r w:rsidRPr="00DA52D7">
              <w:rPr>
                <w:sz w:val="40"/>
              </w:rPr>
              <w:t>ECE</w:t>
            </w:r>
            <w:r>
              <w:t>/TRANS/WP.29/GRSP/2020/14</w:t>
            </w:r>
          </w:p>
        </w:tc>
      </w:tr>
      <w:tr w:rsidR="002D5AAC" w:rsidRPr="0062244E" w14:paraId="1C65C90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0631B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14B81F" wp14:editId="0EE852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ACE8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608637" w14:textId="77777777" w:rsidR="002D5AAC" w:rsidRDefault="00DA52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09AE4C" w14:textId="77777777" w:rsidR="00DA52D7" w:rsidRDefault="00DA52D7" w:rsidP="00DA52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01704393" w14:textId="77777777" w:rsidR="00DA52D7" w:rsidRDefault="00DA52D7" w:rsidP="00DA52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DD0717" w14:textId="77777777" w:rsidR="00DA52D7" w:rsidRPr="008D53B6" w:rsidRDefault="00DA52D7" w:rsidP="00DA52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DE2EBF" w14:textId="77777777" w:rsidR="00DA52D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B40C02" w14:textId="77777777" w:rsidR="00DA52D7" w:rsidRPr="00DA52D7" w:rsidRDefault="00DA52D7" w:rsidP="00DA52D7">
      <w:pPr>
        <w:spacing w:before="120"/>
        <w:rPr>
          <w:sz w:val="28"/>
          <w:szCs w:val="28"/>
        </w:rPr>
      </w:pPr>
      <w:r w:rsidRPr="00DA52D7">
        <w:rPr>
          <w:sz w:val="28"/>
          <w:szCs w:val="28"/>
        </w:rPr>
        <w:t>Комитет по внутреннему транспорту</w:t>
      </w:r>
    </w:p>
    <w:p w14:paraId="233D9287" w14:textId="77777777" w:rsidR="00DA52D7" w:rsidRPr="00DA52D7" w:rsidRDefault="00DA52D7" w:rsidP="00DA52D7">
      <w:pPr>
        <w:spacing w:before="120"/>
        <w:rPr>
          <w:b/>
          <w:sz w:val="24"/>
          <w:szCs w:val="24"/>
        </w:rPr>
      </w:pPr>
      <w:r w:rsidRPr="00DA52D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A52D7">
        <w:rPr>
          <w:b/>
          <w:bCs/>
          <w:sz w:val="24"/>
          <w:szCs w:val="24"/>
        </w:rPr>
        <w:t>в области транспортных средств</w:t>
      </w:r>
    </w:p>
    <w:p w14:paraId="0C2B0ACE" w14:textId="77777777" w:rsidR="00DA52D7" w:rsidRPr="00A65AEB" w:rsidRDefault="00DA52D7" w:rsidP="00DA52D7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6A4A386E" w14:textId="77777777" w:rsidR="00DA52D7" w:rsidRPr="00A65AEB" w:rsidRDefault="00DA52D7" w:rsidP="00DA52D7">
      <w:pPr>
        <w:spacing w:before="120"/>
        <w:rPr>
          <w:b/>
        </w:rPr>
      </w:pPr>
      <w:r>
        <w:rPr>
          <w:b/>
          <w:bCs/>
        </w:rPr>
        <w:t>Шестьдесят восьмая сессия</w:t>
      </w:r>
      <w:r>
        <w:t xml:space="preserve"> </w:t>
      </w:r>
    </w:p>
    <w:p w14:paraId="3C63CB9F" w14:textId="77777777" w:rsidR="00DA52D7" w:rsidRPr="00A65AEB" w:rsidRDefault="00DA52D7" w:rsidP="00DA52D7">
      <w:pPr>
        <w:rPr>
          <w:bCs/>
        </w:rPr>
      </w:pPr>
      <w:r>
        <w:t>Женева, 7–11 декабря 2020 года</w:t>
      </w:r>
    </w:p>
    <w:p w14:paraId="5B876FAC" w14:textId="77777777" w:rsidR="00DA52D7" w:rsidRPr="00A65AEB" w:rsidRDefault="00DA52D7" w:rsidP="00DA52D7">
      <w:pPr>
        <w:rPr>
          <w:bCs/>
        </w:rPr>
      </w:pPr>
      <w:r>
        <w:t>Пункт 15 предварительной повестки дня</w:t>
      </w:r>
    </w:p>
    <w:p w14:paraId="75D3FC50" w14:textId="77777777" w:rsidR="00DA52D7" w:rsidRPr="00A65AEB" w:rsidRDefault="00DA52D7" w:rsidP="00DA52D7">
      <w:pPr>
        <w:rPr>
          <w:b/>
        </w:rPr>
      </w:pPr>
      <w:r>
        <w:rPr>
          <w:b/>
          <w:bCs/>
        </w:rPr>
        <w:t xml:space="preserve">Правила № 137 ООН (лобовой удар с уделением </w:t>
      </w:r>
      <w:r>
        <w:rPr>
          <w:b/>
          <w:bCs/>
        </w:rPr>
        <w:br/>
        <w:t>особого внимания удерживающим системам)</w:t>
      </w:r>
    </w:p>
    <w:p w14:paraId="6083794E" w14:textId="77777777" w:rsidR="00DA52D7" w:rsidRPr="00A65AEB" w:rsidRDefault="00DA52D7" w:rsidP="00DA52D7">
      <w:pPr>
        <w:pStyle w:val="HChG"/>
        <w:rPr>
          <w:bCs/>
        </w:rPr>
      </w:pPr>
      <w:r>
        <w:tab/>
      </w:r>
      <w:r>
        <w:tab/>
      </w:r>
      <w:r>
        <w:rPr>
          <w:bCs/>
        </w:rPr>
        <w:t>Предложение по дополнению 1 к поправкам серии 02 к</w:t>
      </w:r>
      <w:r>
        <w:rPr>
          <w:bCs/>
          <w:lang w:val="en-US"/>
        </w:rPr>
        <w:t> </w:t>
      </w:r>
      <w:r>
        <w:rPr>
          <w:bCs/>
        </w:rPr>
        <w:t>Правилам № 137 ООН (лобовое столкновение с</w:t>
      </w:r>
      <w:r>
        <w:rPr>
          <w:bCs/>
          <w:lang w:val="en-US"/>
        </w:rPr>
        <w:t> </w:t>
      </w:r>
      <w:r>
        <w:rPr>
          <w:bCs/>
        </w:rPr>
        <w:t>уделением особого внимания удерживающим системам)</w:t>
      </w:r>
    </w:p>
    <w:p w14:paraId="2ED18313" w14:textId="77777777" w:rsidR="00DA52D7" w:rsidRPr="00A65AEB" w:rsidRDefault="00DA52D7" w:rsidP="00DA52D7">
      <w:pPr>
        <w:pStyle w:val="H1G"/>
        <w:ind w:firstLine="0"/>
      </w:pP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DA52D7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369E2C4C" w14:textId="77777777" w:rsidR="00DA52D7" w:rsidRPr="00A65AEB" w:rsidRDefault="00DA52D7" w:rsidP="00DA52D7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 в целях уточнения переходных положений поправок серии 02 к Правилам № 137 ООН (ECE/TRANS/WP.29/2020/110) по аналогии с подходом, принятым для Правил № 94 ООН (ECE/TRANS/WP.29/2020/107) на шестьдесят седьмой сессии Рабочей группы по пассивной безопасности (GRSP) (см. ECE/TRANS/WP.29/GRSP/67, пункт</w:t>
      </w:r>
      <w:r w:rsidR="00E64123">
        <w:t> </w:t>
      </w:r>
      <w:r>
        <w:t>17). Изменения к нынешнему тексту Правил ООН, включая документ ECE/TRANS/</w:t>
      </w:r>
      <w:r>
        <w:br/>
        <w:t xml:space="preserve">WP.29/2020/110, выделены жирным шрифтом в случае новых элементов или зачеркиванием </w:t>
      </w:r>
      <w:r w:rsidRPr="00DA52D7">
        <w:t>—</w:t>
      </w:r>
      <w:r>
        <w:t xml:space="preserve"> в случае исключенных элементов.</w:t>
      </w:r>
    </w:p>
    <w:p w14:paraId="6D162285" w14:textId="77777777" w:rsidR="00DA52D7" w:rsidRPr="00A65AEB" w:rsidRDefault="00DA52D7" w:rsidP="00DA52D7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5372A07" w14:textId="77777777" w:rsidR="00DA52D7" w:rsidRPr="00A65AEB" w:rsidRDefault="00DA52D7" w:rsidP="00DA52D7">
      <w:pPr>
        <w:pStyle w:val="SingleTxtG"/>
        <w:rPr>
          <w:rFonts w:eastAsia="SimSun"/>
        </w:rPr>
      </w:pPr>
      <w:r w:rsidRPr="0030389A">
        <w:rPr>
          <w:i/>
          <w:iCs/>
        </w:rPr>
        <w:t>Пункты 12.2–12.3</w:t>
      </w:r>
      <w:r>
        <w:t xml:space="preserve"> изменить следующим образом:</w:t>
      </w:r>
    </w:p>
    <w:p w14:paraId="3053FCA0" w14:textId="77777777" w:rsidR="00DA52D7" w:rsidRPr="00A65AEB" w:rsidRDefault="00DA52D7" w:rsidP="00DA52D7">
      <w:pPr>
        <w:spacing w:after="120"/>
        <w:ind w:left="2127" w:right="1134" w:hanging="993"/>
        <w:jc w:val="both"/>
      </w:pPr>
      <w:r>
        <w:t>«12.2</w:t>
      </w:r>
      <w:r>
        <w:tab/>
        <w:t xml:space="preserve">Начиная с 1 сентября 2023 года Договаривающиеся стороны, применяющие настоящие Правила, не обязаны признавать официальные утверждения типа транспортных средств </w:t>
      </w:r>
      <w:r>
        <w:rPr>
          <w:strike/>
        </w:rPr>
        <w:t>с электрическим приводом, функционирующим при высоком напряжении</w:t>
      </w:r>
      <w:r>
        <w:t xml:space="preserve">, предоставленные впервые на основании поправок </w:t>
      </w:r>
      <w:r>
        <w:rPr>
          <w:b/>
          <w:bCs/>
        </w:rPr>
        <w:t>предыдущих серий</w:t>
      </w:r>
      <w:r>
        <w:t xml:space="preserve"> </w:t>
      </w:r>
      <w:r>
        <w:rPr>
          <w:strike/>
        </w:rPr>
        <w:t>серии 03</w:t>
      </w:r>
      <w:r>
        <w:t xml:space="preserve"> после 1 сентября 2023 года.</w:t>
      </w:r>
    </w:p>
    <w:p w14:paraId="210F54CD" w14:textId="77777777" w:rsidR="00DA52D7" w:rsidRPr="00A65AEB" w:rsidRDefault="00DA52D7" w:rsidP="00DA52D7">
      <w:pPr>
        <w:spacing w:after="120"/>
        <w:ind w:left="2127" w:right="1134" w:hanging="993"/>
        <w:jc w:val="both"/>
      </w:pPr>
      <w:r>
        <w:t>12.3</w:t>
      </w:r>
      <w:r>
        <w:tab/>
        <w:t xml:space="preserve">Договаривающиеся стороны, применяющие настоящие Правила, продолжают признавать официальные утверждения типа транспортных средств, </w:t>
      </w:r>
      <w:r>
        <w:rPr>
          <w:strike/>
        </w:rPr>
        <w:t>не оборудованных электроприводом, работающим под высоким напряжением на основании поправок</w:t>
      </w:r>
      <w:r w:rsidRPr="0030389A">
        <w:rPr>
          <w:strike/>
        </w:rPr>
        <w:t xml:space="preserve"> </w:t>
      </w:r>
      <w:r>
        <w:rPr>
          <w:strike/>
        </w:rPr>
        <w:t>серии 01 к настоящим Правилам</w:t>
      </w:r>
      <w:r>
        <w:t xml:space="preserve"> </w:t>
      </w:r>
      <w:r>
        <w:rPr>
          <w:b/>
          <w:bCs/>
        </w:rPr>
        <w:t>предоставленные впервые на основании поправок предыдущих серий до 1 сентября 2023 года, при условии что такая возможность предусмотрена переходными положениями в этих соответствующих предыдущих сериях поправок</w:t>
      </w:r>
      <w:r>
        <w:t>».</w:t>
      </w:r>
    </w:p>
    <w:p w14:paraId="64350BAC" w14:textId="77777777" w:rsidR="00DA52D7" w:rsidRPr="00A65AEB" w:rsidRDefault="00DA52D7" w:rsidP="00DA52D7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620D9F19" w14:textId="77777777" w:rsidR="00DA52D7" w:rsidRPr="00A65AEB" w:rsidRDefault="00DA52D7" w:rsidP="00DA52D7">
      <w:pPr>
        <w:pStyle w:val="SingleTxtG"/>
        <w:rPr>
          <w:bdr w:val="none" w:sz="0" w:space="0" w:color="auto" w:frame="1"/>
        </w:rPr>
      </w:pPr>
      <w:r>
        <w:t>1.</w:t>
      </w:r>
      <w:r>
        <w:tab/>
        <w:t xml:space="preserve">Пункт 12.2: Поскольку технические требования, измененные в соответствии с поправками серии 02, не влияют на технические характеристики транспортных средств, не являющихся электромобилями, то получение официального утверждения в отношении новых моделей транспортных средств, не являющихся электромобилями, на основании этой последней серии (05) поправок представляет собой </w:t>
      </w:r>
      <w:r>
        <w:br/>
        <w:t>простую административную процедуру. Поэтому нет необходимости проводить различие между переходными положениями, касающимися электромобилей и транспортных средств, не являющихся электромобилями, и можно использовать стандартизированные положения, приведенные в общем руководстве (ECE/TRANS/ WP.29/1044/Rev.2).</w:t>
      </w:r>
    </w:p>
    <w:p w14:paraId="3F9D6536" w14:textId="77777777" w:rsidR="00DA52D7" w:rsidRPr="00A65AEB" w:rsidRDefault="00DA52D7" w:rsidP="00DA52D7">
      <w:pPr>
        <w:pStyle w:val="SingleTxtG"/>
        <w:rPr>
          <w:bdr w:val="none" w:sz="0" w:space="0" w:color="auto" w:frame="1"/>
        </w:rPr>
      </w:pPr>
      <w:r>
        <w:t>2.</w:t>
      </w:r>
      <w:r>
        <w:tab/>
        <w:t>Пункт 12.3: Цель этой серии поправок заключалась в приведении технических требований данных Правил ООН в соответствие с техническими требованиями ГТП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20 ООН, хотя улучшения в плане обеспечения безопасности были незначительными. Поэтому официальные утверждения, предоставленные до даты b)</w:t>
      </w:r>
      <w:r>
        <w:rPr>
          <w:lang w:val="en-US"/>
        </w:rPr>
        <w:t> </w:t>
      </w:r>
      <w:r>
        <w:t>— 1 сентября 2023 года, должны по-прежнему признаваться.</w:t>
      </w:r>
    </w:p>
    <w:p w14:paraId="1440AE5F" w14:textId="77777777" w:rsidR="00DA52D7" w:rsidRPr="00A65AEB" w:rsidRDefault="00DA52D7" w:rsidP="00DA52D7">
      <w:pPr>
        <w:pStyle w:val="SingleTxtG"/>
        <w:rPr>
          <w:bdr w:val="none" w:sz="0" w:space="0" w:color="auto" w:frame="1"/>
        </w:rPr>
      </w:pPr>
      <w:r>
        <w:t>3.</w:t>
      </w:r>
      <w:r>
        <w:tab/>
        <w:t>Предлагаемый пункт 12.3 в принципе соответствует стандартизированному положению V.8 общего руководства. Вместе с тем в тексте на английском языке остается неясным, в единственном или во множественном числе употреблена фраза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series</w:t>
      </w:r>
      <w:proofErr w:type="spellEnd"/>
      <w:r>
        <w:t>». С учетом того</w:t>
      </w:r>
      <w:r w:rsidR="0062244E">
        <w:t>,</w:t>
      </w:r>
      <w:r>
        <w:t xml:space="preserve"> что она должна означать «любой из предыдущих серий», в текст была включена дополнительная фраза «при усл</w:t>
      </w:r>
      <w:bookmarkStart w:id="0" w:name="_GoBack"/>
      <w:bookmarkEnd w:id="0"/>
      <w:r>
        <w:t>овии</w:t>
      </w:r>
      <w:r w:rsidR="00E64123">
        <w:t>,</w:t>
      </w:r>
      <w:r>
        <w:t xml:space="preserve"> что такая возможность предусмотрена...», с целью уточнить, что различные возможности, предусмотренные в этих более ранних сериях поправок, по-прежнему остаются в силе.</w:t>
      </w:r>
    </w:p>
    <w:p w14:paraId="106E3F9E" w14:textId="77777777" w:rsidR="00DA52D7" w:rsidRPr="00A65AEB" w:rsidRDefault="00DA52D7" w:rsidP="00DA52D7">
      <w:pPr>
        <w:pStyle w:val="SingleTxtG"/>
        <w:rPr>
          <w:bdr w:val="none" w:sz="0" w:space="0" w:color="auto" w:frame="1"/>
        </w:rPr>
      </w:pPr>
      <w:r>
        <w:t>4.</w:t>
      </w:r>
      <w:r>
        <w:tab/>
        <w:t xml:space="preserve">В случае Правил № 137 ООН предусмотрены следующие возможности: </w:t>
      </w:r>
    </w:p>
    <w:p w14:paraId="708B405A" w14:textId="77777777" w:rsidR="00DA52D7" w:rsidRPr="00A65AEB" w:rsidRDefault="00DA52D7" w:rsidP="00DA52D7">
      <w:pPr>
        <w:pStyle w:val="SingleTxtG"/>
        <w:ind w:left="2268" w:hanging="567"/>
        <w:rPr>
          <w:bdr w:val="none" w:sz="0" w:space="0" w:color="auto" w:frame="1"/>
        </w:rPr>
      </w:pPr>
      <w:r>
        <w:t>a)</w:t>
      </w:r>
      <w:r>
        <w:tab/>
        <w:t xml:space="preserve">Правила № 137 ООН с поправками серии 01: введена величина критерия сжатия грудной клетки в 34 мм только для новых моделей (как электромобилей, так транспортных средств, не являющихся электромобилями); </w:t>
      </w:r>
    </w:p>
    <w:p w14:paraId="2930A020" w14:textId="77777777" w:rsidR="00DA52D7" w:rsidRPr="00A65AEB" w:rsidRDefault="00DA52D7" w:rsidP="00DA52D7">
      <w:pPr>
        <w:pStyle w:val="SingleTxtG"/>
        <w:ind w:left="2268" w:hanging="567"/>
        <w:rPr>
          <w:bdr w:val="none" w:sz="0" w:space="0" w:color="auto" w:frame="1"/>
        </w:rPr>
      </w:pPr>
      <w:r>
        <w:t>b)</w:t>
      </w:r>
      <w:r>
        <w:tab/>
        <w:t>официальные утверждения, выданные на основании первоначального варианта Правил № 137 ООН, продолжают признаваться, если они были предоставлены до 1 сентября 2020 года.</w:t>
      </w:r>
    </w:p>
    <w:p w14:paraId="497BC6F6" w14:textId="77777777" w:rsidR="00DA52D7" w:rsidRPr="00A65AEB" w:rsidRDefault="00DA52D7" w:rsidP="00DA52D7">
      <w:pPr>
        <w:pStyle w:val="SingleTxtG"/>
        <w:rPr>
          <w:bdr w:val="none" w:sz="0" w:space="0" w:color="auto" w:frame="1"/>
        </w:rPr>
      </w:pPr>
      <w:r>
        <w:t>5.</w:t>
      </w:r>
      <w:r>
        <w:tab/>
        <w:t>Исходя из этого, МОПАП предлагает использовать ту же формулировку, которая была согласована GRSP для Правил № 94 ООН.</w:t>
      </w:r>
    </w:p>
    <w:p w14:paraId="2C8CB551" w14:textId="77777777" w:rsidR="00DA52D7" w:rsidRPr="00A65AEB" w:rsidRDefault="00DA52D7" w:rsidP="00DA52D7">
      <w:pPr>
        <w:spacing w:before="240"/>
        <w:jc w:val="center"/>
        <w:rPr>
          <w:u w:val="single"/>
        </w:rPr>
      </w:pPr>
      <w:r w:rsidRPr="00A65AEB">
        <w:rPr>
          <w:u w:val="single"/>
        </w:rPr>
        <w:tab/>
      </w:r>
      <w:r w:rsidRPr="00A65AEB">
        <w:rPr>
          <w:u w:val="single"/>
        </w:rPr>
        <w:tab/>
      </w:r>
      <w:r w:rsidRPr="00A65AEB">
        <w:rPr>
          <w:u w:val="single"/>
        </w:rPr>
        <w:tab/>
      </w:r>
    </w:p>
    <w:sectPr w:rsidR="00DA52D7" w:rsidRPr="00A65AEB" w:rsidSect="00DA52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3D98" w14:textId="77777777" w:rsidR="00C15035" w:rsidRPr="00A312BC" w:rsidRDefault="00C15035" w:rsidP="00A312BC"/>
  </w:endnote>
  <w:endnote w:type="continuationSeparator" w:id="0">
    <w:p w14:paraId="7FEAB360" w14:textId="77777777" w:rsidR="00C15035" w:rsidRPr="00A312BC" w:rsidRDefault="00C150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DF29" w14:textId="77777777" w:rsidR="00DA52D7" w:rsidRPr="00DA52D7" w:rsidRDefault="00DA52D7">
    <w:pPr>
      <w:pStyle w:val="a8"/>
    </w:pPr>
    <w:r w:rsidRPr="00DA52D7">
      <w:rPr>
        <w:b/>
        <w:sz w:val="18"/>
      </w:rPr>
      <w:fldChar w:fldCharType="begin"/>
    </w:r>
    <w:r w:rsidRPr="00DA52D7">
      <w:rPr>
        <w:b/>
        <w:sz w:val="18"/>
      </w:rPr>
      <w:instrText xml:space="preserve"> PAGE  \* MERGEFORMAT </w:instrText>
    </w:r>
    <w:r w:rsidRPr="00DA52D7">
      <w:rPr>
        <w:b/>
        <w:sz w:val="18"/>
      </w:rPr>
      <w:fldChar w:fldCharType="separate"/>
    </w:r>
    <w:r w:rsidRPr="00DA52D7">
      <w:rPr>
        <w:b/>
        <w:noProof/>
        <w:sz w:val="18"/>
      </w:rPr>
      <w:t>2</w:t>
    </w:r>
    <w:r w:rsidRPr="00DA52D7">
      <w:rPr>
        <w:b/>
        <w:sz w:val="18"/>
      </w:rPr>
      <w:fldChar w:fldCharType="end"/>
    </w:r>
    <w:r>
      <w:rPr>
        <w:b/>
        <w:sz w:val="18"/>
      </w:rPr>
      <w:tab/>
    </w:r>
    <w:r>
      <w:t>GE.20-12388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0D33" w14:textId="77777777" w:rsidR="00DA52D7" w:rsidRPr="00DA52D7" w:rsidRDefault="00DA52D7" w:rsidP="00DA52D7">
    <w:pPr>
      <w:pStyle w:val="a8"/>
      <w:tabs>
        <w:tab w:val="clear" w:pos="9639"/>
        <w:tab w:val="right" w:pos="9638"/>
      </w:tabs>
      <w:rPr>
        <w:b/>
        <w:sz w:val="18"/>
      </w:rPr>
    </w:pPr>
    <w:r>
      <w:t>GE.20-12388</w:t>
    </w:r>
    <w:r>
      <w:tab/>
    </w:r>
    <w:r w:rsidRPr="00DA52D7">
      <w:rPr>
        <w:b/>
        <w:sz w:val="18"/>
      </w:rPr>
      <w:fldChar w:fldCharType="begin"/>
    </w:r>
    <w:r w:rsidRPr="00DA52D7">
      <w:rPr>
        <w:b/>
        <w:sz w:val="18"/>
      </w:rPr>
      <w:instrText xml:space="preserve"> PAGE  \* MERGEFORMAT </w:instrText>
    </w:r>
    <w:r w:rsidRPr="00DA52D7">
      <w:rPr>
        <w:b/>
        <w:sz w:val="18"/>
      </w:rPr>
      <w:fldChar w:fldCharType="separate"/>
    </w:r>
    <w:r w:rsidRPr="00DA52D7">
      <w:rPr>
        <w:b/>
        <w:noProof/>
        <w:sz w:val="18"/>
      </w:rPr>
      <w:t>3</w:t>
    </w:r>
    <w:r w:rsidRPr="00DA52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F7AE" w14:textId="77777777" w:rsidR="00042B72" w:rsidRPr="00DA52D7" w:rsidRDefault="00DA52D7" w:rsidP="00DA52D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401DD4" wp14:editId="10C517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12388  (</w:t>
    </w:r>
    <w:proofErr w:type="gramEnd"/>
    <w:r>
      <w:t>R)</w:t>
    </w:r>
    <w:r>
      <w:rPr>
        <w:lang w:val="en-US"/>
      </w:rPr>
      <w:t xml:space="preserve">  280920  290920</w:t>
    </w:r>
    <w:r>
      <w:br/>
    </w:r>
    <w:r w:rsidRPr="00DA52D7">
      <w:rPr>
        <w:rFonts w:ascii="C39T30Lfz" w:hAnsi="C39T30Lfz"/>
        <w:kern w:val="14"/>
        <w:sz w:val="56"/>
      </w:rPr>
      <w:t>*2012388*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29EA29" wp14:editId="07092E7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624D" w14:textId="77777777" w:rsidR="00C15035" w:rsidRPr="001075E9" w:rsidRDefault="00C150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C0B2A2" w14:textId="77777777" w:rsidR="00C15035" w:rsidRDefault="00C150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476F29" w14:textId="77777777" w:rsidR="00DA52D7" w:rsidRPr="002232AF" w:rsidRDefault="00DA52D7" w:rsidP="00DA52D7">
      <w:pPr>
        <w:pStyle w:val="ad"/>
      </w:pPr>
      <w:r>
        <w:tab/>
      </w:r>
      <w:r w:rsidRPr="00DA52D7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4590" w14:textId="57BAEFA0" w:rsidR="00DA52D7" w:rsidRPr="00DA52D7" w:rsidRDefault="00525C1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ECF8" w14:textId="25F1AE53" w:rsidR="00DA52D7" w:rsidRPr="00DA52D7" w:rsidRDefault="00525C16" w:rsidP="00DA52D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35"/>
    <w:rsid w:val="00033EE1"/>
    <w:rsid w:val="00042B72"/>
    <w:rsid w:val="000558BD"/>
    <w:rsid w:val="0009003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C16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44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03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1E9D"/>
    <w:rsid w:val="00DA52D7"/>
    <w:rsid w:val="00DD78D1"/>
    <w:rsid w:val="00DE32CD"/>
    <w:rsid w:val="00DF5767"/>
    <w:rsid w:val="00DF71B9"/>
    <w:rsid w:val="00E12C5F"/>
    <w:rsid w:val="00E6412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70B8C"/>
  <w15:docId w15:val="{3F0BB25B-6F62-40FB-9C79-66875B0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A52D7"/>
    <w:rPr>
      <w:lang w:val="ru-RU" w:eastAsia="en-US"/>
    </w:rPr>
  </w:style>
  <w:style w:type="character" w:customStyle="1" w:styleId="HChGChar">
    <w:name w:val="_ H _Ch_G Char"/>
    <w:link w:val="HChG"/>
    <w:rsid w:val="00DA52D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551</Words>
  <Characters>3859</Characters>
  <Application>Microsoft Office Word</Application>
  <DocSecurity>0</DocSecurity>
  <Lines>85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ECE/TRANS/WP.29/GRSP/2020/14</dc:title>
  <dc:subject/>
  <dc:creator>Svetlana PROKOUDINA</dc:creator>
  <cp:keywords/>
  <cp:lastModifiedBy>Svetlana Prokoudina</cp:lastModifiedBy>
  <cp:revision>3</cp:revision>
  <cp:lastPrinted>2020-09-29T13:48:00Z</cp:lastPrinted>
  <dcterms:created xsi:type="dcterms:W3CDTF">2020-09-29T13:48:00Z</dcterms:created>
  <dcterms:modified xsi:type="dcterms:W3CDTF">2020-09-29T13:49:00Z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