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5A1C4B" w:rsidTr="00295CC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DB58B5" w:rsidRDefault="001433FD" w:rsidP="00D5098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5A1C4B" w:rsidRDefault="001433FD" w:rsidP="00295CCA">
            <w:pPr>
              <w:spacing w:after="80" w:line="300" w:lineRule="exact"/>
              <w:rPr>
                <w:sz w:val="28"/>
              </w:rPr>
            </w:pPr>
            <w:r w:rsidRPr="005A1C4B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5A1C4B" w:rsidRDefault="00D5098E" w:rsidP="00D5098E">
            <w:pPr>
              <w:jc w:val="right"/>
            </w:pPr>
            <w:r w:rsidRPr="005A1C4B">
              <w:rPr>
                <w:sz w:val="40"/>
              </w:rPr>
              <w:t>ECE</w:t>
            </w:r>
            <w:r w:rsidRPr="005A1C4B">
              <w:t>/TRANS/WP.29/GRSG/2020/22</w:t>
            </w:r>
          </w:p>
        </w:tc>
      </w:tr>
      <w:tr w:rsidR="001433FD" w:rsidRPr="005A1C4B" w:rsidTr="00295CC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5A1C4B" w:rsidRDefault="001433FD" w:rsidP="00295CCA">
            <w:pPr>
              <w:spacing w:before="120"/>
              <w:jc w:val="center"/>
            </w:pPr>
            <w:r w:rsidRPr="005A1C4B">
              <w:rPr>
                <w:noProof/>
                <w:lang w:eastAsia="fr-CH"/>
              </w:rPr>
              <w:drawing>
                <wp:inline distT="0" distB="0" distL="0" distR="0" wp14:anchorId="58FEE0AF" wp14:editId="44FE9222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5A1C4B" w:rsidRDefault="001433FD" w:rsidP="00295CC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5A1C4B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5A1C4B" w:rsidRDefault="00D5098E" w:rsidP="00295CCA">
            <w:pPr>
              <w:spacing w:before="240"/>
            </w:pPr>
            <w:proofErr w:type="spellStart"/>
            <w:r w:rsidRPr="005A1C4B">
              <w:t>Distr</w:t>
            </w:r>
            <w:proofErr w:type="spellEnd"/>
            <w:r w:rsidRPr="005A1C4B">
              <w:t>. générale</w:t>
            </w:r>
          </w:p>
          <w:p w:rsidR="00D5098E" w:rsidRPr="005A1C4B" w:rsidRDefault="00D5098E" w:rsidP="00D5098E">
            <w:pPr>
              <w:spacing w:line="240" w:lineRule="exact"/>
            </w:pPr>
            <w:r w:rsidRPr="005A1C4B">
              <w:t>27 juillet 2020</w:t>
            </w:r>
          </w:p>
          <w:p w:rsidR="00D5098E" w:rsidRPr="005A1C4B" w:rsidRDefault="00D5098E" w:rsidP="00D5098E">
            <w:pPr>
              <w:spacing w:line="240" w:lineRule="exact"/>
            </w:pPr>
            <w:r w:rsidRPr="005A1C4B">
              <w:t>Français</w:t>
            </w:r>
          </w:p>
          <w:p w:rsidR="00D5098E" w:rsidRPr="005A1C4B" w:rsidRDefault="00D5098E" w:rsidP="00D5098E">
            <w:pPr>
              <w:spacing w:line="240" w:lineRule="exact"/>
            </w:pPr>
            <w:r w:rsidRPr="005A1C4B">
              <w:t>Original : anglais</w:t>
            </w:r>
          </w:p>
        </w:tc>
      </w:tr>
    </w:tbl>
    <w:p w:rsidR="005316B0" w:rsidRPr="005A1C4B" w:rsidRDefault="005316B0" w:rsidP="005316B0">
      <w:pPr>
        <w:spacing w:before="120"/>
        <w:rPr>
          <w:b/>
          <w:sz w:val="28"/>
          <w:szCs w:val="28"/>
        </w:rPr>
      </w:pPr>
      <w:r w:rsidRPr="005A1C4B">
        <w:rPr>
          <w:b/>
          <w:sz w:val="28"/>
          <w:szCs w:val="28"/>
        </w:rPr>
        <w:t>Commission économique pour l</w:t>
      </w:r>
      <w:r w:rsidR="00851A20" w:rsidRPr="005A1C4B">
        <w:rPr>
          <w:b/>
          <w:sz w:val="28"/>
          <w:szCs w:val="28"/>
        </w:rPr>
        <w:t>’</w:t>
      </w:r>
      <w:r w:rsidRPr="005A1C4B">
        <w:rPr>
          <w:b/>
          <w:sz w:val="28"/>
          <w:szCs w:val="28"/>
        </w:rPr>
        <w:t>Europe</w:t>
      </w:r>
    </w:p>
    <w:p w:rsidR="00D5098E" w:rsidRPr="005A1C4B" w:rsidRDefault="00D5098E" w:rsidP="00D5098E">
      <w:pPr>
        <w:spacing w:before="120"/>
        <w:rPr>
          <w:sz w:val="28"/>
          <w:szCs w:val="28"/>
        </w:rPr>
      </w:pPr>
      <w:r w:rsidRPr="005A1C4B">
        <w:rPr>
          <w:sz w:val="28"/>
          <w:szCs w:val="28"/>
        </w:rPr>
        <w:t>Comité des transports intérieurs</w:t>
      </w:r>
    </w:p>
    <w:p w:rsidR="00D5098E" w:rsidRPr="005A1C4B" w:rsidRDefault="00D5098E" w:rsidP="00D5098E">
      <w:pPr>
        <w:spacing w:before="120"/>
        <w:rPr>
          <w:b/>
          <w:sz w:val="24"/>
          <w:szCs w:val="24"/>
        </w:rPr>
      </w:pPr>
      <w:r w:rsidRPr="005A1C4B">
        <w:rPr>
          <w:b/>
          <w:sz w:val="24"/>
          <w:szCs w:val="24"/>
        </w:rPr>
        <w:t>Forum mondial de l</w:t>
      </w:r>
      <w:r w:rsidR="00851A20" w:rsidRPr="005A1C4B">
        <w:rPr>
          <w:b/>
          <w:sz w:val="24"/>
          <w:szCs w:val="24"/>
        </w:rPr>
        <w:t>’</w:t>
      </w:r>
      <w:r w:rsidRPr="005A1C4B">
        <w:rPr>
          <w:b/>
          <w:sz w:val="24"/>
          <w:szCs w:val="24"/>
        </w:rPr>
        <w:t>harmonisation</w:t>
      </w:r>
      <w:r w:rsidRPr="005A1C4B">
        <w:rPr>
          <w:b/>
          <w:sz w:val="24"/>
          <w:szCs w:val="24"/>
        </w:rPr>
        <w:br/>
        <w:t>des Règlements concernant les véhicules</w:t>
      </w:r>
    </w:p>
    <w:p w:rsidR="00D5098E" w:rsidRPr="005A1C4B" w:rsidRDefault="00D5098E" w:rsidP="00D5098E">
      <w:pPr>
        <w:spacing w:before="120" w:after="120" w:line="240" w:lineRule="exact"/>
        <w:rPr>
          <w:b/>
        </w:rPr>
      </w:pPr>
      <w:r w:rsidRPr="005A1C4B">
        <w:rPr>
          <w:b/>
        </w:rPr>
        <w:t>Groupe de travail des dispositions générales de sécurité</w:t>
      </w:r>
    </w:p>
    <w:p w:rsidR="00D5098E" w:rsidRPr="005A1C4B" w:rsidRDefault="00D5098E" w:rsidP="00D5098E">
      <w:pPr>
        <w:spacing w:before="120" w:line="240" w:lineRule="exact"/>
        <w:rPr>
          <w:b/>
        </w:rPr>
      </w:pPr>
      <w:r w:rsidRPr="005A1C4B">
        <w:rPr>
          <w:b/>
        </w:rPr>
        <w:t>119</w:t>
      </w:r>
      <w:r w:rsidRPr="005A1C4B">
        <w:rPr>
          <w:b/>
          <w:vertAlign w:val="superscript"/>
        </w:rPr>
        <w:t>e</w:t>
      </w:r>
      <w:r w:rsidRPr="005A1C4B">
        <w:rPr>
          <w:b/>
        </w:rPr>
        <w:t xml:space="preserve"> </w:t>
      </w:r>
      <w:r w:rsidRPr="005A1C4B">
        <w:rPr>
          <w:b/>
        </w:rPr>
        <w:t>session</w:t>
      </w:r>
    </w:p>
    <w:p w:rsidR="00D5098E" w:rsidRPr="00D5098E" w:rsidRDefault="00D5098E" w:rsidP="00D5098E">
      <w:pPr>
        <w:spacing w:line="240" w:lineRule="exact"/>
        <w:rPr>
          <w:lang w:val="fr-FR"/>
        </w:rPr>
      </w:pPr>
      <w:r w:rsidRPr="00D5098E">
        <w:rPr>
          <w:lang w:val="fr-FR"/>
        </w:rPr>
        <w:t>6-9 octobre 2020</w:t>
      </w:r>
    </w:p>
    <w:p w:rsidR="00D5098E" w:rsidRPr="00D5098E" w:rsidRDefault="00D5098E" w:rsidP="00D5098E">
      <w:pPr>
        <w:spacing w:line="240" w:lineRule="exact"/>
        <w:rPr>
          <w:lang w:val="fr-FR"/>
        </w:rPr>
      </w:pPr>
      <w:r w:rsidRPr="00D5098E">
        <w:rPr>
          <w:lang w:val="fr-FR"/>
        </w:rPr>
        <w:t>Point 6 de l</w:t>
      </w:r>
      <w:r w:rsidR="00851A20" w:rsidRPr="005A1C4B">
        <w:rPr>
          <w:lang w:val="fr-FR"/>
        </w:rPr>
        <w:t>’</w:t>
      </w:r>
      <w:r w:rsidRPr="00D5098E">
        <w:rPr>
          <w:lang w:val="fr-FR"/>
        </w:rPr>
        <w:t>ordre du jour provisoire</w:t>
      </w:r>
    </w:p>
    <w:p w:rsidR="00446FE5" w:rsidRPr="005A1C4B" w:rsidRDefault="00D5098E" w:rsidP="00D5098E">
      <w:pPr>
        <w:spacing w:line="240" w:lineRule="exact"/>
        <w:rPr>
          <w:b/>
          <w:bCs/>
          <w:lang w:val="fr-FR"/>
        </w:rPr>
      </w:pPr>
      <w:r w:rsidRPr="005A1C4B">
        <w:rPr>
          <w:b/>
          <w:bCs/>
          <w:lang w:val="fr-FR"/>
        </w:rPr>
        <w:t>Règlement ONU n</w:t>
      </w:r>
      <w:r w:rsidRPr="005A1C4B">
        <w:rPr>
          <w:b/>
          <w:bCs/>
          <w:vertAlign w:val="superscript"/>
          <w:lang w:val="fr-FR"/>
        </w:rPr>
        <w:t>o</w:t>
      </w:r>
      <w:r w:rsidRPr="007A608C">
        <w:rPr>
          <w:b/>
          <w:bCs/>
          <w:lang w:val="fr-FR"/>
        </w:rPr>
        <w:t> </w:t>
      </w:r>
      <w:r w:rsidRPr="005A1C4B">
        <w:rPr>
          <w:b/>
          <w:bCs/>
          <w:lang w:val="fr-FR"/>
        </w:rPr>
        <w:t>66 (Résistance de la superstructure (autobus))</w:t>
      </w:r>
    </w:p>
    <w:p w:rsidR="00D5098E" w:rsidRPr="005A1C4B" w:rsidRDefault="00D5098E" w:rsidP="00D5098E">
      <w:pPr>
        <w:pStyle w:val="HChG"/>
        <w:rPr>
          <w:lang w:val="fr-FR"/>
        </w:rPr>
      </w:pPr>
      <w:r w:rsidRPr="005A1C4B">
        <w:rPr>
          <w:lang w:val="fr-FR"/>
        </w:rPr>
        <w:tab/>
      </w:r>
      <w:r w:rsidRPr="005A1C4B">
        <w:rPr>
          <w:lang w:val="fr-FR"/>
        </w:rPr>
        <w:tab/>
        <w:t>Proposition de complément 11 à la série 02 d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 xml:space="preserve">amendements au Règlement ONU </w:t>
      </w:r>
      <w:r w:rsidRPr="005A1C4B">
        <w:rPr>
          <w:rFonts w:eastAsia="MS Mincho"/>
          <w:szCs w:val="22"/>
        </w:rPr>
        <w:t>n</w:t>
      </w:r>
      <w:r w:rsidRPr="005A1C4B">
        <w:rPr>
          <w:rFonts w:eastAsia="MS Mincho"/>
          <w:szCs w:val="22"/>
          <w:vertAlign w:val="superscript"/>
        </w:rPr>
        <w:t>o</w:t>
      </w:r>
      <w:r w:rsidRPr="005A1C4B">
        <w:t> </w:t>
      </w:r>
      <w:r w:rsidRPr="005A1C4B">
        <w:rPr>
          <w:lang w:val="fr-FR"/>
        </w:rPr>
        <w:t>66 (Résistance de la superstructure (autobus))</w:t>
      </w:r>
    </w:p>
    <w:p w:rsidR="00D5098E" w:rsidRPr="005A1C4B" w:rsidRDefault="00D5098E" w:rsidP="00D5098E">
      <w:pPr>
        <w:pStyle w:val="H1G"/>
        <w:rPr>
          <w:b w:val="0"/>
          <w:bCs/>
          <w:sz w:val="20"/>
          <w:lang w:val="fr-FR"/>
        </w:rPr>
      </w:pPr>
      <w:r w:rsidRPr="005A1C4B">
        <w:rPr>
          <w:lang w:val="fr-FR"/>
        </w:rPr>
        <w:tab/>
      </w:r>
      <w:r w:rsidRPr="005A1C4B">
        <w:rPr>
          <w:lang w:val="fr-FR"/>
        </w:rPr>
        <w:tab/>
      </w:r>
      <w:r w:rsidRPr="005A1C4B">
        <w:rPr>
          <w:lang w:val="fr-FR"/>
        </w:rPr>
        <w:t>Communication de l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expert de la Fédération de Russie</w:t>
      </w:r>
      <w:r w:rsidRPr="005A1C4B">
        <w:rPr>
          <w:b w:val="0"/>
          <w:bCs/>
          <w:sz w:val="20"/>
          <w:lang w:val="fr-FR"/>
        </w:rPr>
        <w:footnoteReference w:customMarkFollows="1" w:id="2"/>
        <w:t>*</w:t>
      </w:r>
    </w:p>
    <w:p w:rsidR="00D5098E" w:rsidRDefault="00D5098E" w:rsidP="00D5098E">
      <w:pPr>
        <w:pStyle w:val="SingleTxtG"/>
        <w:ind w:firstLine="567"/>
        <w:rPr>
          <w:lang w:val="fr-FR"/>
        </w:rPr>
      </w:pPr>
      <w:r w:rsidRPr="005A1C4B">
        <w:rPr>
          <w:lang w:val="fr-FR"/>
        </w:rPr>
        <w:t>Le texte ci-après, établi par l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expert de la Fédération de Russie, vise à modifier le Règlement ONU n</w:t>
      </w:r>
      <w:r w:rsidRPr="005A1C4B">
        <w:rPr>
          <w:vertAlign w:val="superscript"/>
          <w:lang w:val="fr-FR"/>
        </w:rPr>
        <w:t>o</w:t>
      </w:r>
      <w:r w:rsidRPr="005A1C4B">
        <w:rPr>
          <w:lang w:val="fr-FR"/>
        </w:rPr>
        <w:t> 66 afin de préciser les vérifications à effectuer après avoir procédé à l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essai de résistance. Les modifications qu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il est proposé d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apporter au texte actuel du Règlement ONU n</w:t>
      </w:r>
      <w:r w:rsidRPr="005A1C4B">
        <w:rPr>
          <w:vertAlign w:val="superscript"/>
          <w:lang w:val="fr-FR"/>
        </w:rPr>
        <w:t>o</w:t>
      </w:r>
      <w:r w:rsidRPr="005A1C4B">
        <w:rPr>
          <w:lang w:val="fr-FR"/>
        </w:rPr>
        <w:t> 66 figurent en caractères gras pour les ajouts et biffés pour les suppressions.</w:t>
      </w:r>
    </w:p>
    <w:p w:rsidR="00D5098E" w:rsidRPr="005A1C4B" w:rsidRDefault="007A608C" w:rsidP="0090460B">
      <w:pPr>
        <w:pStyle w:val="HChG"/>
      </w:pPr>
      <w:r>
        <w:rPr>
          <w:lang w:val="fr-FR"/>
        </w:rPr>
        <w:br w:type="page"/>
      </w:r>
      <w:r w:rsidR="00D5098E" w:rsidRPr="005A1C4B">
        <w:rPr>
          <w:lang w:val="fr-FR"/>
        </w:rPr>
        <w:lastRenderedPageBreak/>
        <w:tab/>
      </w:r>
      <w:r w:rsidR="00D5098E" w:rsidRPr="005A1C4B">
        <w:rPr>
          <w:lang w:val="fr-FR"/>
        </w:rPr>
        <w:t>I.</w:t>
      </w:r>
      <w:r w:rsidR="00D5098E" w:rsidRPr="005A1C4B">
        <w:rPr>
          <w:lang w:val="fr-FR"/>
        </w:rPr>
        <w:tab/>
        <w:t>Proposition</w:t>
      </w:r>
    </w:p>
    <w:p w:rsidR="00D5098E" w:rsidRPr="005A1C4B" w:rsidRDefault="00D5098E" w:rsidP="00D5098E">
      <w:pPr>
        <w:pStyle w:val="SingleTxtG"/>
        <w:rPr>
          <w:rFonts w:eastAsia="Calibri"/>
          <w:lang w:val="fr-FR"/>
        </w:rPr>
      </w:pPr>
      <w:r w:rsidRPr="005A1C4B">
        <w:rPr>
          <w:i/>
          <w:iCs/>
          <w:lang w:val="fr-FR"/>
        </w:rPr>
        <w:t>Ajouter les nouveaux paragraphes 2.34 et 2.35</w:t>
      </w:r>
      <w:r w:rsidRPr="005A1C4B">
        <w:rPr>
          <w:lang w:val="fr-FR"/>
        </w:rPr>
        <w:t>, libellés comme suit :</w:t>
      </w:r>
    </w:p>
    <w:p w:rsidR="00D5098E" w:rsidRPr="005A1C4B" w:rsidRDefault="00D5098E" w:rsidP="00D5098E">
      <w:pPr>
        <w:pStyle w:val="SingleTxtG"/>
        <w:ind w:left="2268" w:hanging="1134"/>
        <w:rPr>
          <w:rFonts w:eastAsia="Calibri"/>
          <w:b/>
          <w:lang w:val="fr-FR"/>
        </w:rPr>
      </w:pPr>
      <w:r w:rsidRPr="005A1C4B">
        <w:rPr>
          <w:lang w:val="fr-FR"/>
        </w:rPr>
        <w:t>« </w:t>
      </w:r>
      <w:r w:rsidRPr="005A1C4B">
        <w:rPr>
          <w:b/>
          <w:bCs/>
          <w:lang w:val="fr-FR"/>
        </w:rPr>
        <w:t>2.34</w:t>
      </w:r>
      <w:r w:rsidRPr="005A1C4B">
        <w:rPr>
          <w:lang w:val="fr-FR"/>
        </w:rPr>
        <w:tab/>
      </w:r>
      <w:r w:rsidRPr="005A1C4B">
        <w:rPr>
          <w:b/>
          <w:bCs/>
          <w:lang w:val="fr-FR"/>
        </w:rPr>
        <w:t>Par</w:t>
      </w:r>
      <w:r w:rsidRPr="005A1C4B">
        <w:rPr>
          <w:lang w:val="fr-FR"/>
        </w:rPr>
        <w:t xml:space="preserve"> </w:t>
      </w:r>
      <w:r w:rsidRPr="005A1C4B">
        <w:rPr>
          <w:b/>
          <w:bCs/>
        </w:rPr>
        <w:t>“</w:t>
      </w:r>
      <w:r w:rsidRPr="005A1C4B">
        <w:rPr>
          <w:b/>
          <w:bCs/>
          <w:lang w:val="fr-FR"/>
        </w:rPr>
        <w:t>trappe d</w:t>
      </w:r>
      <w:r w:rsidR="00851A20" w:rsidRPr="005A1C4B">
        <w:rPr>
          <w:b/>
          <w:bCs/>
          <w:lang w:val="fr-FR"/>
        </w:rPr>
        <w:t>’</w:t>
      </w:r>
      <w:r w:rsidRPr="005A1C4B">
        <w:rPr>
          <w:b/>
          <w:bCs/>
          <w:lang w:val="fr-FR"/>
        </w:rPr>
        <w:t>évacuation</w:t>
      </w:r>
      <w:r w:rsidRPr="005A1C4B">
        <w:rPr>
          <w:b/>
          <w:bCs/>
        </w:rPr>
        <w:t>”</w:t>
      </w:r>
      <w:r w:rsidRPr="005A1C4B">
        <w:rPr>
          <w:b/>
          <w:bCs/>
          <w:lang w:val="fr-FR"/>
        </w:rPr>
        <w:t>, on entend une ouverture dans le toit destinée à n</w:t>
      </w:r>
      <w:r w:rsidR="00851A20" w:rsidRPr="005A1C4B">
        <w:rPr>
          <w:b/>
          <w:bCs/>
          <w:lang w:val="fr-FR"/>
        </w:rPr>
        <w:t>’</w:t>
      </w:r>
      <w:r w:rsidRPr="005A1C4B">
        <w:rPr>
          <w:b/>
          <w:bCs/>
          <w:lang w:val="fr-FR"/>
        </w:rPr>
        <w:t>être utilisée comme issue de secours par les passagers qu</w:t>
      </w:r>
      <w:r w:rsidR="00851A20" w:rsidRPr="005A1C4B">
        <w:rPr>
          <w:b/>
          <w:bCs/>
          <w:lang w:val="fr-FR"/>
        </w:rPr>
        <w:t>’</w:t>
      </w:r>
      <w:r w:rsidRPr="005A1C4B">
        <w:rPr>
          <w:b/>
          <w:bCs/>
          <w:lang w:val="fr-FR"/>
        </w:rPr>
        <w:t>en cas d</w:t>
      </w:r>
      <w:r w:rsidR="00851A20" w:rsidRPr="005A1C4B">
        <w:rPr>
          <w:b/>
          <w:bCs/>
          <w:lang w:val="fr-FR"/>
        </w:rPr>
        <w:t>’</w:t>
      </w:r>
      <w:r w:rsidRPr="005A1C4B">
        <w:rPr>
          <w:b/>
          <w:bCs/>
          <w:lang w:val="fr-FR"/>
        </w:rPr>
        <w:t>urgence.</w:t>
      </w:r>
    </w:p>
    <w:p w:rsidR="00D5098E" w:rsidRPr="005A1C4B" w:rsidRDefault="00D5098E" w:rsidP="00D5098E">
      <w:pPr>
        <w:pStyle w:val="SingleTxtG"/>
        <w:ind w:left="2268" w:hanging="1134"/>
        <w:rPr>
          <w:rFonts w:eastAsia="Calibri"/>
          <w:b/>
          <w:lang w:val="fr-FR"/>
        </w:rPr>
      </w:pPr>
      <w:r w:rsidRPr="005A1C4B">
        <w:rPr>
          <w:lang w:val="fr-FR"/>
        </w:rPr>
        <w:t>2.35</w:t>
      </w:r>
      <w:r w:rsidRPr="005A1C4B">
        <w:rPr>
          <w:lang w:val="fr-FR"/>
        </w:rPr>
        <w:tab/>
      </w:r>
      <w:r w:rsidRPr="005A1C4B">
        <w:rPr>
          <w:b/>
          <w:bCs/>
          <w:lang w:val="fr-FR"/>
        </w:rPr>
        <w:t>Par</w:t>
      </w:r>
      <w:r w:rsidRPr="005A1C4B">
        <w:rPr>
          <w:lang w:val="fr-FR"/>
        </w:rPr>
        <w:t xml:space="preserve"> </w:t>
      </w:r>
      <w:r w:rsidRPr="005A1C4B">
        <w:rPr>
          <w:b/>
          <w:bCs/>
        </w:rPr>
        <w:t>“</w:t>
      </w:r>
      <w:r w:rsidRPr="005A1C4B">
        <w:rPr>
          <w:b/>
          <w:bCs/>
          <w:lang w:val="fr-FR"/>
        </w:rPr>
        <w:t>issue de secours</w:t>
      </w:r>
      <w:r w:rsidRPr="005A1C4B">
        <w:rPr>
          <w:b/>
          <w:bCs/>
        </w:rPr>
        <w:t>”</w:t>
      </w:r>
      <w:r w:rsidRPr="005A1C4B">
        <w:rPr>
          <w:b/>
          <w:bCs/>
          <w:lang w:val="fr-FR"/>
        </w:rPr>
        <w:t>, on entend une porte de secours, une fenêtre de secours ou une trappe d</w:t>
      </w:r>
      <w:r w:rsidR="00851A20" w:rsidRPr="005A1C4B">
        <w:rPr>
          <w:b/>
          <w:bCs/>
          <w:lang w:val="fr-FR"/>
        </w:rPr>
        <w:t>’</w:t>
      </w:r>
      <w:r w:rsidRPr="005A1C4B">
        <w:rPr>
          <w:b/>
          <w:bCs/>
          <w:lang w:val="fr-FR"/>
        </w:rPr>
        <w:t>évacuation. </w:t>
      </w:r>
      <w:r w:rsidRPr="005A1C4B">
        <w:rPr>
          <w:lang w:val="fr-FR"/>
        </w:rPr>
        <w:t>».</w:t>
      </w:r>
    </w:p>
    <w:p w:rsidR="00D5098E" w:rsidRPr="005A1C4B" w:rsidRDefault="00D5098E" w:rsidP="00D5098E">
      <w:pPr>
        <w:pStyle w:val="SingleTxtG"/>
        <w:rPr>
          <w:rFonts w:eastAsia="Calibri"/>
          <w:lang w:val="fr-FR"/>
        </w:rPr>
      </w:pPr>
      <w:r w:rsidRPr="005A1C4B">
        <w:rPr>
          <w:rFonts w:eastAsia="Calibri"/>
          <w:i/>
          <w:iCs/>
          <w:lang w:val="fr-FR"/>
        </w:rPr>
        <w:t>Ajouter un nouveau paragraphe 5.3.5</w:t>
      </w:r>
      <w:r w:rsidRPr="005A1C4B">
        <w:rPr>
          <w:rFonts w:eastAsia="Calibri"/>
          <w:lang w:val="fr-FR"/>
        </w:rPr>
        <w:t>, libellé comme suit :</w:t>
      </w:r>
    </w:p>
    <w:p w:rsidR="00D5098E" w:rsidRPr="005A1C4B" w:rsidRDefault="00D5098E" w:rsidP="00D5098E">
      <w:pPr>
        <w:pStyle w:val="SingleTxtG"/>
        <w:ind w:left="2268" w:hanging="1134"/>
        <w:rPr>
          <w:rFonts w:eastAsia="Calibri"/>
          <w:b/>
          <w:lang w:val="fr-FR"/>
        </w:rPr>
      </w:pPr>
      <w:r w:rsidRPr="005A1C4B">
        <w:rPr>
          <w:lang w:val="fr-FR"/>
        </w:rPr>
        <w:t>« </w:t>
      </w:r>
      <w:r w:rsidRPr="005A1C4B">
        <w:rPr>
          <w:b/>
          <w:bCs/>
          <w:lang w:val="fr-FR"/>
        </w:rPr>
        <w:t>5.3.5</w:t>
      </w:r>
      <w:r w:rsidRPr="005A1C4B">
        <w:rPr>
          <w:lang w:val="fr-FR"/>
        </w:rPr>
        <w:tab/>
      </w:r>
      <w:r w:rsidRPr="005A1C4B">
        <w:rPr>
          <w:b/>
          <w:bCs/>
          <w:lang w:val="fr-FR"/>
        </w:rPr>
        <w:t>Si toutefois le demandeur sollicite l</w:t>
      </w:r>
      <w:r w:rsidR="00851A20" w:rsidRPr="005A1C4B">
        <w:rPr>
          <w:b/>
          <w:bCs/>
          <w:lang w:val="fr-FR"/>
        </w:rPr>
        <w:t>’</w:t>
      </w:r>
      <w:r w:rsidRPr="005A1C4B">
        <w:rPr>
          <w:b/>
          <w:bCs/>
          <w:lang w:val="fr-FR"/>
        </w:rPr>
        <w:t>homologation sans que le bon fonctionnement des trappes d</w:t>
      </w:r>
      <w:r w:rsidR="00851A20" w:rsidRPr="005A1C4B">
        <w:rPr>
          <w:b/>
          <w:bCs/>
          <w:lang w:val="fr-FR"/>
        </w:rPr>
        <w:t>’</w:t>
      </w:r>
      <w:r w:rsidRPr="005A1C4B">
        <w:rPr>
          <w:b/>
          <w:bCs/>
          <w:lang w:val="fr-FR"/>
        </w:rPr>
        <w:t>évacuation et l</w:t>
      </w:r>
      <w:r w:rsidR="00851A20" w:rsidRPr="005A1C4B">
        <w:rPr>
          <w:b/>
          <w:bCs/>
          <w:lang w:val="fr-FR"/>
        </w:rPr>
        <w:t>’</w:t>
      </w:r>
      <w:r w:rsidRPr="005A1C4B">
        <w:rPr>
          <w:b/>
          <w:bCs/>
          <w:lang w:val="fr-FR"/>
        </w:rPr>
        <w:t>efficacité des mesures de sécurité prises pour éviter les blessures dans la cabine visées dans l</w:t>
      </w:r>
      <w:r w:rsidR="00851A20" w:rsidRPr="005A1C4B">
        <w:rPr>
          <w:b/>
          <w:bCs/>
          <w:lang w:val="fr-FR"/>
        </w:rPr>
        <w:t>’</w:t>
      </w:r>
      <w:r w:rsidRPr="005A1C4B">
        <w:rPr>
          <w:b/>
          <w:bCs/>
          <w:lang w:val="fr-FR"/>
        </w:rPr>
        <w:t>appendice 1 de l</w:t>
      </w:r>
      <w:r w:rsidR="00851A20" w:rsidRPr="005A1C4B">
        <w:rPr>
          <w:b/>
          <w:bCs/>
          <w:lang w:val="fr-FR"/>
        </w:rPr>
        <w:t>’</w:t>
      </w:r>
      <w:r w:rsidRPr="005A1C4B">
        <w:rPr>
          <w:b/>
          <w:bCs/>
          <w:lang w:val="fr-FR"/>
        </w:rPr>
        <w:t xml:space="preserve">annexe 5 soient vérifiés, les prescriptions nationales des Parties </w:t>
      </w:r>
      <w:r w:rsidRPr="0090460B">
        <w:rPr>
          <w:b/>
          <w:bCs/>
          <w:lang w:val="fr-FR"/>
        </w:rPr>
        <w:t>contractantes</w:t>
      </w:r>
      <w:r w:rsidRPr="005A1C4B">
        <w:rPr>
          <w:b/>
          <w:bCs/>
          <w:lang w:val="fr-FR"/>
        </w:rPr>
        <w:t xml:space="preserve"> peuvent s</w:t>
      </w:r>
      <w:r w:rsidR="00851A20" w:rsidRPr="005A1C4B">
        <w:rPr>
          <w:b/>
          <w:bCs/>
          <w:lang w:val="fr-FR"/>
        </w:rPr>
        <w:t>’</w:t>
      </w:r>
      <w:r w:rsidRPr="005A1C4B">
        <w:rPr>
          <w:b/>
          <w:bCs/>
          <w:lang w:val="fr-FR"/>
        </w:rPr>
        <w:t>appliquer.</w:t>
      </w:r>
      <w:r w:rsidRPr="005A1C4B">
        <w:rPr>
          <w:lang w:val="fr-FR"/>
        </w:rPr>
        <w:t> ».</w:t>
      </w:r>
    </w:p>
    <w:p w:rsidR="00D5098E" w:rsidRPr="005A1C4B" w:rsidRDefault="00D5098E" w:rsidP="00D5098E">
      <w:pPr>
        <w:pStyle w:val="SingleTxtG"/>
        <w:rPr>
          <w:rFonts w:eastAsia="Calibri"/>
          <w:lang w:val="fr-FR"/>
        </w:rPr>
      </w:pPr>
      <w:r w:rsidRPr="005A1C4B">
        <w:rPr>
          <w:i/>
          <w:iCs/>
          <w:lang w:val="fr-FR"/>
        </w:rPr>
        <w:t>Annexe 5, paragraphe 2.1</w:t>
      </w:r>
      <w:r w:rsidRPr="005A1C4B">
        <w:rPr>
          <w:lang w:val="fr-FR"/>
        </w:rPr>
        <w:t>, lire :</w:t>
      </w:r>
    </w:p>
    <w:p w:rsidR="00D5098E" w:rsidRPr="005A1C4B" w:rsidRDefault="00D5098E" w:rsidP="00D5098E">
      <w:pPr>
        <w:pStyle w:val="SingleTxtG"/>
        <w:ind w:left="2268" w:hanging="1134"/>
        <w:rPr>
          <w:rFonts w:eastAsia="Calibri"/>
          <w:lang w:val="fr-FR"/>
        </w:rPr>
      </w:pPr>
      <w:r w:rsidRPr="005A1C4B">
        <w:rPr>
          <w:lang w:val="fr-FR"/>
        </w:rPr>
        <w:t>« 2.1</w:t>
      </w:r>
      <w:r w:rsidRPr="005A1C4B">
        <w:rPr>
          <w:lang w:val="fr-FR"/>
        </w:rPr>
        <w:tab/>
      </w:r>
      <w:r w:rsidRPr="005A1C4B">
        <w:rPr>
          <w:strike/>
          <w:lang w:val="fr-FR"/>
        </w:rPr>
        <w:t>Il n</w:t>
      </w:r>
      <w:r w:rsidR="00851A20" w:rsidRPr="005A1C4B">
        <w:rPr>
          <w:strike/>
          <w:lang w:val="fr-FR"/>
        </w:rPr>
        <w:t>’</w:t>
      </w:r>
      <w:r w:rsidRPr="005A1C4B">
        <w:rPr>
          <w:strike/>
          <w:lang w:val="fr-FR"/>
        </w:rPr>
        <w:t>est pas nécessaire que le</w:t>
      </w:r>
      <w:r w:rsidRPr="005A1C4B">
        <w:rPr>
          <w:strike/>
          <w:lang w:val="fr-FR"/>
        </w:rPr>
        <w:t xml:space="preserve"> </w:t>
      </w:r>
      <w:proofErr w:type="spellStart"/>
      <w:r w:rsidRPr="005A1C4B">
        <w:rPr>
          <w:b/>
          <w:bCs/>
          <w:lang w:val="fr-FR"/>
        </w:rPr>
        <w:t>Le</w:t>
      </w:r>
      <w:proofErr w:type="spellEnd"/>
      <w:r w:rsidRPr="005A1C4B">
        <w:rPr>
          <w:lang w:val="fr-FR"/>
        </w:rPr>
        <w:t xml:space="preserve"> véhicule soumis à l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essai</w:t>
      </w:r>
      <w:r w:rsidRPr="005A1C4B">
        <w:rPr>
          <w:strike/>
          <w:lang w:val="fr-FR"/>
        </w:rPr>
        <w:t xml:space="preserve"> soit</w:t>
      </w:r>
      <w:r w:rsidRPr="005A1C4B">
        <w:rPr>
          <w:lang w:val="fr-FR"/>
        </w:rPr>
        <w:t xml:space="preserve"> </w:t>
      </w:r>
      <w:r w:rsidRPr="005A1C4B">
        <w:rPr>
          <w:b/>
          <w:bCs/>
          <w:lang w:val="fr-FR"/>
        </w:rPr>
        <w:t>doit être</w:t>
      </w:r>
      <w:r w:rsidRPr="005A1C4B">
        <w:rPr>
          <w:lang w:val="fr-FR"/>
        </w:rPr>
        <w:t xml:space="preserve"> </w:t>
      </w:r>
      <w:proofErr w:type="spellStart"/>
      <w:r w:rsidRPr="005A1C4B">
        <w:rPr>
          <w:lang w:val="fr-FR"/>
        </w:rPr>
        <w:t>complètement</w:t>
      </w:r>
      <w:proofErr w:type="spellEnd"/>
      <w:r w:rsidRPr="005A1C4B">
        <w:rPr>
          <w:lang w:val="fr-FR"/>
        </w:rPr>
        <w:t xml:space="preserve"> équipé et en ordre de </w:t>
      </w:r>
      <w:proofErr w:type="spellStart"/>
      <w:r w:rsidRPr="005A1C4B">
        <w:rPr>
          <w:lang w:val="fr-FR"/>
        </w:rPr>
        <w:t>marche</w:t>
      </w:r>
      <w:r w:rsidRPr="005A1C4B">
        <w:rPr>
          <w:lang w:val="fr-FR"/>
        </w:rPr>
        <w:t>.</w:t>
      </w:r>
      <w:r w:rsidRPr="005A1C4B">
        <w:rPr>
          <w:strike/>
          <w:lang w:val="fr-FR"/>
        </w:rPr>
        <w:t>En</w:t>
      </w:r>
      <w:proofErr w:type="spellEnd"/>
      <w:r w:rsidRPr="005A1C4B">
        <w:rPr>
          <w:strike/>
          <w:lang w:val="fr-FR"/>
        </w:rPr>
        <w:t xml:space="preserve"> principe, des différences par rapport à cet état sont acceptables si les caractéristiques et le comportement fondamentaux de la superstructure n</w:t>
      </w:r>
      <w:r w:rsidR="00851A20" w:rsidRPr="005A1C4B">
        <w:rPr>
          <w:strike/>
          <w:lang w:val="fr-FR"/>
        </w:rPr>
        <w:t>’</w:t>
      </w:r>
      <w:r w:rsidRPr="005A1C4B">
        <w:rPr>
          <w:strike/>
          <w:lang w:val="fr-FR"/>
        </w:rPr>
        <w:t>en sont pas affectés.</w:t>
      </w:r>
      <w:r w:rsidRPr="005A1C4B">
        <w:rPr>
          <w:lang w:val="fr-FR"/>
        </w:rPr>
        <w:t xml:space="preserve"> </w:t>
      </w:r>
      <w:r w:rsidRPr="005A1C4B">
        <w:rPr>
          <w:strike/>
          <w:lang w:val="fr-FR"/>
        </w:rPr>
        <w:t>Le véhicule d</w:t>
      </w:r>
      <w:r w:rsidR="00851A20" w:rsidRPr="005A1C4B">
        <w:rPr>
          <w:strike/>
          <w:lang w:val="fr-FR"/>
        </w:rPr>
        <w:t>’</w:t>
      </w:r>
      <w:r w:rsidRPr="005A1C4B">
        <w:rPr>
          <w:strike/>
          <w:lang w:val="fr-FR"/>
        </w:rPr>
        <w:t>essai</w:t>
      </w:r>
      <w:r w:rsidRPr="005A1C4B">
        <w:rPr>
          <w:lang w:val="fr-FR"/>
        </w:rPr>
        <w:t xml:space="preserve"> </w:t>
      </w:r>
      <w:r w:rsidRPr="005A1C4B">
        <w:rPr>
          <w:b/>
          <w:bCs/>
          <w:lang w:val="fr-FR"/>
        </w:rPr>
        <w:t>Il</w:t>
      </w:r>
      <w:r w:rsidRPr="005A1C4B">
        <w:rPr>
          <w:lang w:val="fr-FR"/>
        </w:rPr>
        <w:t xml:space="preserve"> doit </w:t>
      </w:r>
      <w:r w:rsidRPr="005A1C4B">
        <w:rPr>
          <w:strike/>
          <w:lang w:val="fr-FR"/>
        </w:rPr>
        <w:t>par contre</w:t>
      </w:r>
      <w:r w:rsidRPr="005A1C4B">
        <w:rPr>
          <w:strike/>
          <w:lang w:val="fr-FR"/>
        </w:rPr>
        <w:t xml:space="preserve"> </w:t>
      </w:r>
      <w:r w:rsidRPr="005A1C4B">
        <w:rPr>
          <w:lang w:val="fr-FR"/>
        </w:rPr>
        <w:t>être identique à la version complète en ordre de marche pour ce qui est des caractéristiques suivantes : ».</w:t>
      </w:r>
    </w:p>
    <w:p w:rsidR="00D5098E" w:rsidRPr="005A1C4B" w:rsidRDefault="00D5098E" w:rsidP="00D5098E">
      <w:pPr>
        <w:pStyle w:val="SingleTxtG"/>
        <w:rPr>
          <w:rFonts w:eastAsia="Calibri"/>
          <w:lang w:val="fr-FR"/>
        </w:rPr>
      </w:pPr>
      <w:r w:rsidRPr="005A1C4B">
        <w:rPr>
          <w:i/>
          <w:iCs/>
          <w:lang w:val="fr-FR"/>
        </w:rPr>
        <w:t>Annexe 5, paragraphe 2.1.3</w:t>
      </w:r>
      <w:r w:rsidRPr="005A1C4B">
        <w:rPr>
          <w:lang w:val="fr-FR"/>
        </w:rPr>
        <w:t>, lire :</w:t>
      </w:r>
    </w:p>
    <w:p w:rsidR="00D5098E" w:rsidRPr="005A1C4B" w:rsidRDefault="00D5098E" w:rsidP="00D5098E">
      <w:pPr>
        <w:pStyle w:val="SingleTxtG"/>
        <w:ind w:left="2268" w:hanging="1134"/>
        <w:rPr>
          <w:rFonts w:eastAsia="Calibri"/>
          <w:lang w:val="fr-FR"/>
        </w:rPr>
      </w:pPr>
      <w:r w:rsidRPr="005A1C4B">
        <w:rPr>
          <w:lang w:val="fr-FR"/>
        </w:rPr>
        <w:t>« 2.1.3</w:t>
      </w:r>
      <w:r w:rsidRPr="005A1C4B">
        <w:rPr>
          <w:lang w:val="fr-FR"/>
        </w:rPr>
        <w:tab/>
        <w:t>Les éléments qui ne contribuent pas à la résistance mécanique de la superstructure et qui ont trop de valeur pour qu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 xml:space="preserve">on les expose à des dommages (groupe motopropulseur, appareillage du tableau de bord, siège du conducteur, équipement de cuisine, équipement sanitaire, etc.) peuvent être remplacés, </w:t>
      </w:r>
      <w:r w:rsidRPr="005A1C4B">
        <w:rPr>
          <w:b/>
          <w:bCs/>
          <w:lang w:val="fr-FR"/>
        </w:rPr>
        <w:t>en accord avec le service technique,</w:t>
      </w:r>
      <w:r w:rsidRPr="005A1C4B">
        <w:rPr>
          <w:lang w:val="fr-FR"/>
        </w:rPr>
        <w:t xml:space="preserve"> par des éléments additionnels équivalents de par leur masse et leur méthode d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installation. Ces éléments additionnels ne doivent pas avoir pour effet de renforcer la résistance mécanique de la superstructure</w:t>
      </w:r>
      <w:r w:rsidR="0090460B">
        <w:rPr>
          <w:lang w:val="fr-FR"/>
        </w:rPr>
        <w:t xml:space="preserve"> </w:t>
      </w:r>
      <w:r w:rsidRPr="005A1C4B">
        <w:rPr>
          <w:lang w:val="fr-FR"/>
        </w:rPr>
        <w:t>; ».</w:t>
      </w:r>
    </w:p>
    <w:p w:rsidR="00D5098E" w:rsidRPr="005A1C4B" w:rsidRDefault="00D5098E" w:rsidP="00D5098E">
      <w:pPr>
        <w:pStyle w:val="SingleTxtG"/>
        <w:rPr>
          <w:rFonts w:eastAsia="Calibri"/>
          <w:lang w:val="fr-FR"/>
        </w:rPr>
      </w:pPr>
      <w:r w:rsidRPr="005A1C4B">
        <w:rPr>
          <w:i/>
          <w:iCs/>
          <w:lang w:val="fr-FR"/>
        </w:rPr>
        <w:t>Ajouter les nouveaux paragraphes 2.2.4 et 2.2.5</w:t>
      </w:r>
      <w:r w:rsidRPr="005A1C4B">
        <w:rPr>
          <w:lang w:val="fr-FR"/>
        </w:rPr>
        <w:t>, libellés comme suit :</w:t>
      </w:r>
    </w:p>
    <w:p w:rsidR="00D5098E" w:rsidRPr="005A1C4B" w:rsidRDefault="00D5098E" w:rsidP="00D5098E">
      <w:pPr>
        <w:pStyle w:val="SingleTxtG"/>
        <w:ind w:left="2268" w:hanging="1134"/>
        <w:rPr>
          <w:rFonts w:eastAsia="Calibri"/>
          <w:b/>
          <w:lang w:val="fr-FR"/>
        </w:rPr>
      </w:pPr>
      <w:r w:rsidRPr="005A1C4B">
        <w:rPr>
          <w:lang w:val="fr-FR"/>
        </w:rPr>
        <w:t>«</w:t>
      </w:r>
      <w:r w:rsidRPr="005A1C4B">
        <w:rPr>
          <w:b/>
          <w:bCs/>
          <w:lang w:val="fr-FR"/>
        </w:rPr>
        <w:t> 2.2.4</w:t>
      </w:r>
      <w:r w:rsidRPr="005A1C4B">
        <w:rPr>
          <w:lang w:val="fr-FR"/>
        </w:rPr>
        <w:tab/>
      </w:r>
      <w:r w:rsidRPr="005A1C4B">
        <w:rPr>
          <w:b/>
          <w:bCs/>
          <w:lang w:val="fr-FR"/>
        </w:rPr>
        <w:t>Toutes les trappes d</w:t>
      </w:r>
      <w:r w:rsidR="00851A20" w:rsidRPr="005A1C4B">
        <w:rPr>
          <w:b/>
          <w:bCs/>
          <w:lang w:val="fr-FR"/>
        </w:rPr>
        <w:t>’</w:t>
      </w:r>
      <w:r w:rsidRPr="005A1C4B">
        <w:rPr>
          <w:b/>
          <w:bCs/>
          <w:lang w:val="fr-FR"/>
        </w:rPr>
        <w:t>évacuation et sorties de secours doivent être fermées.</w:t>
      </w:r>
      <w:r w:rsidRPr="005A1C4B">
        <w:rPr>
          <w:lang w:val="fr-FR"/>
        </w:rPr>
        <w:t xml:space="preserve"> </w:t>
      </w:r>
      <w:r w:rsidRPr="005A1C4B">
        <w:rPr>
          <w:b/>
          <w:bCs/>
          <w:lang w:val="fr-FR"/>
        </w:rPr>
        <w:t>Dans le cas d</w:t>
      </w:r>
      <w:r w:rsidR="00851A20" w:rsidRPr="005A1C4B">
        <w:rPr>
          <w:b/>
          <w:bCs/>
          <w:lang w:val="fr-FR"/>
        </w:rPr>
        <w:t>’</w:t>
      </w:r>
      <w:r w:rsidRPr="005A1C4B">
        <w:rPr>
          <w:b/>
          <w:bCs/>
          <w:lang w:val="fr-FR"/>
        </w:rPr>
        <w:t>une trappe facile à casser, un instrument prévu à cet effet et facilement accessible aux occupants du véhicule doit être installé à proximité de ladite trappe ;</w:t>
      </w:r>
    </w:p>
    <w:p w:rsidR="00D5098E" w:rsidRPr="005A1C4B" w:rsidRDefault="00D5098E" w:rsidP="0090460B">
      <w:pPr>
        <w:pStyle w:val="SingleTxtG"/>
        <w:ind w:left="2268" w:hanging="1134"/>
        <w:rPr>
          <w:rFonts w:eastAsia="Calibri"/>
          <w:b/>
          <w:lang w:val="fr-FR"/>
        </w:rPr>
      </w:pPr>
      <w:r w:rsidRPr="005A1C4B">
        <w:rPr>
          <w:b/>
          <w:bCs/>
          <w:lang w:val="fr-FR"/>
        </w:rPr>
        <w:t>2.2.5</w:t>
      </w:r>
      <w:r w:rsidRPr="005A1C4B">
        <w:rPr>
          <w:lang w:val="fr-FR"/>
        </w:rPr>
        <w:tab/>
      </w:r>
      <w:r w:rsidRPr="005A1C4B">
        <w:rPr>
          <w:b/>
          <w:bCs/>
          <w:lang w:val="fr-FR"/>
        </w:rPr>
        <w:t>Les extincteurs doivent être placés aux endroits prévus et être fixés conformément aux normes en vigueur.</w:t>
      </w:r>
      <w:r w:rsidRPr="005A1C4B">
        <w:rPr>
          <w:lang w:val="fr-FR"/>
        </w:rPr>
        <w:t> ».</w:t>
      </w:r>
    </w:p>
    <w:p w:rsidR="00D5098E" w:rsidRPr="005A1C4B" w:rsidRDefault="00D5098E" w:rsidP="00D5098E">
      <w:pPr>
        <w:pStyle w:val="SingleTxtG"/>
        <w:rPr>
          <w:rFonts w:eastAsia="Calibri"/>
          <w:lang w:val="fr-FR"/>
        </w:rPr>
      </w:pPr>
      <w:r w:rsidRPr="005A1C4B">
        <w:rPr>
          <w:i/>
          <w:iCs/>
          <w:lang w:val="fr-FR"/>
        </w:rPr>
        <w:t>Ajouter un nouvel appendice 1 à l</w:t>
      </w:r>
      <w:r w:rsidR="00851A20" w:rsidRPr="005A1C4B">
        <w:rPr>
          <w:i/>
          <w:iCs/>
          <w:lang w:val="fr-FR"/>
        </w:rPr>
        <w:t>’</w:t>
      </w:r>
      <w:r w:rsidRPr="005A1C4B">
        <w:rPr>
          <w:i/>
          <w:iCs/>
          <w:lang w:val="fr-FR"/>
        </w:rPr>
        <w:t>annexe 5</w:t>
      </w:r>
      <w:r w:rsidRPr="005A1C4B">
        <w:rPr>
          <w:lang w:val="fr-FR"/>
        </w:rPr>
        <w:t>, libellé comme suit :</w:t>
      </w:r>
    </w:p>
    <w:p w:rsidR="00D5098E" w:rsidRPr="005A1C4B" w:rsidRDefault="00D5098E" w:rsidP="00D5098E">
      <w:pPr>
        <w:pStyle w:val="SingleTxtG"/>
        <w:rPr>
          <w:rFonts w:eastAsia="Calibri"/>
          <w:lang w:val="fr-FR"/>
        </w:rPr>
      </w:pPr>
      <w:r w:rsidRPr="005A1C4B">
        <w:rPr>
          <w:lang w:val="fr-FR"/>
        </w:rPr>
        <w:t>« </w:t>
      </w:r>
      <w:r w:rsidRPr="005A1C4B">
        <w:rPr>
          <w:b/>
          <w:bCs/>
          <w:lang w:val="fr-FR"/>
        </w:rPr>
        <w:t xml:space="preserve">Annexe 5 </w:t>
      </w:r>
      <w:r w:rsidRPr="005A1C4B">
        <w:rPr>
          <w:b/>
          <w:bCs/>
          <w:lang w:val="fr-FR"/>
        </w:rPr>
        <w:t>−</w:t>
      </w:r>
      <w:r w:rsidRPr="005A1C4B">
        <w:rPr>
          <w:b/>
          <w:bCs/>
          <w:lang w:val="fr-FR"/>
        </w:rPr>
        <w:t xml:space="preserve"> Appendice 1</w:t>
      </w:r>
    </w:p>
    <w:p w:rsidR="00D5098E" w:rsidRPr="005A1C4B" w:rsidRDefault="00D5098E" w:rsidP="00D5098E">
      <w:pPr>
        <w:pStyle w:val="SingleTxtG"/>
        <w:ind w:left="2268" w:hanging="1134"/>
        <w:rPr>
          <w:rFonts w:eastAsia="Calibri"/>
          <w:b/>
          <w:bCs/>
          <w:lang w:val="fr-FR"/>
        </w:rPr>
      </w:pPr>
      <w:r w:rsidRPr="005A1C4B">
        <w:rPr>
          <w:b/>
          <w:bCs/>
          <w:lang w:val="fr-FR"/>
        </w:rPr>
        <w:t>1.</w:t>
      </w:r>
      <w:r w:rsidRPr="005A1C4B">
        <w:rPr>
          <w:b/>
          <w:bCs/>
          <w:lang w:val="fr-FR"/>
        </w:rPr>
        <w:tab/>
        <w:t>Une fois l</w:t>
      </w:r>
      <w:r w:rsidR="00851A20" w:rsidRPr="005A1C4B">
        <w:rPr>
          <w:b/>
          <w:bCs/>
          <w:lang w:val="fr-FR"/>
        </w:rPr>
        <w:t>’</w:t>
      </w:r>
      <w:r w:rsidRPr="005A1C4B">
        <w:rPr>
          <w:b/>
          <w:bCs/>
          <w:lang w:val="fr-FR"/>
        </w:rPr>
        <w:t>essai effectué, procéder aux vérifications suivantes :</w:t>
      </w:r>
    </w:p>
    <w:p w:rsidR="00D5098E" w:rsidRPr="005A1C4B" w:rsidRDefault="00D5098E" w:rsidP="00D5098E">
      <w:pPr>
        <w:pStyle w:val="SingleTxtG"/>
        <w:ind w:left="2268" w:hanging="1134"/>
        <w:rPr>
          <w:rFonts w:eastAsia="Calibri"/>
          <w:b/>
          <w:lang w:val="fr-FR"/>
        </w:rPr>
      </w:pPr>
      <w:r w:rsidRPr="005A1C4B">
        <w:rPr>
          <w:b/>
          <w:bCs/>
          <w:lang w:val="fr-FR"/>
        </w:rPr>
        <w:t>1.1</w:t>
      </w:r>
      <w:r w:rsidRPr="005A1C4B">
        <w:rPr>
          <w:lang w:val="fr-FR"/>
        </w:rPr>
        <w:tab/>
      </w:r>
      <w:r w:rsidRPr="005A1C4B">
        <w:rPr>
          <w:b/>
          <w:bCs/>
          <w:lang w:val="fr-FR"/>
        </w:rPr>
        <w:t>La trappe d</w:t>
      </w:r>
      <w:r w:rsidR="00851A20" w:rsidRPr="005A1C4B">
        <w:rPr>
          <w:b/>
          <w:bCs/>
          <w:lang w:val="fr-FR"/>
        </w:rPr>
        <w:t>’</w:t>
      </w:r>
      <w:r w:rsidRPr="005A1C4B">
        <w:rPr>
          <w:b/>
          <w:bCs/>
          <w:lang w:val="fr-FR"/>
        </w:rPr>
        <w:t>évacuation ne doit pas être bloquée et doit continuer à fonctionner.</w:t>
      </w:r>
      <w:r w:rsidRPr="005A1C4B">
        <w:rPr>
          <w:lang w:val="fr-FR"/>
        </w:rPr>
        <w:t xml:space="preserve"> </w:t>
      </w:r>
      <w:r w:rsidRPr="005A1C4B">
        <w:rPr>
          <w:b/>
          <w:bCs/>
          <w:lang w:val="fr-FR"/>
        </w:rPr>
        <w:t>Si la trappe d</w:t>
      </w:r>
      <w:r w:rsidR="00851A20" w:rsidRPr="005A1C4B">
        <w:rPr>
          <w:b/>
          <w:bCs/>
          <w:lang w:val="fr-FR"/>
        </w:rPr>
        <w:t>’</w:t>
      </w:r>
      <w:r w:rsidRPr="005A1C4B">
        <w:rPr>
          <w:b/>
          <w:bCs/>
          <w:lang w:val="fr-FR"/>
        </w:rPr>
        <w:t>évacuation s</w:t>
      </w:r>
      <w:r w:rsidR="00851A20" w:rsidRPr="005A1C4B">
        <w:rPr>
          <w:b/>
          <w:bCs/>
          <w:lang w:val="fr-FR"/>
        </w:rPr>
        <w:t>’</w:t>
      </w:r>
      <w:r w:rsidRPr="005A1C4B">
        <w:rPr>
          <w:b/>
          <w:bCs/>
          <w:lang w:val="fr-FR"/>
        </w:rPr>
        <w:t>ouvre par des moyens mécaniques (dans le cas d</w:t>
      </w:r>
      <w:r w:rsidR="00851A20" w:rsidRPr="005A1C4B">
        <w:rPr>
          <w:b/>
          <w:bCs/>
          <w:lang w:val="fr-FR"/>
        </w:rPr>
        <w:t>’</w:t>
      </w:r>
      <w:r w:rsidRPr="005A1C4B">
        <w:rPr>
          <w:b/>
          <w:bCs/>
          <w:lang w:val="fr-FR"/>
        </w:rPr>
        <w:t>une trappe en verre, sans la casser), la force à exercer dans quelque direction que ce soit ne doit pas dépasser 400 N.</w:t>
      </w:r>
    </w:p>
    <w:p w:rsidR="00D5098E" w:rsidRPr="005A1C4B" w:rsidRDefault="00D5098E" w:rsidP="00851A20">
      <w:pPr>
        <w:pStyle w:val="SingleTxtG"/>
        <w:ind w:left="2268"/>
        <w:rPr>
          <w:rFonts w:eastAsia="Calibri"/>
          <w:b/>
          <w:lang w:val="fr-FR"/>
        </w:rPr>
      </w:pPr>
      <w:r w:rsidRPr="005A1C4B">
        <w:rPr>
          <w:b/>
          <w:bCs/>
          <w:lang w:val="fr-FR"/>
        </w:rPr>
        <w:t>Note : S</w:t>
      </w:r>
      <w:r w:rsidR="00851A20" w:rsidRPr="005A1C4B">
        <w:rPr>
          <w:b/>
          <w:bCs/>
          <w:lang w:val="fr-FR"/>
        </w:rPr>
        <w:t>’</w:t>
      </w:r>
      <w:r w:rsidRPr="005A1C4B">
        <w:rPr>
          <w:b/>
          <w:bCs/>
          <w:lang w:val="fr-FR"/>
        </w:rPr>
        <w:t>il n</w:t>
      </w:r>
      <w:r w:rsidR="00851A20" w:rsidRPr="005A1C4B">
        <w:rPr>
          <w:b/>
          <w:bCs/>
          <w:lang w:val="fr-FR"/>
        </w:rPr>
        <w:t>’</w:t>
      </w:r>
      <w:r w:rsidRPr="005A1C4B">
        <w:rPr>
          <w:b/>
          <w:bCs/>
          <w:lang w:val="fr-FR"/>
        </w:rPr>
        <w:t>y a qu</w:t>
      </w:r>
      <w:r w:rsidR="00851A20" w:rsidRPr="005A1C4B">
        <w:rPr>
          <w:b/>
          <w:bCs/>
          <w:lang w:val="fr-FR"/>
        </w:rPr>
        <w:t>’</w:t>
      </w:r>
      <w:r w:rsidRPr="005A1C4B">
        <w:rPr>
          <w:b/>
          <w:bCs/>
          <w:lang w:val="fr-FR"/>
        </w:rPr>
        <w:t>une seule trappe d</w:t>
      </w:r>
      <w:r w:rsidR="00851A20" w:rsidRPr="005A1C4B">
        <w:rPr>
          <w:b/>
          <w:bCs/>
          <w:lang w:val="fr-FR"/>
        </w:rPr>
        <w:t>’</w:t>
      </w:r>
      <w:r w:rsidRPr="005A1C4B">
        <w:rPr>
          <w:b/>
          <w:bCs/>
          <w:lang w:val="fr-FR"/>
        </w:rPr>
        <w:t>évacuation, le contrôle de l</w:t>
      </w:r>
      <w:r w:rsidR="00851A20" w:rsidRPr="005A1C4B">
        <w:rPr>
          <w:b/>
          <w:bCs/>
          <w:lang w:val="fr-FR"/>
        </w:rPr>
        <w:t>’</w:t>
      </w:r>
      <w:r w:rsidRPr="005A1C4B">
        <w:rPr>
          <w:b/>
          <w:bCs/>
          <w:lang w:val="fr-FR"/>
        </w:rPr>
        <w:t>ouverture s</w:t>
      </w:r>
      <w:r w:rsidR="00851A20" w:rsidRPr="005A1C4B">
        <w:rPr>
          <w:b/>
          <w:bCs/>
          <w:lang w:val="fr-FR"/>
        </w:rPr>
        <w:t>’</w:t>
      </w:r>
      <w:r w:rsidRPr="005A1C4B">
        <w:rPr>
          <w:b/>
          <w:bCs/>
          <w:lang w:val="fr-FR"/>
        </w:rPr>
        <w:t>effectue de l</w:t>
      </w:r>
      <w:r w:rsidR="00851A20" w:rsidRPr="005A1C4B">
        <w:rPr>
          <w:b/>
          <w:bCs/>
          <w:lang w:val="fr-FR"/>
        </w:rPr>
        <w:t>’</w:t>
      </w:r>
      <w:r w:rsidRPr="005A1C4B">
        <w:rPr>
          <w:b/>
          <w:bCs/>
          <w:lang w:val="fr-FR"/>
        </w:rPr>
        <w:t>extérieur.</w:t>
      </w:r>
      <w:r w:rsidRPr="005A1C4B">
        <w:rPr>
          <w:lang w:val="fr-FR"/>
        </w:rPr>
        <w:t xml:space="preserve"> </w:t>
      </w:r>
      <w:r w:rsidRPr="005A1C4B">
        <w:rPr>
          <w:b/>
          <w:bCs/>
          <w:lang w:val="fr-FR"/>
        </w:rPr>
        <w:t>S</w:t>
      </w:r>
      <w:r w:rsidR="00851A20" w:rsidRPr="005A1C4B">
        <w:rPr>
          <w:b/>
          <w:bCs/>
          <w:lang w:val="fr-FR"/>
        </w:rPr>
        <w:t>’</w:t>
      </w:r>
      <w:r w:rsidRPr="005A1C4B">
        <w:rPr>
          <w:b/>
          <w:bCs/>
          <w:lang w:val="fr-FR"/>
        </w:rPr>
        <w:t>il y a deux ou plusieurs trappes, le contrôle de l</w:t>
      </w:r>
      <w:r w:rsidR="00851A20" w:rsidRPr="005A1C4B">
        <w:rPr>
          <w:b/>
          <w:bCs/>
          <w:lang w:val="fr-FR"/>
        </w:rPr>
        <w:t>’</w:t>
      </w:r>
      <w:r w:rsidRPr="005A1C4B">
        <w:rPr>
          <w:b/>
          <w:bCs/>
          <w:lang w:val="fr-FR"/>
        </w:rPr>
        <w:t>ouverture s</w:t>
      </w:r>
      <w:r w:rsidR="00851A20" w:rsidRPr="005A1C4B">
        <w:rPr>
          <w:b/>
          <w:bCs/>
          <w:lang w:val="fr-FR"/>
        </w:rPr>
        <w:t>’</w:t>
      </w:r>
      <w:r w:rsidRPr="005A1C4B">
        <w:rPr>
          <w:b/>
          <w:bCs/>
          <w:lang w:val="fr-FR"/>
        </w:rPr>
        <w:t>effectue à la fois de l</w:t>
      </w:r>
      <w:r w:rsidR="00851A20" w:rsidRPr="005A1C4B">
        <w:rPr>
          <w:b/>
          <w:bCs/>
          <w:lang w:val="fr-FR"/>
        </w:rPr>
        <w:t>’</w:t>
      </w:r>
      <w:r w:rsidRPr="005A1C4B">
        <w:rPr>
          <w:b/>
          <w:bCs/>
          <w:lang w:val="fr-FR"/>
        </w:rPr>
        <w:t>intérieur et de l</w:t>
      </w:r>
      <w:r w:rsidR="00851A20" w:rsidRPr="005A1C4B">
        <w:rPr>
          <w:b/>
          <w:bCs/>
          <w:lang w:val="fr-FR"/>
        </w:rPr>
        <w:t>’</w:t>
      </w:r>
      <w:r w:rsidRPr="005A1C4B">
        <w:rPr>
          <w:b/>
          <w:bCs/>
          <w:lang w:val="fr-FR"/>
        </w:rPr>
        <w:t>extérieur.</w:t>
      </w:r>
    </w:p>
    <w:p w:rsidR="00D5098E" w:rsidRPr="005A1C4B" w:rsidRDefault="00D5098E" w:rsidP="00D5098E">
      <w:pPr>
        <w:pStyle w:val="SingleTxtG"/>
        <w:ind w:left="2268" w:hanging="1134"/>
        <w:rPr>
          <w:rFonts w:eastAsia="Calibri"/>
          <w:b/>
          <w:lang w:val="fr-FR"/>
        </w:rPr>
      </w:pPr>
      <w:r w:rsidRPr="005A1C4B">
        <w:rPr>
          <w:b/>
          <w:bCs/>
          <w:lang w:val="fr-FR"/>
        </w:rPr>
        <w:t>1.2</w:t>
      </w:r>
      <w:r w:rsidRPr="005A1C4B">
        <w:rPr>
          <w:lang w:val="fr-FR"/>
        </w:rPr>
        <w:tab/>
      </w:r>
      <w:r w:rsidRPr="005A1C4B">
        <w:rPr>
          <w:b/>
          <w:bCs/>
          <w:lang w:val="fr-FR"/>
        </w:rPr>
        <w:t>Les supports des sièges doivent être intacts.</w:t>
      </w:r>
    </w:p>
    <w:p w:rsidR="00D5098E" w:rsidRPr="005A1C4B" w:rsidRDefault="00D5098E" w:rsidP="00D5098E">
      <w:pPr>
        <w:pStyle w:val="SingleTxtG"/>
        <w:ind w:left="2268" w:hanging="1134"/>
        <w:rPr>
          <w:lang w:val="fr-FR"/>
        </w:rPr>
      </w:pPr>
      <w:r w:rsidRPr="005A1C4B">
        <w:rPr>
          <w:b/>
          <w:bCs/>
          <w:lang w:val="fr-FR"/>
        </w:rPr>
        <w:t>1.3</w:t>
      </w:r>
      <w:r w:rsidRPr="005A1C4B">
        <w:rPr>
          <w:lang w:val="fr-FR"/>
        </w:rPr>
        <w:tab/>
      </w:r>
      <w:r w:rsidRPr="005A1C4B">
        <w:rPr>
          <w:b/>
          <w:bCs/>
          <w:lang w:val="fr-FR"/>
        </w:rPr>
        <w:t>Sur la base de l</w:t>
      </w:r>
      <w:r w:rsidR="00851A20" w:rsidRPr="005A1C4B">
        <w:rPr>
          <w:b/>
          <w:bCs/>
          <w:lang w:val="fr-FR"/>
        </w:rPr>
        <w:t>’</w:t>
      </w:r>
      <w:r w:rsidRPr="005A1C4B">
        <w:rPr>
          <w:b/>
          <w:bCs/>
          <w:lang w:val="fr-FR"/>
        </w:rPr>
        <w:t>analyse des enregistrements vidéo des caméras équipant le véhicule, vérifier que les objets susceptibles de provoquer des blessures (extincteurs, instruments permettant de briser la trappe facile à casser, etc</w:t>
      </w:r>
      <w:r w:rsidR="00851A20" w:rsidRPr="005A1C4B">
        <w:rPr>
          <w:b/>
          <w:bCs/>
          <w:lang w:val="fr-FR"/>
        </w:rPr>
        <w:t>.</w:t>
      </w:r>
      <w:r w:rsidRPr="005A1C4B">
        <w:rPr>
          <w:b/>
          <w:bCs/>
          <w:lang w:val="fr-FR"/>
        </w:rPr>
        <w:t>) n</w:t>
      </w:r>
      <w:r w:rsidR="00851A20" w:rsidRPr="005A1C4B">
        <w:rPr>
          <w:b/>
          <w:bCs/>
          <w:lang w:val="fr-FR"/>
        </w:rPr>
        <w:t>’</w:t>
      </w:r>
      <w:r w:rsidRPr="005A1C4B">
        <w:rPr>
          <w:b/>
          <w:bCs/>
          <w:lang w:val="fr-FR"/>
        </w:rPr>
        <w:t>ont pas été déplacés dans l</w:t>
      </w:r>
      <w:r w:rsidR="00851A20" w:rsidRPr="005A1C4B">
        <w:rPr>
          <w:b/>
          <w:bCs/>
          <w:lang w:val="fr-FR"/>
        </w:rPr>
        <w:t>’</w:t>
      </w:r>
      <w:r w:rsidRPr="005A1C4B">
        <w:rPr>
          <w:b/>
          <w:bCs/>
          <w:lang w:val="fr-FR"/>
        </w:rPr>
        <w:t>espace de survie</w:t>
      </w:r>
      <w:r w:rsidR="00851A20" w:rsidRPr="005A1C4B">
        <w:rPr>
          <w:b/>
          <w:bCs/>
          <w:lang w:val="fr-FR"/>
        </w:rPr>
        <w:t>.</w:t>
      </w:r>
      <w:r w:rsidRPr="005A1C4B">
        <w:rPr>
          <w:lang w:val="fr-FR"/>
        </w:rPr>
        <w:t> ».</w:t>
      </w:r>
    </w:p>
    <w:p w:rsidR="00D5098E" w:rsidRPr="005A1C4B" w:rsidRDefault="00851A20" w:rsidP="00851A20">
      <w:pPr>
        <w:pStyle w:val="HChG"/>
      </w:pPr>
      <w:r w:rsidRPr="005A1C4B">
        <w:rPr>
          <w:lang w:val="fr-FR"/>
        </w:rPr>
        <w:tab/>
      </w:r>
      <w:r w:rsidR="00D5098E" w:rsidRPr="005A1C4B">
        <w:rPr>
          <w:lang w:val="fr-FR"/>
        </w:rPr>
        <w:t>II.</w:t>
      </w:r>
      <w:r w:rsidR="00D5098E" w:rsidRPr="005A1C4B">
        <w:rPr>
          <w:lang w:val="fr-FR"/>
        </w:rPr>
        <w:tab/>
        <w:t>Justification</w:t>
      </w:r>
    </w:p>
    <w:p w:rsidR="00D5098E" w:rsidRPr="005A1C4B" w:rsidRDefault="00D5098E" w:rsidP="00D5098E">
      <w:pPr>
        <w:pStyle w:val="SingleTxtG"/>
        <w:rPr>
          <w:lang w:val="fr-FR"/>
        </w:rPr>
      </w:pPr>
      <w:r w:rsidRPr="005A1C4B">
        <w:rPr>
          <w:lang w:val="fr-FR"/>
        </w:rPr>
        <w:t>1.</w:t>
      </w:r>
      <w:r w:rsidRPr="005A1C4B">
        <w:rPr>
          <w:lang w:val="fr-FR"/>
        </w:rPr>
        <w:tab/>
        <w:t>Le Règlement ONU n</w:t>
      </w:r>
      <w:r w:rsidRPr="005A1C4B">
        <w:rPr>
          <w:vertAlign w:val="superscript"/>
          <w:lang w:val="fr-FR"/>
        </w:rPr>
        <w:t>o</w:t>
      </w:r>
      <w:r w:rsidRPr="005A1C4B">
        <w:rPr>
          <w:lang w:val="fr-FR"/>
        </w:rPr>
        <w:t> 66 contient des prescriptions et décrit des méthodes relatives à l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évaluation de la résistance d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une superstructure. Différentes méthodes d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essai sont autorisées conformément à ce Règlement, mais l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essai sur un véhicule complet est considéré comme étant la méthode de référence.</w:t>
      </w:r>
    </w:p>
    <w:p w:rsidR="00D5098E" w:rsidRPr="005A1C4B" w:rsidRDefault="00D5098E" w:rsidP="00851A20">
      <w:pPr>
        <w:pStyle w:val="SingleTxtG"/>
        <w:rPr>
          <w:lang w:val="fr-FR"/>
        </w:rPr>
      </w:pPr>
      <w:r w:rsidRPr="005A1C4B">
        <w:rPr>
          <w:lang w:val="fr-FR"/>
        </w:rPr>
        <w:t>2.</w:t>
      </w:r>
      <w:r w:rsidRPr="005A1C4B">
        <w:rPr>
          <w:lang w:val="fr-FR"/>
        </w:rPr>
        <w:tab/>
        <w:t>Lorsque des essais grandeur nature sont effectués sur un véhicule complet, il est proposé de procéde</w:t>
      </w:r>
      <w:bookmarkStart w:id="0" w:name="_GoBack"/>
      <w:bookmarkEnd w:id="0"/>
      <w:r w:rsidRPr="005A1C4B">
        <w:rPr>
          <w:lang w:val="fr-FR"/>
        </w:rPr>
        <w:t>r à des vérifications supplémentaires en termes de sécurité passive :</w:t>
      </w:r>
    </w:p>
    <w:p w:rsidR="00D5098E" w:rsidRPr="005A1C4B" w:rsidRDefault="00D5098E" w:rsidP="00851A20">
      <w:pPr>
        <w:pStyle w:val="SingleTxtG"/>
        <w:ind w:firstLine="567"/>
        <w:rPr>
          <w:lang w:val="fr-FR"/>
        </w:rPr>
      </w:pPr>
      <w:bookmarkStart w:id="1" w:name="_Hlk48903687"/>
      <w:r w:rsidRPr="005A1C4B">
        <w:rPr>
          <w:lang w:val="fr-FR"/>
        </w:rPr>
        <w:t>a)</w:t>
      </w:r>
      <w:r w:rsidRPr="005A1C4B">
        <w:rPr>
          <w:lang w:val="fr-FR"/>
        </w:rPr>
        <w:tab/>
      </w:r>
      <w:r w:rsidR="005E4029">
        <w:rPr>
          <w:lang w:val="fr-FR"/>
        </w:rPr>
        <w:t>Le fait que les sièges puissent se détacher et se déplacer n’est pas envisagé dans le texte actuel du Règlement, car</w:t>
      </w:r>
      <w:r w:rsidRPr="005A1C4B">
        <w:rPr>
          <w:lang w:val="fr-FR"/>
        </w:rPr>
        <w:t xml:space="preserve"> ils sont déjà situés à l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intérieur de l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espace de survie et leur déplacement n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 xml:space="preserve">est pas vérifié </w:t>
      </w:r>
      <w:bookmarkEnd w:id="1"/>
      <w:r w:rsidRPr="005A1C4B">
        <w:rPr>
          <w:lang w:val="fr-FR"/>
        </w:rPr>
        <w:t>;</w:t>
      </w:r>
    </w:p>
    <w:p w:rsidR="00D5098E" w:rsidRPr="005A1C4B" w:rsidRDefault="00D5098E" w:rsidP="00851A20">
      <w:pPr>
        <w:pStyle w:val="SingleTxtG"/>
        <w:ind w:firstLine="567"/>
        <w:rPr>
          <w:lang w:val="fr-FR"/>
        </w:rPr>
      </w:pPr>
      <w:r w:rsidRPr="005A1C4B">
        <w:rPr>
          <w:lang w:val="fr-FR"/>
        </w:rPr>
        <w:t>b)</w:t>
      </w:r>
      <w:r w:rsidRPr="005A1C4B">
        <w:rPr>
          <w:lang w:val="fr-FR"/>
        </w:rPr>
        <w:tab/>
        <w:t>Objets dangereux qui rentrent dans l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espace de survie et se déplacent à l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intérieur de celui-ci. Une personne percutée par un extincteur ou par un autre objet lorsque le véhicule se renverse peut être victime de blessures graves, voire mortelles.</w:t>
      </w:r>
    </w:p>
    <w:p w:rsidR="00D5098E" w:rsidRPr="005A1C4B" w:rsidRDefault="00D5098E" w:rsidP="00851A20">
      <w:pPr>
        <w:pStyle w:val="SingleTxtG"/>
        <w:rPr>
          <w:lang w:val="fr-FR"/>
        </w:rPr>
      </w:pPr>
      <w:r w:rsidRPr="005A1C4B">
        <w:rPr>
          <w:lang w:val="fr-FR"/>
        </w:rPr>
        <w:t>3.</w:t>
      </w:r>
      <w:r w:rsidRPr="005A1C4B">
        <w:rPr>
          <w:lang w:val="fr-FR"/>
        </w:rPr>
        <w:tab/>
        <w:t>Les trappes d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évacuation sont conçues pour évacuer les passagers en cas d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accident de la route lorsque le véhicule s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est renversé sur le côté. Une trappe d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évacuation est souvent la seule façon de sortir du véhicule. À condition que le véhicule complet ait déjà été endommagé pendant les essais et qu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il soit sur le côté, comme c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est le cas lors d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un accident, il semble raisonnable de vérifier le bon fonctionnement de ses trappes d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évacuation. En effet, le renversement du véhicule entraîne un risque de blocage de la trappe ou d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endommagement de ses mécanismes d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ouverture.</w:t>
      </w:r>
    </w:p>
    <w:p w:rsidR="00D5098E" w:rsidRPr="005A1C4B" w:rsidRDefault="00D5098E" w:rsidP="00851A20">
      <w:pPr>
        <w:pStyle w:val="SingleTxtG"/>
        <w:rPr>
          <w:lang w:val="fr-FR"/>
        </w:rPr>
      </w:pPr>
      <w:r w:rsidRPr="005A1C4B">
        <w:rPr>
          <w:lang w:val="fr-FR"/>
        </w:rPr>
        <w:t>4.</w:t>
      </w:r>
      <w:r w:rsidRPr="005A1C4B">
        <w:rPr>
          <w:lang w:val="fr-FR"/>
        </w:rPr>
        <w:tab/>
        <w:t>La force exercée sur les mécanismes d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ouverture de la trappe d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 xml:space="preserve">évacuation correspond à celle qui a été retenue par le groupe de travail du GRSP sur le </w:t>
      </w:r>
      <w:r w:rsidR="00FE1AAC">
        <w:rPr>
          <w:lang w:val="fr-FR"/>
        </w:rPr>
        <w:t>R</w:t>
      </w:r>
      <w:r w:rsidRPr="005A1C4B">
        <w:rPr>
          <w:lang w:val="fr-FR"/>
        </w:rPr>
        <w:t>èglement ONU n</w:t>
      </w:r>
      <w:r w:rsidRPr="005A1C4B">
        <w:rPr>
          <w:vertAlign w:val="superscript"/>
          <w:lang w:val="fr-FR"/>
        </w:rPr>
        <w:t>o</w:t>
      </w:r>
      <w:r w:rsidRPr="005A1C4B">
        <w:rPr>
          <w:lang w:val="fr-FR"/>
        </w:rPr>
        <w:t> 95 (document E/ECE/324/Rev.1/Add.94/Rev.2/Amend.4), dans le cadre de l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examen de la capacité d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une personne à exercer une pression sur la porte depuis l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intérieur du véhicule. Des personnes de tous âges doivent pouvoir ouvrir les trappes d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évacuation.</w:t>
      </w:r>
    </w:p>
    <w:p w:rsidR="00D5098E" w:rsidRDefault="00D5098E" w:rsidP="00851A20">
      <w:pPr>
        <w:pStyle w:val="SingleTxtG"/>
        <w:rPr>
          <w:lang w:val="fr-FR"/>
        </w:rPr>
      </w:pPr>
      <w:r w:rsidRPr="005A1C4B">
        <w:rPr>
          <w:lang w:val="fr-FR"/>
        </w:rPr>
        <w:t>5.</w:t>
      </w:r>
      <w:r w:rsidRPr="005A1C4B">
        <w:rPr>
          <w:lang w:val="fr-FR"/>
        </w:rPr>
        <w:tab/>
        <w:t>Compte tenu de ce qui précède, il est proposé d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ajouter un appendice 1 à l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annexe 5, qui comprendrait toutes les vérifications supplémentaires proposées. L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application de cet appendice serait facultative, mais les Parties contractantes pourraient appliquer leurs prescriptions nationales si une homologation a été délivrée au demandeur sans qu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il ait été procédé à l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évaluation visée dans l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appendice 1 de l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annexe 5. La présente proposition s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inspire du paragraphe 1.4 de la première partie (Champ d</w:t>
      </w:r>
      <w:r w:rsidR="00851A20" w:rsidRPr="005A1C4B">
        <w:rPr>
          <w:lang w:val="fr-FR"/>
        </w:rPr>
        <w:t>’</w:t>
      </w:r>
      <w:r w:rsidRPr="005A1C4B">
        <w:rPr>
          <w:lang w:val="fr-FR"/>
        </w:rPr>
        <w:t>application) du Règlement ONU n</w:t>
      </w:r>
      <w:r w:rsidRPr="005A1C4B">
        <w:rPr>
          <w:vertAlign w:val="superscript"/>
          <w:lang w:val="fr-FR"/>
        </w:rPr>
        <w:t>o</w:t>
      </w:r>
      <w:r w:rsidRPr="00E35261">
        <w:rPr>
          <w:lang w:val="fr-FR"/>
        </w:rPr>
        <w:t> </w:t>
      </w:r>
      <w:r w:rsidRPr="005A1C4B">
        <w:rPr>
          <w:lang w:val="fr-FR"/>
        </w:rPr>
        <w:t>144.</w:t>
      </w:r>
    </w:p>
    <w:p w:rsidR="00851A20" w:rsidRPr="00851A20" w:rsidRDefault="00851A20" w:rsidP="00851A2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51A20" w:rsidRPr="00851A20" w:rsidSect="00D5098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904" w:rsidRDefault="002B4904" w:rsidP="00F95C08">
      <w:pPr>
        <w:spacing w:line="240" w:lineRule="auto"/>
      </w:pPr>
    </w:p>
  </w:endnote>
  <w:endnote w:type="continuationSeparator" w:id="0">
    <w:p w:rsidR="002B4904" w:rsidRPr="00AC3823" w:rsidRDefault="002B4904" w:rsidP="00AC3823">
      <w:pPr>
        <w:pStyle w:val="Pieddepage"/>
      </w:pPr>
    </w:p>
  </w:endnote>
  <w:endnote w:type="continuationNotice" w:id="1">
    <w:p w:rsidR="002B4904" w:rsidRDefault="002B49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98E" w:rsidRPr="00D5098E" w:rsidRDefault="00D5098E" w:rsidP="00D5098E">
    <w:pPr>
      <w:pStyle w:val="Pieddepage"/>
      <w:tabs>
        <w:tab w:val="right" w:pos="9638"/>
      </w:tabs>
    </w:pPr>
    <w:r w:rsidRPr="00D5098E">
      <w:rPr>
        <w:b/>
        <w:sz w:val="18"/>
      </w:rPr>
      <w:fldChar w:fldCharType="begin"/>
    </w:r>
    <w:r w:rsidRPr="00D5098E">
      <w:rPr>
        <w:b/>
        <w:sz w:val="18"/>
      </w:rPr>
      <w:instrText xml:space="preserve"> PAGE  \* MERGEFORMAT </w:instrText>
    </w:r>
    <w:r w:rsidRPr="00D5098E">
      <w:rPr>
        <w:b/>
        <w:sz w:val="18"/>
      </w:rPr>
      <w:fldChar w:fldCharType="separate"/>
    </w:r>
    <w:r w:rsidRPr="00D5098E">
      <w:rPr>
        <w:b/>
        <w:noProof/>
        <w:sz w:val="18"/>
      </w:rPr>
      <w:t>2</w:t>
    </w:r>
    <w:r w:rsidRPr="00D5098E">
      <w:rPr>
        <w:b/>
        <w:sz w:val="18"/>
      </w:rPr>
      <w:fldChar w:fldCharType="end"/>
    </w:r>
    <w:r>
      <w:rPr>
        <w:b/>
        <w:sz w:val="18"/>
      </w:rPr>
      <w:tab/>
    </w:r>
    <w:r>
      <w:t>GE.20-10013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98E" w:rsidRPr="00D5098E" w:rsidRDefault="00D5098E" w:rsidP="00D5098E">
    <w:pPr>
      <w:pStyle w:val="Pieddepage"/>
      <w:tabs>
        <w:tab w:val="right" w:pos="9638"/>
      </w:tabs>
      <w:rPr>
        <w:b/>
        <w:sz w:val="18"/>
      </w:rPr>
    </w:pPr>
    <w:r>
      <w:t>GE.20-10013</w:t>
    </w:r>
    <w:r>
      <w:tab/>
    </w:r>
    <w:r w:rsidRPr="00D5098E">
      <w:rPr>
        <w:b/>
        <w:sz w:val="18"/>
      </w:rPr>
      <w:fldChar w:fldCharType="begin"/>
    </w:r>
    <w:r w:rsidRPr="00D5098E">
      <w:rPr>
        <w:b/>
        <w:sz w:val="18"/>
      </w:rPr>
      <w:instrText xml:space="preserve"> PAGE  \* MERGEFORMAT </w:instrText>
    </w:r>
    <w:r w:rsidRPr="00D5098E">
      <w:rPr>
        <w:b/>
        <w:sz w:val="18"/>
      </w:rPr>
      <w:fldChar w:fldCharType="separate"/>
    </w:r>
    <w:r w:rsidRPr="00D5098E">
      <w:rPr>
        <w:b/>
        <w:noProof/>
        <w:sz w:val="18"/>
      </w:rPr>
      <w:t>3</w:t>
    </w:r>
    <w:r w:rsidRPr="00D5098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EE9" w:rsidRPr="00D5098E" w:rsidRDefault="00D5098E" w:rsidP="00D5098E">
    <w:pPr>
      <w:pStyle w:val="Pieddepage"/>
      <w:spacing w:before="120"/>
      <w:rPr>
        <w:sz w:val="20"/>
      </w:rPr>
    </w:pPr>
    <w:r>
      <w:rPr>
        <w:sz w:val="20"/>
      </w:rPr>
      <w:t>GE.</w:t>
    </w:r>
    <w:r w:rsidR="000D3EE9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33797F0" wp14:editId="06CC754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20-10013  (F)    210820    210820</w:t>
    </w:r>
    <w:r>
      <w:rPr>
        <w:sz w:val="20"/>
      </w:rPr>
      <w:br/>
    </w:r>
    <w:r w:rsidRPr="00D5098E">
      <w:rPr>
        <w:rFonts w:ascii="C39T30Lfz" w:hAnsi="C39T30Lfz"/>
        <w:sz w:val="56"/>
      </w:rPr>
      <w:t></w:t>
    </w:r>
    <w:r w:rsidRPr="00D5098E">
      <w:rPr>
        <w:rFonts w:ascii="C39T30Lfz" w:hAnsi="C39T30Lfz"/>
        <w:sz w:val="56"/>
      </w:rPr>
      <w:t></w:t>
    </w:r>
    <w:r w:rsidRPr="00D5098E">
      <w:rPr>
        <w:rFonts w:ascii="C39T30Lfz" w:hAnsi="C39T30Lfz"/>
        <w:sz w:val="56"/>
      </w:rPr>
      <w:t></w:t>
    </w:r>
    <w:r w:rsidRPr="00D5098E">
      <w:rPr>
        <w:rFonts w:ascii="C39T30Lfz" w:hAnsi="C39T30Lfz"/>
        <w:sz w:val="56"/>
      </w:rPr>
      <w:t></w:t>
    </w:r>
    <w:r w:rsidRPr="00D5098E">
      <w:rPr>
        <w:rFonts w:ascii="C39T30Lfz" w:hAnsi="C39T30Lfz"/>
        <w:sz w:val="56"/>
      </w:rPr>
      <w:t></w:t>
    </w:r>
    <w:r w:rsidRPr="00D5098E">
      <w:rPr>
        <w:rFonts w:ascii="C39T30Lfz" w:hAnsi="C39T30Lfz"/>
        <w:sz w:val="56"/>
      </w:rPr>
      <w:t></w:t>
    </w:r>
    <w:r w:rsidRPr="00D5098E">
      <w:rPr>
        <w:rFonts w:ascii="C39T30Lfz" w:hAnsi="C39T30Lfz"/>
        <w:sz w:val="56"/>
      </w:rPr>
      <w:t></w:t>
    </w:r>
    <w:r w:rsidRPr="00D5098E">
      <w:rPr>
        <w:rFonts w:ascii="C39T30Lfz" w:hAnsi="C39T30Lfz"/>
        <w:sz w:val="56"/>
      </w:rPr>
      <w:t></w:t>
    </w:r>
    <w:r w:rsidRPr="00D5098E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904" w:rsidRPr="00AC3823" w:rsidRDefault="002B490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B4904" w:rsidRPr="00AC3823" w:rsidRDefault="002B490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B4904" w:rsidRPr="00AC3823" w:rsidRDefault="002B4904">
      <w:pPr>
        <w:spacing w:line="240" w:lineRule="auto"/>
        <w:rPr>
          <w:sz w:val="2"/>
          <w:szCs w:val="2"/>
        </w:rPr>
      </w:pPr>
    </w:p>
  </w:footnote>
  <w:footnote w:id="2">
    <w:p w:rsidR="00D5098E" w:rsidRPr="00751243" w:rsidRDefault="00D5098E" w:rsidP="00D5098E">
      <w:pPr>
        <w:pStyle w:val="Notedebasdepage"/>
        <w:rPr>
          <w:rFonts w:eastAsia="Calibri"/>
          <w:lang w:val="fr-FR"/>
        </w:rPr>
      </w:pPr>
      <w:r>
        <w:rPr>
          <w:lang w:val="fr-FR"/>
        </w:rPr>
        <w:tab/>
      </w:r>
      <w:r w:rsidRPr="00D5098E">
        <w:rPr>
          <w:sz w:val="20"/>
          <w:lang w:val="fr-FR"/>
        </w:rPr>
        <w:t>*</w:t>
      </w:r>
      <w:r w:rsidRPr="00D5098E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2020 tel qu’il figure dans le projet de budget-programme pour 2020 (A/74/6 (titre V, chap. 20), par. 20.37),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98E" w:rsidRPr="00D5098E" w:rsidRDefault="00D5098E">
    <w:pPr>
      <w:pStyle w:val="En-tte"/>
    </w:pPr>
    <w:fldSimple w:instr=" TITLE  \* MERGEFORMAT ">
      <w:r>
        <w:t>ECE/TRANS/WP.29/GRSG/2020/22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98E" w:rsidRPr="00D5098E" w:rsidRDefault="00D5098E" w:rsidP="00D5098E">
    <w:pPr>
      <w:pStyle w:val="En-tte"/>
      <w:jc w:val="right"/>
    </w:pPr>
    <w:fldSimple w:instr=" TITLE  \* MERGEFORMAT ">
      <w:r>
        <w:t>ECE/TRANS/WP.29/GRSG/2020/22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9081E3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49F466E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16EA87C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B4904"/>
    <w:rsid w:val="00017F94"/>
    <w:rsid w:val="00023842"/>
    <w:rsid w:val="000334F9"/>
    <w:rsid w:val="0007796D"/>
    <w:rsid w:val="000B7790"/>
    <w:rsid w:val="000D3EE9"/>
    <w:rsid w:val="00111F2F"/>
    <w:rsid w:val="001433FD"/>
    <w:rsid w:val="0014365E"/>
    <w:rsid w:val="001541D3"/>
    <w:rsid w:val="00176178"/>
    <w:rsid w:val="001F525A"/>
    <w:rsid w:val="00223272"/>
    <w:rsid w:val="0024779E"/>
    <w:rsid w:val="002832AC"/>
    <w:rsid w:val="00295CCA"/>
    <w:rsid w:val="002B4904"/>
    <w:rsid w:val="002D7C93"/>
    <w:rsid w:val="00441C3B"/>
    <w:rsid w:val="00446B0A"/>
    <w:rsid w:val="00446FE5"/>
    <w:rsid w:val="00452396"/>
    <w:rsid w:val="004E468C"/>
    <w:rsid w:val="00506BE1"/>
    <w:rsid w:val="005316B0"/>
    <w:rsid w:val="005505B7"/>
    <w:rsid w:val="00573BE5"/>
    <w:rsid w:val="00586ED3"/>
    <w:rsid w:val="00596AA9"/>
    <w:rsid w:val="005A1C4B"/>
    <w:rsid w:val="005E4029"/>
    <w:rsid w:val="005F2353"/>
    <w:rsid w:val="00706363"/>
    <w:rsid w:val="0071601D"/>
    <w:rsid w:val="0074674C"/>
    <w:rsid w:val="007A608C"/>
    <w:rsid w:val="007A62E6"/>
    <w:rsid w:val="0080684C"/>
    <w:rsid w:val="00846B1E"/>
    <w:rsid w:val="00851A20"/>
    <w:rsid w:val="00871C75"/>
    <w:rsid w:val="008776DC"/>
    <w:rsid w:val="0090460B"/>
    <w:rsid w:val="009705C8"/>
    <w:rsid w:val="009C1CF4"/>
    <w:rsid w:val="00A30353"/>
    <w:rsid w:val="00AA113A"/>
    <w:rsid w:val="00AC3823"/>
    <w:rsid w:val="00AE323C"/>
    <w:rsid w:val="00B00181"/>
    <w:rsid w:val="00B00B0D"/>
    <w:rsid w:val="00B765F7"/>
    <w:rsid w:val="00BA0CA9"/>
    <w:rsid w:val="00C02897"/>
    <w:rsid w:val="00D3439C"/>
    <w:rsid w:val="00D5098E"/>
    <w:rsid w:val="00DB1831"/>
    <w:rsid w:val="00DD3BFD"/>
    <w:rsid w:val="00DF6678"/>
    <w:rsid w:val="00E35261"/>
    <w:rsid w:val="00EB53D7"/>
    <w:rsid w:val="00EF2E22"/>
    <w:rsid w:val="00F660DF"/>
    <w:rsid w:val="00F95C08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8F23EA"/>
  <w15:docId w15:val="{F2ED337C-A9C9-466F-8A99-C853CD95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7467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467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4674C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4674C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74674C"/>
  </w:style>
  <w:style w:type="character" w:customStyle="1" w:styleId="NotedefinCar">
    <w:name w:val="Note de fin Car"/>
    <w:aliases w:val="2_G Car"/>
    <w:basedOn w:val="Policepardfaut"/>
    <w:link w:val="Notedefin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D5098E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D5098E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Para">
    <w:name w:val="Para"/>
    <w:basedOn w:val="Normal"/>
    <w:qFormat/>
    <w:rsid w:val="00D5098E"/>
    <w:pPr>
      <w:widowControl w:val="0"/>
      <w:suppressAutoHyphens w:val="0"/>
      <w:kinsoku/>
      <w:overflowPunct/>
      <w:autoSpaceDE/>
      <w:autoSpaceDN/>
      <w:adjustRightInd/>
      <w:snapToGrid/>
      <w:spacing w:after="120" w:line="240" w:lineRule="exact"/>
      <w:ind w:left="2268" w:right="1134" w:hanging="1134"/>
      <w:jc w:val="both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858</Words>
  <Characters>5928</Characters>
  <Application>Microsoft Office Word</Application>
  <DocSecurity>0</DocSecurity>
  <Lines>658</Lines>
  <Paragraphs>282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ECE/TRANS/WP.29/GRSG/2020/22</vt:lpstr>
    </vt:vector>
  </TitlesOfParts>
  <Company>DCM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ECE/TRANS/WP.29/GRSG/2020/22</dc:title>
  <dc:subject/>
  <dc:creator>Corinne ROBERT</dc:creator>
  <cp:keywords/>
  <cp:lastModifiedBy>Corinne ROBERT</cp:lastModifiedBy>
  <cp:revision>2</cp:revision>
  <cp:lastPrinted>2014-05-14T10:59:00Z</cp:lastPrinted>
  <dcterms:created xsi:type="dcterms:W3CDTF">2020-08-21T10:12:00Z</dcterms:created>
  <dcterms:modified xsi:type="dcterms:W3CDTF">2020-08-21T10:12:00Z</dcterms:modified>
</cp:coreProperties>
</file>