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7EEA28" w14:textId="77777777" w:rsidTr="00C97039">
        <w:trPr>
          <w:trHeight w:hRule="exact" w:val="851"/>
        </w:trPr>
        <w:tc>
          <w:tcPr>
            <w:tcW w:w="1276" w:type="dxa"/>
            <w:tcBorders>
              <w:bottom w:val="single" w:sz="4" w:space="0" w:color="auto"/>
            </w:tcBorders>
          </w:tcPr>
          <w:p w14:paraId="19637626" w14:textId="77777777" w:rsidR="00F35BAF" w:rsidRPr="00DB58B5" w:rsidRDefault="00F35BAF" w:rsidP="00EC2759">
            <w:bookmarkStart w:id="0" w:name="_GoBack"/>
            <w:bookmarkEnd w:id="0"/>
          </w:p>
        </w:tc>
        <w:tc>
          <w:tcPr>
            <w:tcW w:w="2268" w:type="dxa"/>
            <w:tcBorders>
              <w:bottom w:val="single" w:sz="4" w:space="0" w:color="auto"/>
            </w:tcBorders>
            <w:vAlign w:val="bottom"/>
          </w:tcPr>
          <w:p w14:paraId="17B8421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CBF4E6" w14:textId="77777777" w:rsidR="00F35BAF" w:rsidRPr="00DB58B5" w:rsidRDefault="00EC2759" w:rsidP="00EC2759">
            <w:pPr>
              <w:jc w:val="right"/>
            </w:pPr>
            <w:r w:rsidRPr="00EC2759">
              <w:rPr>
                <w:sz w:val="40"/>
              </w:rPr>
              <w:t>ECE</w:t>
            </w:r>
            <w:r>
              <w:t>/TRANS/WP.29/GRSG/2020/21</w:t>
            </w:r>
          </w:p>
        </w:tc>
      </w:tr>
      <w:tr w:rsidR="00F35BAF" w:rsidRPr="00DB58B5" w14:paraId="4F65273A" w14:textId="77777777" w:rsidTr="00C97039">
        <w:trPr>
          <w:trHeight w:hRule="exact" w:val="2835"/>
        </w:trPr>
        <w:tc>
          <w:tcPr>
            <w:tcW w:w="1276" w:type="dxa"/>
            <w:tcBorders>
              <w:top w:val="single" w:sz="4" w:space="0" w:color="auto"/>
              <w:bottom w:val="single" w:sz="12" w:space="0" w:color="auto"/>
            </w:tcBorders>
          </w:tcPr>
          <w:p w14:paraId="60E9C8C3" w14:textId="77777777" w:rsidR="00F35BAF" w:rsidRPr="00DB58B5" w:rsidRDefault="00F35BAF" w:rsidP="00C97039">
            <w:pPr>
              <w:spacing w:before="120"/>
              <w:jc w:val="center"/>
            </w:pPr>
            <w:r>
              <w:rPr>
                <w:noProof/>
                <w:lang w:eastAsia="fr-CH"/>
              </w:rPr>
              <w:drawing>
                <wp:inline distT="0" distB="0" distL="0" distR="0" wp14:anchorId="21DC1BE9" wp14:editId="14277A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C7BE9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E6F029" w14:textId="77777777" w:rsidR="00F35BAF" w:rsidRDefault="00EC2759" w:rsidP="00C97039">
            <w:pPr>
              <w:spacing w:before="240"/>
            </w:pPr>
            <w:r>
              <w:t>Distr. générale</w:t>
            </w:r>
          </w:p>
          <w:p w14:paraId="569817CE" w14:textId="77777777" w:rsidR="00EC2759" w:rsidRDefault="00EC2759" w:rsidP="00EC2759">
            <w:pPr>
              <w:spacing w:line="240" w:lineRule="exact"/>
            </w:pPr>
            <w:r>
              <w:t>27 juillet 2020</w:t>
            </w:r>
          </w:p>
          <w:p w14:paraId="23D61B8B" w14:textId="77777777" w:rsidR="00EC2759" w:rsidRDefault="00EC2759" w:rsidP="00EC2759">
            <w:pPr>
              <w:spacing w:line="240" w:lineRule="exact"/>
            </w:pPr>
            <w:r>
              <w:t>Français</w:t>
            </w:r>
          </w:p>
          <w:p w14:paraId="67EB77F0" w14:textId="77777777" w:rsidR="00EC2759" w:rsidRPr="00DB58B5" w:rsidRDefault="00EC2759" w:rsidP="00EC2759">
            <w:pPr>
              <w:spacing w:line="240" w:lineRule="exact"/>
            </w:pPr>
            <w:r>
              <w:t>Original : anglais</w:t>
            </w:r>
          </w:p>
        </w:tc>
      </w:tr>
    </w:tbl>
    <w:p w14:paraId="769EAB44" w14:textId="77777777" w:rsidR="007F20FA" w:rsidRPr="000312C0" w:rsidRDefault="007F20FA" w:rsidP="007F20FA">
      <w:pPr>
        <w:spacing w:before="120"/>
        <w:rPr>
          <w:b/>
          <w:sz w:val="28"/>
          <w:szCs w:val="28"/>
        </w:rPr>
      </w:pPr>
      <w:r w:rsidRPr="000312C0">
        <w:rPr>
          <w:b/>
          <w:sz w:val="28"/>
          <w:szCs w:val="28"/>
        </w:rPr>
        <w:t>Commission économique pour l’Europe</w:t>
      </w:r>
    </w:p>
    <w:p w14:paraId="401D4FAE" w14:textId="77777777" w:rsidR="007F20FA" w:rsidRDefault="007F20FA" w:rsidP="007F20FA">
      <w:pPr>
        <w:spacing w:before="120"/>
        <w:rPr>
          <w:sz w:val="28"/>
          <w:szCs w:val="28"/>
        </w:rPr>
      </w:pPr>
      <w:r w:rsidRPr="00685843">
        <w:rPr>
          <w:sz w:val="28"/>
          <w:szCs w:val="28"/>
        </w:rPr>
        <w:t>Comité des transports intérieurs</w:t>
      </w:r>
    </w:p>
    <w:p w14:paraId="3F86A957" w14:textId="77777777" w:rsidR="00EC2759" w:rsidRDefault="00EC2759" w:rsidP="00EC2759">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C1B545C" w14:textId="77777777" w:rsidR="00EC2759" w:rsidRDefault="00EC2759" w:rsidP="00EC2759">
      <w:pPr>
        <w:spacing w:before="120" w:after="120" w:line="240" w:lineRule="exact"/>
        <w:rPr>
          <w:b/>
        </w:rPr>
      </w:pPr>
      <w:r>
        <w:rPr>
          <w:b/>
        </w:rPr>
        <w:t>Groupe de travail des dispositions générales de sécurité</w:t>
      </w:r>
    </w:p>
    <w:p w14:paraId="2F801A86" w14:textId="77777777" w:rsidR="00EC2759" w:rsidRDefault="00EC2759" w:rsidP="00EC2759">
      <w:pPr>
        <w:spacing w:before="120" w:line="240" w:lineRule="exact"/>
        <w:rPr>
          <w:b/>
        </w:rPr>
      </w:pPr>
      <w:r w:rsidRPr="00C13F28">
        <w:rPr>
          <w:b/>
          <w:lang w:val="fr-FR"/>
        </w:rPr>
        <w:t>119</w:t>
      </w:r>
      <w:r w:rsidRPr="00C13F28">
        <w:rPr>
          <w:b/>
          <w:vertAlign w:val="superscript"/>
          <w:lang w:val="fr-FR"/>
        </w:rPr>
        <w:t>e</w:t>
      </w:r>
      <w:r>
        <w:rPr>
          <w:b/>
        </w:rPr>
        <w:t xml:space="preserve"> session</w:t>
      </w:r>
    </w:p>
    <w:p w14:paraId="60865CFF" w14:textId="77777777" w:rsidR="00EC2759" w:rsidRDefault="00EC2759" w:rsidP="00EC2759">
      <w:pPr>
        <w:spacing w:line="240" w:lineRule="exact"/>
      </w:pPr>
      <w:r>
        <w:t>Genève,</w:t>
      </w:r>
      <w:r w:rsidRPr="00D8471E">
        <w:rPr>
          <w:lang w:val="fr-FR"/>
        </w:rPr>
        <w:t xml:space="preserve"> </w:t>
      </w:r>
      <w:r w:rsidRPr="00C13F28">
        <w:rPr>
          <w:lang w:val="fr-FR"/>
        </w:rPr>
        <w:t>6-9 octobre 2020</w:t>
      </w:r>
    </w:p>
    <w:p w14:paraId="1DAA8612" w14:textId="77777777" w:rsidR="00EC2759" w:rsidRPr="00C13F28" w:rsidRDefault="00EC2759" w:rsidP="00EC2759">
      <w:pPr>
        <w:rPr>
          <w:lang w:val="fr-FR"/>
        </w:rPr>
      </w:pPr>
      <w:r w:rsidRPr="00C13F28">
        <w:rPr>
          <w:lang w:val="fr-FR"/>
        </w:rPr>
        <w:t>Point 2 b) de l</w:t>
      </w:r>
      <w:r>
        <w:rPr>
          <w:lang w:val="fr-FR"/>
        </w:rPr>
        <w:t>’</w:t>
      </w:r>
      <w:r w:rsidRPr="00C13F28">
        <w:rPr>
          <w:lang w:val="fr-FR"/>
        </w:rPr>
        <w:t>ordre du jour provisoire</w:t>
      </w:r>
    </w:p>
    <w:p w14:paraId="31E61571" w14:textId="77777777" w:rsidR="00EC2759" w:rsidRPr="00C13F28" w:rsidRDefault="00EC2759" w:rsidP="00EC2759">
      <w:pPr>
        <w:rPr>
          <w:b/>
          <w:lang w:val="fr-FR"/>
        </w:rPr>
      </w:pPr>
      <w:r w:rsidRPr="00C13F28">
        <w:rPr>
          <w:b/>
          <w:lang w:val="fr-FR"/>
        </w:rPr>
        <w:t>Amendements aux Règlements sur les autobus et les autocars</w:t>
      </w:r>
      <w:r>
        <w:rPr>
          <w:b/>
          <w:lang w:val="fr-FR"/>
        </w:rPr>
        <w:t> </w:t>
      </w:r>
      <w:r w:rsidRPr="00C13F28">
        <w:rPr>
          <w:b/>
          <w:lang w:val="fr-FR"/>
        </w:rPr>
        <w:t>:</w:t>
      </w:r>
    </w:p>
    <w:p w14:paraId="62D14CAA" w14:textId="77777777" w:rsidR="00EC2759" w:rsidRPr="00C13F28" w:rsidRDefault="00EC2759" w:rsidP="00EC2759">
      <w:pPr>
        <w:rPr>
          <w:b/>
          <w:lang w:val="fr-FR"/>
        </w:rPr>
      </w:pPr>
      <w:r w:rsidRPr="00C13F28">
        <w:rPr>
          <w:b/>
          <w:lang w:val="fr-FR"/>
        </w:rPr>
        <w:t>Règlement ONU n</w:t>
      </w:r>
      <w:r w:rsidRPr="00C13F28">
        <w:rPr>
          <w:b/>
          <w:vertAlign w:val="superscript"/>
          <w:lang w:val="fr-FR"/>
        </w:rPr>
        <w:t>o</w:t>
      </w:r>
      <w:r w:rsidRPr="00C13F28">
        <w:rPr>
          <w:b/>
          <w:lang w:val="fr-FR"/>
        </w:rPr>
        <w:t> 118 (Comportement au feu des matériaux)</w:t>
      </w:r>
    </w:p>
    <w:p w14:paraId="127713F1" w14:textId="77777777" w:rsidR="00EC2759" w:rsidRPr="00C13F28" w:rsidRDefault="00EC2759" w:rsidP="00EC2759">
      <w:pPr>
        <w:pStyle w:val="HChG"/>
        <w:rPr>
          <w:lang w:val="fr-FR"/>
        </w:rPr>
      </w:pPr>
      <w:r w:rsidRPr="00C13F28">
        <w:rPr>
          <w:sz w:val="26"/>
          <w:szCs w:val="26"/>
          <w:lang w:val="fr-FR"/>
        </w:rPr>
        <w:tab/>
      </w:r>
      <w:r w:rsidRPr="00C13F28">
        <w:rPr>
          <w:sz w:val="26"/>
          <w:szCs w:val="26"/>
          <w:lang w:val="fr-FR"/>
        </w:rPr>
        <w:tab/>
      </w:r>
      <w:r w:rsidRPr="00C13F28">
        <w:rPr>
          <w:lang w:val="fr-FR"/>
        </w:rPr>
        <w:t>Proposition de série 04 d</w:t>
      </w:r>
      <w:r>
        <w:rPr>
          <w:lang w:val="fr-FR"/>
        </w:rPr>
        <w:t>’</w:t>
      </w:r>
      <w:r w:rsidRPr="00C13F28">
        <w:rPr>
          <w:lang w:val="fr-FR"/>
        </w:rPr>
        <w:t>amendements au Règlement n</w:t>
      </w:r>
      <w:r w:rsidRPr="00C13F28">
        <w:rPr>
          <w:vertAlign w:val="superscript"/>
          <w:lang w:val="fr-FR"/>
        </w:rPr>
        <w:t>o</w:t>
      </w:r>
      <w:r w:rsidRPr="00C13F28">
        <w:rPr>
          <w:lang w:val="fr-FR"/>
        </w:rPr>
        <w:t> 118 (Comportement au feu des matériaux)</w:t>
      </w:r>
    </w:p>
    <w:p w14:paraId="7D44B387" w14:textId="77777777" w:rsidR="00EC2759" w:rsidRPr="00C13F28" w:rsidRDefault="00EC2759" w:rsidP="00EC2759">
      <w:pPr>
        <w:pStyle w:val="H1G"/>
        <w:rPr>
          <w:vertAlign w:val="superscript"/>
          <w:lang w:val="fr-FR"/>
        </w:rPr>
      </w:pPr>
      <w:r>
        <w:rPr>
          <w:lang w:val="fr-FR"/>
        </w:rPr>
        <w:tab/>
      </w:r>
      <w:r>
        <w:rPr>
          <w:lang w:val="fr-FR"/>
        </w:rPr>
        <w:tab/>
      </w:r>
      <w:r w:rsidRPr="00C13F28">
        <w:rPr>
          <w:lang w:val="fr-FR"/>
        </w:rPr>
        <w:t xml:space="preserve">Communication des experts du groupe de travail informel </w:t>
      </w:r>
      <w:r>
        <w:rPr>
          <w:lang w:val="fr-FR"/>
        </w:rPr>
        <w:br/>
      </w:r>
      <w:r w:rsidRPr="00C13F28">
        <w:rPr>
          <w:lang w:val="fr-FR"/>
        </w:rPr>
        <w:t>du comportement des véhicules des catégories M</w:t>
      </w:r>
      <w:r w:rsidRPr="005058D0">
        <w:rPr>
          <w:vertAlign w:val="subscript"/>
          <w:lang w:val="fr-FR"/>
        </w:rPr>
        <w:t>2</w:t>
      </w:r>
      <w:r w:rsidRPr="00C13F28">
        <w:rPr>
          <w:lang w:val="fr-FR"/>
        </w:rPr>
        <w:t xml:space="preserve"> et M</w:t>
      </w:r>
      <w:r w:rsidRPr="005058D0">
        <w:rPr>
          <w:vertAlign w:val="subscript"/>
          <w:lang w:val="fr-FR"/>
        </w:rPr>
        <w:t>3</w:t>
      </w:r>
      <w:r w:rsidRPr="00C13F28">
        <w:rPr>
          <w:lang w:val="fr-FR"/>
        </w:rPr>
        <w:t xml:space="preserve"> </w:t>
      </w:r>
      <w:r>
        <w:rPr>
          <w:lang w:val="fr-FR"/>
        </w:rPr>
        <w:br/>
      </w:r>
      <w:r w:rsidRPr="00C13F28">
        <w:rPr>
          <w:lang w:val="fr-FR"/>
        </w:rPr>
        <w:t>en cas d</w:t>
      </w:r>
      <w:r>
        <w:rPr>
          <w:lang w:val="fr-FR"/>
        </w:rPr>
        <w:t>’</w:t>
      </w:r>
      <w:r w:rsidRPr="00C13F28">
        <w:rPr>
          <w:lang w:val="fr-FR"/>
        </w:rPr>
        <w:t>incendie</w:t>
      </w:r>
      <w:r w:rsidRPr="008501CA">
        <w:rPr>
          <w:rStyle w:val="FootnoteReference"/>
          <w:b w:val="0"/>
          <w:bCs/>
          <w:sz w:val="20"/>
          <w:vertAlign w:val="baseline"/>
        </w:rPr>
        <w:footnoteReference w:customMarkFollows="1" w:id="2"/>
        <w:t>*</w:t>
      </w:r>
    </w:p>
    <w:p w14:paraId="4FA83DF9" w14:textId="77777777" w:rsidR="00EC2759" w:rsidRDefault="00EC2759" w:rsidP="00EC2759">
      <w:pPr>
        <w:pStyle w:val="SingleTxtG"/>
        <w:ind w:firstLine="567"/>
        <w:rPr>
          <w:lang w:val="fr-FR"/>
        </w:rPr>
      </w:pPr>
      <w:r w:rsidRPr="00C13F28">
        <w:rPr>
          <w:lang w:val="fr-FR"/>
        </w:rPr>
        <w:t>Le texte ci-après a été établi par le groupe de travail informel du comportement des véhicules des catégories M</w:t>
      </w:r>
      <w:r w:rsidRPr="0092331C">
        <w:rPr>
          <w:vertAlign w:val="subscript"/>
          <w:lang w:val="fr-FR"/>
        </w:rPr>
        <w:t>2</w:t>
      </w:r>
      <w:r w:rsidRPr="00C13F28">
        <w:rPr>
          <w:lang w:val="fr-FR"/>
        </w:rPr>
        <w:t xml:space="preserve"> et M</w:t>
      </w:r>
      <w:r w:rsidRPr="0092331C">
        <w:rPr>
          <w:vertAlign w:val="subscript"/>
          <w:lang w:val="fr-FR"/>
        </w:rPr>
        <w:t>3</w:t>
      </w:r>
      <w:r w:rsidRPr="00C13F28">
        <w:rPr>
          <w:lang w:val="fr-FR"/>
        </w:rPr>
        <w:t xml:space="preserve"> en cas d</w:t>
      </w:r>
      <w:r>
        <w:rPr>
          <w:lang w:val="fr-FR"/>
        </w:rPr>
        <w:t>’</w:t>
      </w:r>
      <w:r w:rsidRPr="00C13F28">
        <w:rPr>
          <w:lang w:val="fr-FR"/>
        </w:rPr>
        <w:t xml:space="preserve">incendie, qui </w:t>
      </w:r>
      <w:r>
        <w:rPr>
          <w:lang w:val="fr-FR"/>
        </w:rPr>
        <w:t>a pour mission</w:t>
      </w:r>
      <w:r w:rsidRPr="00C13F28">
        <w:rPr>
          <w:lang w:val="fr-FR"/>
        </w:rPr>
        <w:t xml:space="preserve"> d</w:t>
      </w:r>
      <w:r>
        <w:rPr>
          <w:lang w:val="fr-FR"/>
        </w:rPr>
        <w:t>’</w:t>
      </w:r>
      <w:r w:rsidRPr="00C13F28">
        <w:rPr>
          <w:lang w:val="fr-FR"/>
        </w:rPr>
        <w:t>évaluer l</w:t>
      </w:r>
      <w:r>
        <w:rPr>
          <w:lang w:val="fr-FR"/>
        </w:rPr>
        <w:t>’</w:t>
      </w:r>
      <w:r w:rsidRPr="00C13F28">
        <w:rPr>
          <w:lang w:val="fr-FR"/>
        </w:rPr>
        <w:t>opportunité d</w:t>
      </w:r>
      <w:r>
        <w:rPr>
          <w:lang w:val="fr-FR"/>
        </w:rPr>
        <w:t>’</w:t>
      </w:r>
      <w:r w:rsidRPr="00C13F28">
        <w:rPr>
          <w:lang w:val="fr-FR"/>
        </w:rPr>
        <w:t>apporter une ou plusieurs modifications réglementaires visant à accroître la sûreté des véhicules des catégories M</w:t>
      </w:r>
      <w:r w:rsidRPr="0092331C">
        <w:rPr>
          <w:vertAlign w:val="subscript"/>
          <w:lang w:val="fr-FR"/>
        </w:rPr>
        <w:t>2</w:t>
      </w:r>
      <w:r w:rsidRPr="00C13F28">
        <w:rPr>
          <w:lang w:val="fr-FR"/>
        </w:rPr>
        <w:t xml:space="preserve"> et M</w:t>
      </w:r>
      <w:r w:rsidRPr="0092331C">
        <w:rPr>
          <w:vertAlign w:val="subscript"/>
          <w:lang w:val="fr-FR"/>
        </w:rPr>
        <w:t>3</w:t>
      </w:r>
      <w:r w:rsidRPr="00C13F28">
        <w:rPr>
          <w:lang w:val="fr-FR"/>
        </w:rPr>
        <w:t xml:space="preserve"> en cas d</w:t>
      </w:r>
      <w:r>
        <w:rPr>
          <w:lang w:val="fr-FR"/>
        </w:rPr>
        <w:t>’</w:t>
      </w:r>
      <w:r w:rsidRPr="00C13F28">
        <w:rPr>
          <w:lang w:val="fr-FR"/>
        </w:rPr>
        <w:t xml:space="preserve">incendie en améliorant les prescriptions relatives au comportement des matériaux utilisés. Il est fondé sur le document GRSG-118-04, </w:t>
      </w:r>
      <w:r>
        <w:rPr>
          <w:lang w:val="fr-FR"/>
        </w:rPr>
        <w:t xml:space="preserve">tel que </w:t>
      </w:r>
      <w:r w:rsidRPr="00C13F28">
        <w:rPr>
          <w:lang w:val="fr-FR"/>
        </w:rPr>
        <w:t>soumis à la 118</w:t>
      </w:r>
      <w:r w:rsidRPr="00C13F28">
        <w:rPr>
          <w:vertAlign w:val="superscript"/>
          <w:lang w:val="fr-FR"/>
        </w:rPr>
        <w:t>e</w:t>
      </w:r>
      <w:r w:rsidRPr="00C13F28">
        <w:rPr>
          <w:lang w:val="fr-FR"/>
        </w:rPr>
        <w:t xml:space="preserve"> session du Groupe de travail des dispositions générales de sécurité (voir le rapport ECE/TRANS/WP.29/GRSG/97, par.</w:t>
      </w:r>
      <w:r>
        <w:rPr>
          <w:lang w:val="fr-FR"/>
        </w:rPr>
        <w:t> </w:t>
      </w:r>
      <w:r w:rsidRPr="00C13F28">
        <w:rPr>
          <w:lang w:val="fr-FR"/>
        </w:rPr>
        <w:t>XX). Les modifications qu</w:t>
      </w:r>
      <w:r>
        <w:rPr>
          <w:lang w:val="fr-FR"/>
        </w:rPr>
        <w:t>’</w:t>
      </w:r>
      <w:r w:rsidRPr="00C13F28">
        <w:rPr>
          <w:lang w:val="fr-FR"/>
        </w:rPr>
        <w:t>il est proposé d</w:t>
      </w:r>
      <w:r>
        <w:rPr>
          <w:lang w:val="fr-FR"/>
        </w:rPr>
        <w:t>’</w:t>
      </w:r>
      <w:r w:rsidRPr="00C13F28">
        <w:rPr>
          <w:lang w:val="fr-FR"/>
        </w:rPr>
        <w:t xml:space="preserve">apporter au texte actuel du Règlement </w:t>
      </w:r>
      <w:r w:rsidRPr="00D8471E">
        <w:rPr>
          <w:rFonts w:eastAsia="MS Mincho"/>
          <w:szCs w:val="22"/>
          <w:lang w:val="fr-FR"/>
        </w:rPr>
        <w:t>n</w:t>
      </w:r>
      <w:r w:rsidRPr="00D8471E">
        <w:rPr>
          <w:rFonts w:eastAsia="MS Mincho"/>
          <w:szCs w:val="22"/>
          <w:vertAlign w:val="superscript"/>
          <w:lang w:val="fr-FR"/>
        </w:rPr>
        <w:t>o</w:t>
      </w:r>
      <w:r>
        <w:rPr>
          <w:lang w:val="fr-FR"/>
        </w:rPr>
        <w:t> </w:t>
      </w:r>
      <w:r w:rsidRPr="00C13F28">
        <w:rPr>
          <w:lang w:val="fr-FR"/>
        </w:rPr>
        <w:t>118 figurent en caractères gras</w:t>
      </w:r>
      <w:r>
        <w:rPr>
          <w:lang w:val="fr-FR"/>
        </w:rPr>
        <w:t xml:space="preserve"> </w:t>
      </w:r>
      <w:r w:rsidRPr="00C550C5">
        <w:rPr>
          <w:lang w:val="fr-FR"/>
        </w:rPr>
        <w:t>pour les ajouts</w:t>
      </w:r>
      <w:r w:rsidRPr="00C13F28">
        <w:rPr>
          <w:lang w:val="fr-FR"/>
        </w:rPr>
        <w:t xml:space="preserve"> et en caractères biffés</w:t>
      </w:r>
      <w:r>
        <w:rPr>
          <w:lang w:val="fr-FR"/>
        </w:rPr>
        <w:t xml:space="preserve"> </w:t>
      </w:r>
      <w:r w:rsidRPr="00C550C5">
        <w:rPr>
          <w:lang w:val="fr-FR"/>
        </w:rPr>
        <w:t>pour les suppressions</w:t>
      </w:r>
      <w:r w:rsidRPr="00C13F28">
        <w:rPr>
          <w:lang w:val="fr-FR"/>
        </w:rPr>
        <w:t>.</w:t>
      </w:r>
    </w:p>
    <w:p w14:paraId="045E6415" w14:textId="77777777" w:rsidR="00EC2759" w:rsidRPr="00C13F28" w:rsidRDefault="00EC2759" w:rsidP="00EC2759">
      <w:pPr>
        <w:pStyle w:val="HChG"/>
        <w:rPr>
          <w:lang w:val="fr-FR"/>
        </w:rPr>
      </w:pPr>
      <w:r w:rsidRPr="00C13F28">
        <w:rPr>
          <w:lang w:val="fr-FR"/>
        </w:rPr>
        <w:br w:type="page"/>
      </w:r>
      <w:bookmarkStart w:id="1" w:name="_Hlk46496959"/>
      <w:r>
        <w:rPr>
          <w:lang w:val="fr-FR"/>
        </w:rPr>
        <w:lastRenderedPageBreak/>
        <w:tab/>
      </w:r>
      <w:r w:rsidRPr="00C13F28">
        <w:rPr>
          <w:lang w:val="fr-FR"/>
        </w:rPr>
        <w:t>I.</w:t>
      </w:r>
      <w:r w:rsidRPr="00C13F28">
        <w:rPr>
          <w:lang w:val="fr-FR"/>
        </w:rPr>
        <w:tab/>
        <w:t xml:space="preserve">Proposition </w:t>
      </w:r>
    </w:p>
    <w:p w14:paraId="34323F50" w14:textId="77777777" w:rsidR="00EC2759" w:rsidRPr="00C13F28" w:rsidRDefault="00EC2759" w:rsidP="00EC2759">
      <w:pPr>
        <w:pStyle w:val="SingleTxtG"/>
        <w:rPr>
          <w:lang w:val="fr-FR"/>
        </w:rPr>
      </w:pPr>
      <w:r w:rsidRPr="00D8471E">
        <w:rPr>
          <w:i/>
          <w:iCs/>
          <w:lang w:val="fr-FR"/>
        </w:rPr>
        <w:t>Ajouter les nouveaux paragraphes 12.15 à 12.18</w:t>
      </w:r>
      <w:r w:rsidRPr="00C13F28">
        <w:rPr>
          <w:lang w:val="fr-FR"/>
        </w:rPr>
        <w:t>, libellés comme suit</w:t>
      </w:r>
      <w:r w:rsidR="00C7450B">
        <w:rPr>
          <w:lang w:val="fr-FR"/>
        </w:rPr>
        <w:t> </w:t>
      </w:r>
      <w:r w:rsidRPr="00C13F28">
        <w:rPr>
          <w:lang w:val="fr-FR"/>
        </w:rPr>
        <w:t>:</w:t>
      </w:r>
      <w:bookmarkEnd w:id="1"/>
    </w:p>
    <w:p w14:paraId="06B3B70F" w14:textId="77777777" w:rsidR="00EC2759" w:rsidRPr="00C13F28" w:rsidRDefault="00EC2759" w:rsidP="00EC2759">
      <w:pPr>
        <w:pStyle w:val="SingleTxtG"/>
        <w:ind w:left="2268" w:hanging="1134"/>
        <w:rPr>
          <w:b/>
          <w:bCs/>
          <w:lang w:val="fr-FR"/>
        </w:rPr>
      </w:pPr>
      <w:r w:rsidRPr="00D8471E">
        <w:rPr>
          <w:lang w:val="fr-FR"/>
        </w:rPr>
        <w:t>«</w:t>
      </w:r>
      <w:r w:rsidRPr="00C13F28">
        <w:rPr>
          <w:i/>
          <w:iCs/>
          <w:lang w:val="fr-FR"/>
        </w:rPr>
        <w:t> </w:t>
      </w:r>
      <w:r w:rsidRPr="00C13F28">
        <w:rPr>
          <w:b/>
          <w:bCs/>
          <w:lang w:val="fr-FR"/>
        </w:rPr>
        <w:t>12.15</w:t>
      </w:r>
      <w:r w:rsidRPr="00C13F28">
        <w:rPr>
          <w:b/>
          <w:bCs/>
          <w:lang w:val="fr-FR"/>
        </w:rPr>
        <w:tab/>
        <w:t>À compter de la date officielle d</w:t>
      </w:r>
      <w:r>
        <w:rPr>
          <w:b/>
          <w:bCs/>
          <w:lang w:val="fr-FR"/>
        </w:rPr>
        <w:t>’</w:t>
      </w:r>
      <w:r w:rsidRPr="00C13F28">
        <w:rPr>
          <w:b/>
          <w:bCs/>
          <w:lang w:val="fr-FR"/>
        </w:rPr>
        <w:t>entrée en vigueur de la série</w:t>
      </w:r>
      <w:r w:rsidR="00C7450B">
        <w:rPr>
          <w:b/>
          <w:bCs/>
          <w:lang w:val="fr-FR"/>
        </w:rPr>
        <w:t> </w:t>
      </w:r>
      <w:r w:rsidRPr="00C13F28">
        <w:rPr>
          <w:b/>
          <w:bCs/>
          <w:lang w:val="fr-FR"/>
        </w:rPr>
        <w:t>04 d</w:t>
      </w:r>
      <w:r>
        <w:rPr>
          <w:b/>
          <w:bCs/>
          <w:lang w:val="fr-FR"/>
        </w:rPr>
        <w:t>’</w:t>
      </w:r>
      <w:r w:rsidRPr="00C13F28">
        <w:rPr>
          <w:b/>
          <w:bCs/>
          <w:lang w:val="fr-FR"/>
        </w:rPr>
        <w:t>amendements, aucune Partie contractante appliquant le présent Règlement ne pourra refuser d</w:t>
      </w:r>
      <w:r>
        <w:rPr>
          <w:b/>
          <w:bCs/>
          <w:lang w:val="fr-FR"/>
        </w:rPr>
        <w:t>’</w:t>
      </w:r>
      <w:r w:rsidRPr="00C13F28">
        <w:rPr>
          <w:b/>
          <w:bCs/>
          <w:lang w:val="fr-FR"/>
        </w:rPr>
        <w:t>accorder ou d</w:t>
      </w:r>
      <w:r>
        <w:rPr>
          <w:b/>
          <w:bCs/>
          <w:lang w:val="fr-FR"/>
        </w:rPr>
        <w:t>’</w:t>
      </w:r>
      <w:r w:rsidRPr="00C13F28">
        <w:rPr>
          <w:b/>
          <w:bCs/>
          <w:lang w:val="fr-FR"/>
        </w:rPr>
        <w:t>accepter une homologation de type en vertu dudit Règlement tel que modifié par la série</w:t>
      </w:r>
      <w:r w:rsidR="00C7450B">
        <w:rPr>
          <w:b/>
          <w:bCs/>
          <w:lang w:val="fr-FR"/>
        </w:rPr>
        <w:t> </w:t>
      </w:r>
      <w:r w:rsidRPr="00C13F28">
        <w:rPr>
          <w:b/>
          <w:bCs/>
          <w:lang w:val="fr-FR"/>
        </w:rPr>
        <w:t>04 d</w:t>
      </w:r>
      <w:r>
        <w:rPr>
          <w:b/>
          <w:bCs/>
          <w:lang w:val="fr-FR"/>
        </w:rPr>
        <w:t>’</w:t>
      </w:r>
      <w:r w:rsidRPr="00C13F28">
        <w:rPr>
          <w:b/>
          <w:bCs/>
          <w:lang w:val="fr-FR"/>
        </w:rPr>
        <w:t xml:space="preserve">amendements. </w:t>
      </w:r>
    </w:p>
    <w:p w14:paraId="37826981" w14:textId="77777777" w:rsidR="00EC2759" w:rsidRPr="00C13F28" w:rsidRDefault="00EC2759" w:rsidP="00EC2759">
      <w:pPr>
        <w:pStyle w:val="SingleTxtG"/>
        <w:ind w:left="2268" w:hanging="1134"/>
        <w:rPr>
          <w:b/>
          <w:bCs/>
          <w:lang w:val="fr-FR"/>
        </w:rPr>
      </w:pPr>
      <w:r w:rsidRPr="00C13F28">
        <w:rPr>
          <w:b/>
          <w:bCs/>
          <w:lang w:val="fr-FR"/>
        </w:rPr>
        <w:t>12.16</w:t>
      </w:r>
      <w:r w:rsidRPr="00C13F28">
        <w:rPr>
          <w:b/>
          <w:bCs/>
          <w:lang w:val="fr-FR"/>
        </w:rPr>
        <w:tab/>
      </w:r>
      <w:bookmarkStart w:id="2" w:name="_Hlk48029200"/>
      <w:r w:rsidRPr="00C13F28">
        <w:rPr>
          <w:b/>
          <w:bCs/>
          <w:lang w:val="fr-FR"/>
        </w:rPr>
        <w:t>À compter du 1</w:t>
      </w:r>
      <w:r w:rsidRPr="00C13F28">
        <w:rPr>
          <w:b/>
          <w:bCs/>
          <w:vertAlign w:val="superscript"/>
          <w:lang w:val="fr-FR"/>
        </w:rPr>
        <w:t>er</w:t>
      </w:r>
      <w:r w:rsidR="00C7450B">
        <w:rPr>
          <w:b/>
          <w:bCs/>
          <w:lang w:val="fr-FR"/>
        </w:rPr>
        <w:t> </w:t>
      </w:r>
      <w:r w:rsidRPr="00C13F28">
        <w:rPr>
          <w:b/>
          <w:bCs/>
          <w:lang w:val="fr-FR"/>
        </w:rPr>
        <w:t xml:space="preserve">septembre </w:t>
      </w:r>
      <w:r>
        <w:rPr>
          <w:b/>
          <w:bCs/>
          <w:lang w:val="fr-FR"/>
        </w:rPr>
        <w:t>[</w:t>
      </w:r>
      <w:r w:rsidRPr="00C13F28">
        <w:rPr>
          <w:b/>
          <w:bCs/>
          <w:lang w:val="fr-FR"/>
        </w:rPr>
        <w:t>2022</w:t>
      </w:r>
      <w:r>
        <w:rPr>
          <w:b/>
          <w:bCs/>
          <w:lang w:val="fr-FR"/>
        </w:rPr>
        <w:t>]</w:t>
      </w:r>
      <w:r w:rsidRPr="00C13F28">
        <w:rPr>
          <w:b/>
          <w:bCs/>
          <w:lang w:val="fr-FR"/>
        </w:rPr>
        <w:t xml:space="preserve">, </w:t>
      </w:r>
      <w:bookmarkStart w:id="3" w:name="_Hlk48029044"/>
      <w:r w:rsidRPr="00C13F28">
        <w:rPr>
          <w:b/>
          <w:bCs/>
          <w:lang w:val="fr-FR"/>
        </w:rPr>
        <w:t xml:space="preserve">les Parties contractantes appliquant le présent Règlement ne seront plus tenues </w:t>
      </w:r>
      <w:r>
        <w:rPr>
          <w:b/>
          <w:bCs/>
          <w:lang w:val="fr-FR"/>
        </w:rPr>
        <w:t xml:space="preserve">d’accepter </w:t>
      </w:r>
      <w:r w:rsidRPr="00C13F28">
        <w:rPr>
          <w:b/>
          <w:bCs/>
          <w:lang w:val="fr-FR"/>
        </w:rPr>
        <w:t xml:space="preserve">les homologations de type </w:t>
      </w:r>
      <w:r>
        <w:rPr>
          <w:b/>
          <w:bCs/>
          <w:lang w:val="fr-FR"/>
        </w:rPr>
        <w:t>établies pour des véhicules ou des composants conformément aux précédentes séries d’amendements</w:t>
      </w:r>
      <w:bookmarkEnd w:id="2"/>
      <w:r>
        <w:rPr>
          <w:b/>
          <w:bCs/>
          <w:lang w:val="fr-FR"/>
        </w:rPr>
        <w:t xml:space="preserve">, délivrées </w:t>
      </w:r>
      <w:r w:rsidRPr="00C13F28">
        <w:rPr>
          <w:b/>
          <w:bCs/>
          <w:lang w:val="fr-FR"/>
        </w:rPr>
        <w:t xml:space="preserve">pour la première fois </w:t>
      </w:r>
      <w:bookmarkEnd w:id="3"/>
      <w:r w:rsidRPr="00C13F28">
        <w:rPr>
          <w:b/>
          <w:bCs/>
          <w:lang w:val="fr-FR"/>
        </w:rPr>
        <w:t>après le 1</w:t>
      </w:r>
      <w:r w:rsidRPr="00C13F28">
        <w:rPr>
          <w:b/>
          <w:bCs/>
          <w:vertAlign w:val="superscript"/>
          <w:lang w:val="fr-FR"/>
        </w:rPr>
        <w:t>er</w:t>
      </w:r>
      <w:r w:rsidR="00C7450B">
        <w:rPr>
          <w:b/>
          <w:bCs/>
          <w:lang w:val="fr-FR"/>
        </w:rPr>
        <w:t> </w:t>
      </w:r>
      <w:r w:rsidRPr="00C13F28">
        <w:rPr>
          <w:b/>
          <w:bCs/>
          <w:lang w:val="fr-FR"/>
        </w:rPr>
        <w:t xml:space="preserve">septembre </w:t>
      </w:r>
      <w:r>
        <w:rPr>
          <w:b/>
          <w:bCs/>
          <w:lang w:val="fr-FR"/>
        </w:rPr>
        <w:t>[</w:t>
      </w:r>
      <w:r w:rsidRPr="00C13F28">
        <w:rPr>
          <w:b/>
          <w:bCs/>
          <w:lang w:val="fr-FR"/>
        </w:rPr>
        <w:t>2022</w:t>
      </w:r>
      <w:r>
        <w:rPr>
          <w:b/>
          <w:bCs/>
          <w:lang w:val="fr-FR"/>
        </w:rPr>
        <w:t>]</w:t>
      </w:r>
      <w:r w:rsidRPr="00C13F28">
        <w:rPr>
          <w:b/>
          <w:bCs/>
          <w:lang w:val="fr-FR"/>
        </w:rPr>
        <w:t>.</w:t>
      </w:r>
    </w:p>
    <w:p w14:paraId="21165667" w14:textId="77777777" w:rsidR="00EC2759" w:rsidRDefault="00EC2759" w:rsidP="00EC2759">
      <w:pPr>
        <w:pStyle w:val="SingleTxtG"/>
        <w:ind w:left="2268" w:hanging="1134"/>
        <w:rPr>
          <w:b/>
          <w:bCs/>
          <w:lang w:val="fr-FR"/>
        </w:rPr>
      </w:pPr>
      <w:r w:rsidRPr="00C13F28">
        <w:rPr>
          <w:b/>
          <w:bCs/>
          <w:lang w:val="fr-FR"/>
        </w:rPr>
        <w:t>12.17</w:t>
      </w:r>
      <w:r w:rsidRPr="00C13F28">
        <w:rPr>
          <w:b/>
          <w:bCs/>
          <w:lang w:val="fr-FR"/>
        </w:rPr>
        <w:tab/>
      </w:r>
      <w:r>
        <w:rPr>
          <w:b/>
          <w:bCs/>
          <w:lang w:val="fr-FR"/>
        </w:rPr>
        <w:t>Jusqu’au 1</w:t>
      </w:r>
      <w:r w:rsidRPr="00D45763">
        <w:rPr>
          <w:b/>
          <w:bCs/>
          <w:vertAlign w:val="superscript"/>
          <w:lang w:val="fr-FR"/>
        </w:rPr>
        <w:t>er</w:t>
      </w:r>
      <w:r w:rsidR="00C7450B">
        <w:rPr>
          <w:b/>
          <w:bCs/>
          <w:lang w:val="fr-FR"/>
        </w:rPr>
        <w:t> </w:t>
      </w:r>
      <w:r>
        <w:rPr>
          <w:b/>
          <w:bCs/>
          <w:lang w:val="fr-FR"/>
        </w:rPr>
        <w:t>septembre</w:t>
      </w:r>
      <w:r w:rsidRPr="00C13F28">
        <w:rPr>
          <w:b/>
          <w:bCs/>
          <w:lang w:val="fr-FR"/>
        </w:rPr>
        <w:t xml:space="preserve"> [2024], </w:t>
      </w:r>
      <w:r w:rsidRPr="00D45763">
        <w:rPr>
          <w:b/>
          <w:bCs/>
          <w:lang w:val="fr-FR"/>
        </w:rPr>
        <w:t>les Parties contractantes appliquant le présent Règlement seront tenues d</w:t>
      </w:r>
      <w:r>
        <w:rPr>
          <w:b/>
          <w:bCs/>
          <w:lang w:val="fr-FR"/>
        </w:rPr>
        <w:t>’</w:t>
      </w:r>
      <w:r w:rsidRPr="00D45763">
        <w:rPr>
          <w:b/>
          <w:bCs/>
          <w:lang w:val="fr-FR"/>
        </w:rPr>
        <w:t xml:space="preserve">accepter les homologations de type établies pour des véhicules ou </w:t>
      </w:r>
      <w:r w:rsidRPr="007D4AF6">
        <w:rPr>
          <w:b/>
          <w:bCs/>
          <w:lang w:val="fr-FR"/>
        </w:rPr>
        <w:t>des composants</w:t>
      </w:r>
      <w:r>
        <w:rPr>
          <w:b/>
          <w:bCs/>
          <w:lang w:val="fr-FR"/>
        </w:rPr>
        <w:t xml:space="preserve"> </w:t>
      </w:r>
      <w:r w:rsidRPr="00D45763">
        <w:rPr>
          <w:b/>
          <w:bCs/>
          <w:lang w:val="fr-FR"/>
        </w:rPr>
        <w:t>conformément aux précédentes séries d</w:t>
      </w:r>
      <w:r>
        <w:rPr>
          <w:b/>
          <w:bCs/>
          <w:lang w:val="fr-FR"/>
        </w:rPr>
        <w:t>’</w:t>
      </w:r>
      <w:r w:rsidRPr="00D45763">
        <w:rPr>
          <w:b/>
          <w:bCs/>
          <w:lang w:val="fr-FR"/>
        </w:rPr>
        <w:t>amendements, délivrées pour la première fois</w:t>
      </w:r>
      <w:r>
        <w:rPr>
          <w:b/>
          <w:bCs/>
          <w:lang w:val="fr-FR"/>
        </w:rPr>
        <w:t xml:space="preserve"> avant le 1</w:t>
      </w:r>
      <w:r w:rsidRPr="00D45763">
        <w:rPr>
          <w:b/>
          <w:bCs/>
          <w:vertAlign w:val="superscript"/>
          <w:lang w:val="fr-FR"/>
        </w:rPr>
        <w:t>er</w:t>
      </w:r>
      <w:r w:rsidR="00C7450B">
        <w:rPr>
          <w:b/>
          <w:bCs/>
          <w:lang w:val="fr-FR"/>
        </w:rPr>
        <w:t> </w:t>
      </w:r>
      <w:r>
        <w:rPr>
          <w:b/>
          <w:bCs/>
          <w:lang w:val="fr-FR"/>
        </w:rPr>
        <w:t xml:space="preserve">septembre [2022]. </w:t>
      </w:r>
    </w:p>
    <w:p w14:paraId="70FD6D67" w14:textId="77777777" w:rsidR="00EC2759" w:rsidRDefault="00EC2759" w:rsidP="00EC2759">
      <w:pPr>
        <w:pStyle w:val="SingleTxtG"/>
        <w:ind w:left="2268" w:hanging="1134"/>
        <w:rPr>
          <w:b/>
          <w:bCs/>
          <w:lang w:val="fr-FR"/>
        </w:rPr>
      </w:pPr>
      <w:r w:rsidRPr="00C13F28">
        <w:rPr>
          <w:b/>
          <w:bCs/>
          <w:lang w:val="fr-FR"/>
        </w:rPr>
        <w:t>12.18</w:t>
      </w:r>
      <w:r w:rsidRPr="00C13F28">
        <w:rPr>
          <w:b/>
          <w:bCs/>
          <w:lang w:val="fr-FR"/>
        </w:rPr>
        <w:tab/>
      </w:r>
      <w:r w:rsidRPr="00C13F28">
        <w:rPr>
          <w:b/>
          <w:bCs/>
          <w:lang w:val="fr-FR"/>
        </w:rPr>
        <w:tab/>
      </w:r>
      <w:r w:rsidRPr="00D45763">
        <w:rPr>
          <w:b/>
          <w:bCs/>
          <w:lang w:val="fr-FR"/>
        </w:rPr>
        <w:t>À compter du 1</w:t>
      </w:r>
      <w:r w:rsidRPr="00D45763">
        <w:rPr>
          <w:b/>
          <w:bCs/>
          <w:vertAlign w:val="superscript"/>
          <w:lang w:val="fr-FR"/>
        </w:rPr>
        <w:t>er</w:t>
      </w:r>
      <w:r w:rsidR="00C7450B">
        <w:rPr>
          <w:b/>
          <w:bCs/>
          <w:lang w:val="fr-FR"/>
        </w:rPr>
        <w:t> </w:t>
      </w:r>
      <w:r w:rsidRPr="00D45763">
        <w:rPr>
          <w:b/>
          <w:bCs/>
          <w:lang w:val="fr-FR"/>
        </w:rPr>
        <w:t>septembre [202</w:t>
      </w:r>
      <w:r>
        <w:rPr>
          <w:b/>
          <w:bCs/>
          <w:lang w:val="fr-FR"/>
        </w:rPr>
        <w:t>4</w:t>
      </w:r>
      <w:r w:rsidRPr="00D45763">
        <w:rPr>
          <w:b/>
          <w:bCs/>
          <w:lang w:val="fr-FR"/>
        </w:rPr>
        <w:t>], les Parties contractantes appliquant le présent Règlement ne seront plus tenues d</w:t>
      </w:r>
      <w:r>
        <w:rPr>
          <w:b/>
          <w:bCs/>
          <w:lang w:val="fr-FR"/>
        </w:rPr>
        <w:t>’</w:t>
      </w:r>
      <w:r w:rsidRPr="00D45763">
        <w:rPr>
          <w:b/>
          <w:bCs/>
          <w:lang w:val="fr-FR"/>
        </w:rPr>
        <w:t xml:space="preserve">accepter les homologations de type établies pour des véhicules ou </w:t>
      </w:r>
      <w:r w:rsidRPr="007D4AF6">
        <w:rPr>
          <w:b/>
          <w:bCs/>
          <w:lang w:val="fr-FR"/>
        </w:rPr>
        <w:t>des composants</w:t>
      </w:r>
      <w:r>
        <w:rPr>
          <w:b/>
          <w:bCs/>
          <w:lang w:val="fr-FR"/>
        </w:rPr>
        <w:t xml:space="preserve"> </w:t>
      </w:r>
      <w:r w:rsidRPr="00D45763">
        <w:rPr>
          <w:b/>
          <w:bCs/>
          <w:lang w:val="fr-FR"/>
        </w:rPr>
        <w:t>conformément aux précédentes séries d</w:t>
      </w:r>
      <w:r>
        <w:rPr>
          <w:b/>
          <w:bCs/>
          <w:lang w:val="fr-FR"/>
        </w:rPr>
        <w:t>’</w:t>
      </w:r>
      <w:r w:rsidRPr="00D45763">
        <w:rPr>
          <w:b/>
          <w:bCs/>
          <w:lang w:val="fr-FR"/>
        </w:rPr>
        <w:t>amendements</w:t>
      </w:r>
      <w:r>
        <w:rPr>
          <w:b/>
          <w:bCs/>
          <w:lang w:val="fr-FR"/>
        </w:rPr>
        <w:t xml:space="preserve"> audit Règlement.</w:t>
      </w:r>
      <w:r w:rsidRPr="000C06C1">
        <w:rPr>
          <w:lang w:val="fr-FR"/>
        </w:rPr>
        <w:t> »</w:t>
      </w:r>
      <w:r w:rsidR="00C7450B">
        <w:rPr>
          <w:b/>
          <w:bCs/>
          <w:lang w:val="fr-FR"/>
        </w:rPr>
        <w:t>.</w:t>
      </w:r>
    </w:p>
    <w:p w14:paraId="455B0D44" w14:textId="77777777" w:rsidR="00EC2759" w:rsidRPr="00C13F28" w:rsidRDefault="00EC2759" w:rsidP="00EC2759">
      <w:pPr>
        <w:pStyle w:val="SingleTxtG"/>
        <w:ind w:left="2268" w:hanging="1134"/>
        <w:rPr>
          <w:lang w:val="fr-FR"/>
        </w:rPr>
      </w:pPr>
      <w:r w:rsidRPr="00C13F28">
        <w:rPr>
          <w:i/>
          <w:iCs/>
          <w:lang w:val="fr-FR"/>
        </w:rPr>
        <w:t>Annex</w:t>
      </w:r>
      <w:r>
        <w:rPr>
          <w:i/>
          <w:iCs/>
          <w:lang w:val="fr-FR"/>
        </w:rPr>
        <w:t>e</w:t>
      </w:r>
      <w:r w:rsidRPr="00C13F28">
        <w:rPr>
          <w:i/>
          <w:iCs/>
          <w:lang w:val="fr-FR"/>
        </w:rPr>
        <w:t xml:space="preserve"> 2, </w:t>
      </w:r>
      <w:r>
        <w:rPr>
          <w:lang w:val="fr-FR"/>
        </w:rPr>
        <w:t>ajouter le nouveau point</w:t>
      </w:r>
      <w:r w:rsidRPr="00C13F28">
        <w:rPr>
          <w:lang w:val="fr-FR"/>
        </w:rPr>
        <w:t xml:space="preserve"> 5. </w:t>
      </w:r>
      <w:r>
        <w:rPr>
          <w:lang w:val="fr-FR"/>
        </w:rPr>
        <w:t>et le nouveau paragraphe</w:t>
      </w:r>
      <w:r w:rsidRPr="00C13F28">
        <w:rPr>
          <w:lang w:val="fr-FR"/>
        </w:rPr>
        <w:t xml:space="preserve"> 5.1</w:t>
      </w:r>
      <w:r>
        <w:rPr>
          <w:lang w:val="fr-FR"/>
        </w:rPr>
        <w:t>, libellés comme suit</w:t>
      </w:r>
      <w:r w:rsidR="00C7450B">
        <w:rPr>
          <w:lang w:val="fr-FR"/>
        </w:rPr>
        <w:t> </w:t>
      </w:r>
      <w:r w:rsidRPr="00C13F28">
        <w:rPr>
          <w:lang w:val="fr-FR"/>
        </w:rPr>
        <w:t>:</w:t>
      </w:r>
    </w:p>
    <w:p w14:paraId="5118C57D" w14:textId="77777777" w:rsidR="00EC2759" w:rsidRPr="00D8471E" w:rsidRDefault="00EC2759" w:rsidP="00EC2759">
      <w:pPr>
        <w:pStyle w:val="SingleTxtG"/>
        <w:ind w:left="2268" w:hanging="1134"/>
        <w:rPr>
          <w:lang w:val="fr-FR"/>
        </w:rPr>
      </w:pPr>
      <w:r>
        <w:rPr>
          <w:lang w:val="fr-FR"/>
        </w:rPr>
        <w:t>« </w:t>
      </w:r>
      <w:r w:rsidRPr="00D8471E">
        <w:rPr>
          <w:b/>
          <w:bCs/>
          <w:lang w:val="fr-FR"/>
        </w:rPr>
        <w:t>5.</w:t>
      </w:r>
      <w:r w:rsidRPr="00D8471E">
        <w:rPr>
          <w:b/>
          <w:bCs/>
          <w:lang w:val="fr-FR"/>
        </w:rPr>
        <w:tab/>
        <w:t>Adhésifs</w:t>
      </w:r>
    </w:p>
    <w:p w14:paraId="3E5D39CE" w14:textId="77777777" w:rsidR="00EC2759" w:rsidRDefault="00EC2759" w:rsidP="00EC2759">
      <w:pPr>
        <w:pStyle w:val="SingleTxtG"/>
        <w:ind w:left="2268" w:hanging="1134"/>
        <w:rPr>
          <w:b/>
          <w:bCs/>
          <w:lang w:val="fr-FR"/>
        </w:rPr>
      </w:pPr>
      <w:r w:rsidRPr="00C13F28">
        <w:rPr>
          <w:b/>
          <w:bCs/>
          <w:lang w:val="fr-FR"/>
        </w:rPr>
        <w:t>5.1</w:t>
      </w:r>
      <w:r w:rsidRPr="00C13F28">
        <w:rPr>
          <w:b/>
          <w:bCs/>
          <w:lang w:val="fr-FR"/>
        </w:rPr>
        <w:tab/>
      </w:r>
      <w:r>
        <w:rPr>
          <w:b/>
          <w:bCs/>
          <w:lang w:val="fr-FR"/>
        </w:rPr>
        <w:t xml:space="preserve">Dans les cas où un adhésif est utilisé pour coller un matériau sur son support ou pour coller des matériaux ensemble, liste des adhésifs pouvant être utilisés sans risque de </w:t>
      </w:r>
      <w:r w:rsidRPr="00BB1D31">
        <w:rPr>
          <w:b/>
          <w:bCs/>
          <w:lang w:val="fr-FR"/>
        </w:rPr>
        <w:t>dégradation</w:t>
      </w:r>
      <w:r>
        <w:rPr>
          <w:b/>
          <w:bCs/>
          <w:lang w:val="fr-FR"/>
        </w:rPr>
        <w:t xml:space="preserve"> du comportement au feu des matériaux concernés : … </w:t>
      </w:r>
      <w:r w:rsidRPr="00EC5665">
        <w:rPr>
          <w:lang w:val="fr-FR"/>
        </w:rPr>
        <w:t>»</w:t>
      </w:r>
      <w:r w:rsidR="00C7450B">
        <w:rPr>
          <w:lang w:val="fr-FR"/>
        </w:rPr>
        <w:t>.</w:t>
      </w:r>
    </w:p>
    <w:p w14:paraId="197F752C" w14:textId="77777777" w:rsidR="00EC2759" w:rsidRPr="00C13F28" w:rsidRDefault="00EC2759" w:rsidP="00EC2759">
      <w:pPr>
        <w:pStyle w:val="SingleTxtG"/>
        <w:ind w:left="2268" w:hanging="1134"/>
        <w:rPr>
          <w:lang w:val="fr-FR"/>
        </w:rPr>
      </w:pPr>
      <w:r w:rsidRPr="00C13F28">
        <w:rPr>
          <w:i/>
          <w:lang w:val="fr-FR"/>
        </w:rPr>
        <w:t>P</w:t>
      </w:r>
      <w:r>
        <w:rPr>
          <w:i/>
          <w:lang w:val="fr-FR"/>
        </w:rPr>
        <w:t>remière partie</w:t>
      </w:r>
      <w:r w:rsidRPr="00C13F28">
        <w:rPr>
          <w:lang w:val="fr-FR"/>
        </w:rPr>
        <w:t xml:space="preserve">, </w:t>
      </w:r>
      <w:r>
        <w:rPr>
          <w:lang w:val="fr-FR"/>
        </w:rPr>
        <w:t>ajouter les nouveaux</w:t>
      </w:r>
      <w:r w:rsidRPr="00C13F28">
        <w:rPr>
          <w:lang w:val="fr-FR"/>
        </w:rPr>
        <w:t xml:space="preserve"> paragraph</w:t>
      </w:r>
      <w:r>
        <w:rPr>
          <w:lang w:val="fr-FR"/>
        </w:rPr>
        <w:t>es</w:t>
      </w:r>
      <w:r w:rsidRPr="00C13F28">
        <w:rPr>
          <w:lang w:val="fr-FR"/>
        </w:rPr>
        <w:t xml:space="preserve"> 5.2.4.1 </w:t>
      </w:r>
      <w:r>
        <w:rPr>
          <w:lang w:val="fr-FR"/>
        </w:rPr>
        <w:t>et</w:t>
      </w:r>
      <w:r w:rsidRPr="00C13F28">
        <w:rPr>
          <w:lang w:val="fr-FR"/>
        </w:rPr>
        <w:t xml:space="preserve"> 5.2.4.2</w:t>
      </w:r>
      <w:r>
        <w:rPr>
          <w:lang w:val="fr-FR"/>
        </w:rPr>
        <w:t>, libellés comme suit :</w:t>
      </w:r>
    </w:p>
    <w:p w14:paraId="49BECA96" w14:textId="77777777" w:rsidR="00EC2759" w:rsidRDefault="00EC2759" w:rsidP="00EC2759">
      <w:pPr>
        <w:pStyle w:val="SingleTxtG"/>
        <w:ind w:left="2268" w:hanging="1134"/>
        <w:rPr>
          <w:b/>
          <w:bCs/>
          <w:lang w:val="fr-FR"/>
        </w:rPr>
      </w:pPr>
      <w:r>
        <w:rPr>
          <w:lang w:val="fr-FR"/>
        </w:rPr>
        <w:t>« </w:t>
      </w:r>
      <w:r w:rsidRPr="00C13F28">
        <w:rPr>
          <w:b/>
          <w:bCs/>
          <w:lang w:val="fr-FR"/>
        </w:rPr>
        <w:t>5.2.4.1</w:t>
      </w:r>
      <w:r w:rsidRPr="00C13F28">
        <w:rPr>
          <w:b/>
          <w:bCs/>
          <w:lang w:val="fr-FR"/>
        </w:rPr>
        <w:tab/>
      </w:r>
      <w:r>
        <w:rPr>
          <w:b/>
          <w:bCs/>
          <w:lang w:val="fr-FR"/>
        </w:rPr>
        <w:t>Les matériaux simples conformes aux prescriptions pertinentes énoncées aux paragraphes 6.2.1 à 6.2.7 et qui sont collés ensemble par un adhésif n’aggravant pas leur comportement au feu sont considérés comme conformes aux prescriptions relatives aux matériaux composites.</w:t>
      </w:r>
    </w:p>
    <w:p w14:paraId="376EBFC6" w14:textId="77777777" w:rsidR="00EC2759" w:rsidRPr="00880106" w:rsidRDefault="00EC2759" w:rsidP="00EC2759">
      <w:pPr>
        <w:pStyle w:val="SingleTxtG"/>
        <w:ind w:left="2268" w:hanging="1134"/>
        <w:rPr>
          <w:b/>
          <w:bCs/>
          <w:lang w:val="fr-FR"/>
        </w:rPr>
      </w:pPr>
      <w:r w:rsidRPr="00C13F28">
        <w:rPr>
          <w:b/>
          <w:bCs/>
          <w:lang w:val="fr-FR"/>
        </w:rPr>
        <w:t>5.2.4.2</w:t>
      </w:r>
      <w:r w:rsidRPr="00C13F28">
        <w:rPr>
          <w:b/>
          <w:bCs/>
          <w:lang w:val="fr-FR"/>
        </w:rPr>
        <w:tab/>
      </w:r>
      <w:r>
        <w:rPr>
          <w:b/>
          <w:bCs/>
          <w:lang w:val="fr-FR"/>
        </w:rPr>
        <w:t xml:space="preserve">Si un adhésif qui ne figure pas dans la liste de ceux qui ne dégradent pas le comportement au feu des matériaux intérieurs, </w:t>
      </w:r>
      <w:r w:rsidRPr="009F7B3F">
        <w:rPr>
          <w:b/>
          <w:bCs/>
          <w:lang w:val="fr-FR"/>
        </w:rPr>
        <w:t>demandée au paragraphe 5.1 de l</w:t>
      </w:r>
      <w:r>
        <w:rPr>
          <w:b/>
          <w:bCs/>
          <w:lang w:val="fr-FR"/>
        </w:rPr>
        <w:t>’</w:t>
      </w:r>
      <w:r w:rsidRPr="009F7B3F">
        <w:rPr>
          <w:b/>
          <w:bCs/>
          <w:lang w:val="fr-FR"/>
        </w:rPr>
        <w:t>annexe 2</w:t>
      </w:r>
      <w:r>
        <w:rPr>
          <w:b/>
          <w:bCs/>
          <w:lang w:val="fr-FR"/>
        </w:rPr>
        <w:t>,</w:t>
      </w:r>
      <w:r w:rsidRPr="009F7B3F">
        <w:rPr>
          <w:b/>
          <w:bCs/>
          <w:lang w:val="fr-FR"/>
        </w:rPr>
        <w:t xml:space="preserve"> </w:t>
      </w:r>
      <w:r>
        <w:rPr>
          <w:b/>
          <w:bCs/>
          <w:lang w:val="fr-FR"/>
        </w:rPr>
        <w:t xml:space="preserve">est utilisé pour coller un tel matériau sur son support, le matériau concerné doit être soumis à l’essai avec l’adhésif </w:t>
      </w:r>
      <w:r w:rsidRPr="009F7B3F">
        <w:rPr>
          <w:b/>
          <w:bCs/>
          <w:lang w:val="fr-FR"/>
        </w:rPr>
        <w:t xml:space="preserve">en question </w:t>
      </w:r>
      <w:r>
        <w:rPr>
          <w:b/>
          <w:bCs/>
          <w:lang w:val="fr-FR"/>
        </w:rPr>
        <w:t>et un support adéquat. </w:t>
      </w:r>
      <w:r w:rsidRPr="00880106">
        <w:rPr>
          <w:lang w:val="fr-FR"/>
        </w:rPr>
        <w:t>»</w:t>
      </w:r>
      <w:r w:rsidR="00C7450B">
        <w:rPr>
          <w:lang w:val="fr-FR"/>
        </w:rPr>
        <w:t>.</w:t>
      </w:r>
    </w:p>
    <w:p w14:paraId="2EBFDC42" w14:textId="77777777" w:rsidR="00EC2759" w:rsidRPr="00C13F28" w:rsidRDefault="00EC2759" w:rsidP="00EC2759">
      <w:pPr>
        <w:pStyle w:val="HChG"/>
        <w:rPr>
          <w:lang w:val="fr-FR"/>
        </w:rPr>
      </w:pPr>
      <w:r w:rsidRPr="00C13F28">
        <w:rPr>
          <w:lang w:val="fr-FR"/>
        </w:rPr>
        <w:tab/>
        <w:t>II.</w:t>
      </w:r>
      <w:r w:rsidRPr="00C13F28">
        <w:rPr>
          <w:lang w:val="fr-FR"/>
        </w:rPr>
        <w:tab/>
        <w:t>Justification</w:t>
      </w:r>
    </w:p>
    <w:p w14:paraId="117194D7" w14:textId="77777777" w:rsidR="00EC2759" w:rsidRPr="00C13F28" w:rsidRDefault="00EC2759" w:rsidP="00EC2759">
      <w:pPr>
        <w:pStyle w:val="H23G"/>
        <w:rPr>
          <w:lang w:val="fr-FR"/>
        </w:rPr>
      </w:pPr>
      <w:r>
        <w:rPr>
          <w:lang w:val="fr-FR"/>
        </w:rPr>
        <w:tab/>
      </w:r>
      <w:r>
        <w:rPr>
          <w:lang w:val="fr-FR"/>
        </w:rPr>
        <w:tab/>
      </w:r>
      <w:r w:rsidRPr="00C13F28">
        <w:rPr>
          <w:lang w:val="fr-FR"/>
        </w:rPr>
        <w:t xml:space="preserve">Influence </w:t>
      </w:r>
      <w:r>
        <w:rPr>
          <w:lang w:val="fr-FR"/>
        </w:rPr>
        <w:t>de l’adhésif</w:t>
      </w:r>
    </w:p>
    <w:p w14:paraId="4D67ACCF" w14:textId="77777777" w:rsidR="00F9573C" w:rsidRDefault="00EC2759" w:rsidP="00EC2759">
      <w:pPr>
        <w:pStyle w:val="SingleTxtG"/>
        <w:ind w:firstLine="567"/>
        <w:rPr>
          <w:lang w:val="fr-FR"/>
        </w:rPr>
      </w:pPr>
      <w:r>
        <w:rPr>
          <w:lang w:val="fr-FR"/>
        </w:rPr>
        <w:t>Afin de préciser les conditions d’installation énoncées au paragraphe</w:t>
      </w:r>
      <w:r w:rsidR="00C7450B">
        <w:rPr>
          <w:lang w:val="fr-FR"/>
        </w:rPr>
        <w:t> </w:t>
      </w:r>
      <w:r>
        <w:rPr>
          <w:lang w:val="fr-FR"/>
        </w:rPr>
        <w:t xml:space="preserve">5.2.4, à savoir que les adhésifs utilisés ne devraient pas aggraver le comportement au feu </w:t>
      </w:r>
      <w:r w:rsidRPr="0096738F">
        <w:rPr>
          <w:lang w:val="fr-FR"/>
        </w:rPr>
        <w:t>normal</w:t>
      </w:r>
      <w:r>
        <w:rPr>
          <w:lang w:val="fr-FR"/>
        </w:rPr>
        <w:t xml:space="preserve"> des matériaux et composants, le fabricant du </w:t>
      </w:r>
      <w:r w:rsidRPr="0017372F">
        <w:rPr>
          <w:lang w:val="fr-FR"/>
        </w:rPr>
        <w:t>composant</w:t>
      </w:r>
      <w:r>
        <w:rPr>
          <w:lang w:val="fr-FR"/>
        </w:rPr>
        <w:t xml:space="preserve"> ou du matériau devrait fournir la liste des adhésifs qui doivent être utilisés pour les assemblages. Une fois les évaluations physiques des comportements au feu réalisées, aucune tendance générale ne saurait être dégagée concernant l’influence de l’adhésif. La meilleure façon de </w:t>
      </w:r>
      <w:r w:rsidRPr="007F4B00">
        <w:rPr>
          <w:lang w:val="fr-FR"/>
        </w:rPr>
        <w:t>maîtriser</w:t>
      </w:r>
      <w:r>
        <w:rPr>
          <w:lang w:val="fr-FR"/>
        </w:rPr>
        <w:t xml:space="preserve"> l’installation semble donc de s’en remettre à la liste fournie par le fabricant concernant les seules catégories d’adhésif pouvant être utilisées.</w:t>
      </w:r>
    </w:p>
    <w:p w14:paraId="1D5D5D97" w14:textId="77777777" w:rsidR="00EC2759" w:rsidRPr="00EC2759" w:rsidRDefault="00EC2759" w:rsidP="00EC2759">
      <w:pPr>
        <w:pStyle w:val="SingleTxtG"/>
        <w:spacing w:before="240" w:after="0"/>
        <w:jc w:val="center"/>
        <w:rPr>
          <w:u w:val="single"/>
        </w:rPr>
      </w:pPr>
      <w:r>
        <w:rPr>
          <w:u w:val="single"/>
        </w:rPr>
        <w:tab/>
      </w:r>
      <w:r>
        <w:rPr>
          <w:u w:val="single"/>
        </w:rPr>
        <w:tab/>
      </w:r>
      <w:r>
        <w:rPr>
          <w:u w:val="single"/>
        </w:rPr>
        <w:tab/>
      </w:r>
    </w:p>
    <w:sectPr w:rsidR="00EC2759" w:rsidRPr="00EC2759" w:rsidSect="00EC275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24B0" w14:textId="77777777" w:rsidR="004B496C" w:rsidRDefault="004B496C" w:rsidP="00F95C08">
      <w:pPr>
        <w:spacing w:line="240" w:lineRule="auto"/>
      </w:pPr>
    </w:p>
  </w:endnote>
  <w:endnote w:type="continuationSeparator" w:id="0">
    <w:p w14:paraId="469FD924" w14:textId="77777777" w:rsidR="004B496C" w:rsidRPr="00AC3823" w:rsidRDefault="004B496C" w:rsidP="00AC3823">
      <w:pPr>
        <w:pStyle w:val="Footer"/>
      </w:pPr>
    </w:p>
  </w:endnote>
  <w:endnote w:type="continuationNotice" w:id="1">
    <w:p w14:paraId="051100A8" w14:textId="77777777" w:rsidR="004B496C" w:rsidRDefault="004B4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F984" w14:textId="77777777" w:rsidR="00EC2759" w:rsidRPr="00EC2759" w:rsidRDefault="00EC2759" w:rsidP="00EC2759">
    <w:pPr>
      <w:pStyle w:val="Footer"/>
      <w:tabs>
        <w:tab w:val="right" w:pos="9638"/>
      </w:tabs>
    </w:pPr>
    <w:r w:rsidRPr="00EC2759">
      <w:rPr>
        <w:b/>
        <w:sz w:val="18"/>
      </w:rPr>
      <w:fldChar w:fldCharType="begin"/>
    </w:r>
    <w:r w:rsidRPr="00EC2759">
      <w:rPr>
        <w:b/>
        <w:sz w:val="18"/>
      </w:rPr>
      <w:instrText xml:space="preserve"> PAGE  \* MERGEFORMAT </w:instrText>
    </w:r>
    <w:r w:rsidRPr="00EC2759">
      <w:rPr>
        <w:b/>
        <w:sz w:val="18"/>
      </w:rPr>
      <w:fldChar w:fldCharType="separate"/>
    </w:r>
    <w:r w:rsidRPr="00EC2759">
      <w:rPr>
        <w:b/>
        <w:noProof/>
        <w:sz w:val="18"/>
      </w:rPr>
      <w:t>2</w:t>
    </w:r>
    <w:r w:rsidRPr="00EC2759">
      <w:rPr>
        <w:b/>
        <w:sz w:val="18"/>
      </w:rPr>
      <w:fldChar w:fldCharType="end"/>
    </w:r>
    <w:r>
      <w:rPr>
        <w:b/>
        <w:sz w:val="18"/>
      </w:rPr>
      <w:tab/>
    </w:r>
    <w:r>
      <w:t>GE.20-10011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99AE" w14:textId="77777777" w:rsidR="00EC2759" w:rsidRPr="00EC2759" w:rsidRDefault="00EC2759" w:rsidP="00EC2759">
    <w:pPr>
      <w:pStyle w:val="Footer"/>
      <w:tabs>
        <w:tab w:val="right" w:pos="9638"/>
      </w:tabs>
      <w:rPr>
        <w:b/>
        <w:sz w:val="18"/>
      </w:rPr>
    </w:pPr>
    <w:r>
      <w:t>GE.20-10011</w:t>
    </w:r>
    <w:r>
      <w:tab/>
    </w:r>
    <w:r w:rsidRPr="00EC2759">
      <w:rPr>
        <w:b/>
        <w:sz w:val="18"/>
      </w:rPr>
      <w:fldChar w:fldCharType="begin"/>
    </w:r>
    <w:r w:rsidRPr="00EC2759">
      <w:rPr>
        <w:b/>
        <w:sz w:val="18"/>
      </w:rPr>
      <w:instrText xml:space="preserve"> PAGE  \* MERGEFORMAT </w:instrText>
    </w:r>
    <w:r w:rsidRPr="00EC2759">
      <w:rPr>
        <w:b/>
        <w:sz w:val="18"/>
      </w:rPr>
      <w:fldChar w:fldCharType="separate"/>
    </w:r>
    <w:r w:rsidRPr="00EC2759">
      <w:rPr>
        <w:b/>
        <w:noProof/>
        <w:sz w:val="18"/>
      </w:rPr>
      <w:t>3</w:t>
    </w:r>
    <w:r w:rsidRPr="00EC27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F61D" w14:textId="77777777" w:rsidR="007F20FA" w:rsidRPr="00EC2759" w:rsidRDefault="00EC2759" w:rsidP="00EC275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E043C4A" wp14:editId="0389EC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20-10011  (F)</w:t>
    </w:r>
    <w:r w:rsidR="00C7450B">
      <w:rPr>
        <w:sz w:val="20"/>
      </w:rPr>
      <w:t xml:space="preserve">    170820    170820</w:t>
    </w:r>
    <w:r>
      <w:rPr>
        <w:sz w:val="20"/>
      </w:rPr>
      <w:br/>
    </w:r>
    <w:r w:rsidRPr="00EC2759">
      <w:rPr>
        <w:rFonts w:ascii="C39T30Lfz" w:hAnsi="C39T30Lfz"/>
        <w:sz w:val="56"/>
      </w:rPr>
      <w:t></w:t>
    </w:r>
    <w:r w:rsidRPr="00EC2759">
      <w:rPr>
        <w:rFonts w:ascii="C39T30Lfz" w:hAnsi="C39T30Lfz"/>
        <w:sz w:val="56"/>
      </w:rPr>
      <w:t></w:t>
    </w:r>
    <w:r w:rsidRPr="00EC2759">
      <w:rPr>
        <w:rFonts w:ascii="C39T30Lfz" w:hAnsi="C39T30Lfz"/>
        <w:sz w:val="56"/>
      </w:rPr>
      <w:t></w:t>
    </w:r>
    <w:r w:rsidRPr="00EC2759">
      <w:rPr>
        <w:rFonts w:ascii="C39T30Lfz" w:hAnsi="C39T30Lfz"/>
        <w:sz w:val="56"/>
      </w:rPr>
      <w:t></w:t>
    </w:r>
    <w:r w:rsidRPr="00EC2759">
      <w:rPr>
        <w:rFonts w:ascii="C39T30Lfz" w:hAnsi="C39T30Lfz"/>
        <w:sz w:val="56"/>
      </w:rPr>
      <w:t></w:t>
    </w:r>
    <w:r w:rsidRPr="00EC2759">
      <w:rPr>
        <w:rFonts w:ascii="C39T30Lfz" w:hAnsi="C39T30Lfz"/>
        <w:sz w:val="56"/>
      </w:rPr>
      <w:t></w:t>
    </w:r>
    <w:r w:rsidRPr="00EC2759">
      <w:rPr>
        <w:rFonts w:ascii="C39T30Lfz" w:hAnsi="C39T30Lfz"/>
        <w:sz w:val="56"/>
      </w:rPr>
      <w:t></w:t>
    </w:r>
    <w:r w:rsidRPr="00EC2759">
      <w:rPr>
        <w:rFonts w:ascii="C39T30Lfz" w:hAnsi="C39T30Lfz"/>
        <w:sz w:val="56"/>
      </w:rPr>
      <w:t></w:t>
    </w:r>
    <w:r w:rsidRPr="00EC2759">
      <w:rPr>
        <w:rFonts w:ascii="C39T30Lfz" w:hAnsi="C39T30Lfz"/>
        <w:sz w:val="56"/>
      </w:rPr>
      <w:t></w:t>
    </w:r>
    <w:r>
      <w:rPr>
        <w:noProof/>
        <w:sz w:val="20"/>
      </w:rPr>
      <w:drawing>
        <wp:anchor distT="0" distB="0" distL="114300" distR="114300" simplePos="0" relativeHeight="251658240" behindDoc="0" locked="0" layoutInCell="1" allowOverlap="1" wp14:anchorId="1962A59B" wp14:editId="7877EDE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6F98" w14:textId="77777777" w:rsidR="004B496C" w:rsidRPr="00AC3823" w:rsidRDefault="004B496C" w:rsidP="00AC3823">
      <w:pPr>
        <w:pStyle w:val="Footer"/>
        <w:tabs>
          <w:tab w:val="right" w:pos="2155"/>
        </w:tabs>
        <w:spacing w:after="80" w:line="240" w:lineRule="atLeast"/>
        <w:ind w:left="680"/>
        <w:rPr>
          <w:u w:val="single"/>
        </w:rPr>
      </w:pPr>
      <w:r>
        <w:rPr>
          <w:u w:val="single"/>
        </w:rPr>
        <w:tab/>
      </w:r>
    </w:p>
  </w:footnote>
  <w:footnote w:type="continuationSeparator" w:id="0">
    <w:p w14:paraId="6B111ED1" w14:textId="77777777" w:rsidR="004B496C" w:rsidRPr="00AC3823" w:rsidRDefault="004B496C" w:rsidP="00AC3823">
      <w:pPr>
        <w:pStyle w:val="Footer"/>
        <w:tabs>
          <w:tab w:val="right" w:pos="2155"/>
        </w:tabs>
        <w:spacing w:after="80" w:line="240" w:lineRule="atLeast"/>
        <w:ind w:left="680"/>
        <w:rPr>
          <w:u w:val="single"/>
        </w:rPr>
      </w:pPr>
      <w:r>
        <w:rPr>
          <w:u w:val="single"/>
        </w:rPr>
        <w:tab/>
      </w:r>
    </w:p>
  </w:footnote>
  <w:footnote w:type="continuationNotice" w:id="1">
    <w:p w14:paraId="243038D6" w14:textId="77777777" w:rsidR="004B496C" w:rsidRPr="00AC3823" w:rsidRDefault="004B496C">
      <w:pPr>
        <w:spacing w:line="240" w:lineRule="auto"/>
        <w:rPr>
          <w:sz w:val="2"/>
          <w:szCs w:val="2"/>
        </w:rPr>
      </w:pPr>
    </w:p>
  </w:footnote>
  <w:footnote w:id="2">
    <w:p w14:paraId="2BEF4AF0" w14:textId="77777777" w:rsidR="00EC2759" w:rsidRPr="00D8471E" w:rsidRDefault="00EC2759" w:rsidP="00EC2759">
      <w:pPr>
        <w:pStyle w:val="FootnoteText"/>
      </w:pPr>
      <w:r>
        <w:rPr>
          <w:rStyle w:val="FootnoteReference"/>
        </w:rPr>
        <w:tab/>
      </w:r>
      <w:r w:rsidRPr="00D8471E">
        <w:rPr>
          <w:rStyle w:val="FootnoteReference"/>
          <w:sz w:val="20"/>
          <w:vertAlign w:val="baseline"/>
        </w:rPr>
        <w:t>*</w:t>
      </w:r>
      <w:r>
        <w:rPr>
          <w:rStyle w:val="FootnoteReference"/>
          <w:sz w:val="20"/>
          <w:vertAlign w:val="baseline"/>
        </w:rPr>
        <w:tab/>
      </w:r>
      <w:r w:rsidRPr="00D8471E">
        <w:rPr>
          <w:rStyle w:val="FootnoteReference"/>
          <w:vertAlign w:val="baseline"/>
          <w:lang w:val="fr-FR" w:eastAsia="fr-FR"/>
        </w:rPr>
        <w:t xml:space="preserve">Conformément au programme de travail du Comité des transports intérieurs </w:t>
      </w:r>
      <w:r w:rsidRPr="00D8471E">
        <w:rPr>
          <w:rStyle w:val="FootnoteReference"/>
          <w:vertAlign w:val="baseline"/>
        </w:rPr>
        <w:t>pour 202</w:t>
      </w:r>
      <w:r w:rsidRPr="00D8471E">
        <w:rPr>
          <w:rStyle w:val="FootnoteReference"/>
          <w:vertAlign w:val="baseline"/>
          <w:lang w:val="fr-FR"/>
        </w:rPr>
        <w:t xml:space="preserve">0 tel </w:t>
      </w:r>
      <w:r w:rsidRPr="00D8471E">
        <w:rPr>
          <w:rStyle w:val="FootnoteReference"/>
          <w:vertAlign w:val="baseline"/>
        </w:rPr>
        <w:t>qu’il figure dans le projet de budget-programme pour 2020 (A/74/6 (titre V, chap</w:t>
      </w:r>
      <w:r>
        <w:t>. </w:t>
      </w:r>
      <w:r w:rsidRPr="00D8471E">
        <w:rPr>
          <w:rStyle w:val="FootnoteReference"/>
          <w:vertAlign w:val="baseline"/>
        </w:rPr>
        <w:t>20), par.</w:t>
      </w:r>
      <w:r>
        <w:t> </w:t>
      </w:r>
      <w:r w:rsidRPr="00D8471E">
        <w:rPr>
          <w:rStyle w:val="FootnoteReference"/>
          <w:vertAlign w:val="baseline"/>
        </w:rPr>
        <w:t>20.37)</w:t>
      </w:r>
      <w:r w:rsidRPr="00D8471E">
        <w:rPr>
          <w:rStyle w:val="FootnoteReference"/>
          <w:vertAlign w:val="baseline"/>
          <w:lang w:val="fr-FR" w:eastAsia="fr-FR"/>
        </w:rPr>
        <w:t>, le Forum mondial a pour mission d’élaborer, d’harmoniser et de mettre à jour les Règlements ONU en vue d’améliorer les caractéristiques fonctionnelles des véhicules.</w:t>
      </w:r>
      <w:r w:rsidRPr="00D8471E">
        <w:rPr>
          <w:rStyle w:val="FootnoteReference"/>
          <w:vertAlign w:val="baseline"/>
          <w:lang w:val="fr-FR"/>
        </w:rPr>
        <w:t xml:space="preserve"> </w:t>
      </w:r>
      <w:r w:rsidRPr="00D8471E">
        <w:rPr>
          <w:rStyle w:val="FootnoteReference"/>
          <w:vertAlign w:val="baseline"/>
          <w:lang w:val="fr-FR" w:eastAsia="fr-FR"/>
        </w:rPr>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5F31" w14:textId="68FB0799" w:rsidR="00EC2759" w:rsidRPr="00EC2759" w:rsidRDefault="00A272D2">
    <w:pPr>
      <w:pStyle w:val="Header"/>
    </w:pPr>
    <w:r>
      <w:fldChar w:fldCharType="begin"/>
    </w:r>
    <w:r>
      <w:instrText xml:space="preserve"> TITLE  \* MERGEFORMAT </w:instrText>
    </w:r>
    <w:r>
      <w:fldChar w:fldCharType="separate"/>
    </w:r>
    <w:r w:rsidR="008D2FA9">
      <w:t>ECE/TRANS/WP.29/GRSG/2020/21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63A1" w14:textId="420C1DD8" w:rsidR="00EC2759" w:rsidRPr="00EC2759" w:rsidRDefault="00A272D2" w:rsidP="00EC2759">
    <w:pPr>
      <w:pStyle w:val="Header"/>
      <w:jc w:val="right"/>
    </w:pPr>
    <w:r>
      <w:fldChar w:fldCharType="begin"/>
    </w:r>
    <w:r>
      <w:instrText xml:space="preserve"> TITLE  \* MERGEFORMAT </w:instrText>
    </w:r>
    <w:r>
      <w:fldChar w:fldCharType="separate"/>
    </w:r>
    <w:r w:rsidR="008D2FA9">
      <w:t>ECE/TRANS/WP.29/GRSG/2020/21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6C"/>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B496C"/>
    <w:rsid w:val="004E2EED"/>
    <w:rsid w:val="004E468C"/>
    <w:rsid w:val="005505B7"/>
    <w:rsid w:val="00573BE5"/>
    <w:rsid w:val="00586ED3"/>
    <w:rsid w:val="00596AA9"/>
    <w:rsid w:val="0071601D"/>
    <w:rsid w:val="007A62E6"/>
    <w:rsid w:val="007F20FA"/>
    <w:rsid w:val="0080684C"/>
    <w:rsid w:val="00871C75"/>
    <w:rsid w:val="008776DC"/>
    <w:rsid w:val="008D2FA9"/>
    <w:rsid w:val="009446C0"/>
    <w:rsid w:val="009705C8"/>
    <w:rsid w:val="009C1CF4"/>
    <w:rsid w:val="009F6B74"/>
    <w:rsid w:val="00A272D2"/>
    <w:rsid w:val="00A3029F"/>
    <w:rsid w:val="00A30353"/>
    <w:rsid w:val="00AC3823"/>
    <w:rsid w:val="00AE323C"/>
    <w:rsid w:val="00AF0CB5"/>
    <w:rsid w:val="00B00181"/>
    <w:rsid w:val="00B00B0D"/>
    <w:rsid w:val="00B4275E"/>
    <w:rsid w:val="00B45F2E"/>
    <w:rsid w:val="00B765F7"/>
    <w:rsid w:val="00BA0CA9"/>
    <w:rsid w:val="00C02897"/>
    <w:rsid w:val="00C7450B"/>
    <w:rsid w:val="00C97039"/>
    <w:rsid w:val="00D3439C"/>
    <w:rsid w:val="00DB1831"/>
    <w:rsid w:val="00DD3BFD"/>
    <w:rsid w:val="00DF6678"/>
    <w:rsid w:val="00E0299A"/>
    <w:rsid w:val="00E85C74"/>
    <w:rsid w:val="00EA6547"/>
    <w:rsid w:val="00EC2759"/>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D045F"/>
  <w15:docId w15:val="{437F28DA-64A7-4953-8DAF-657B4C6C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ECE/TRANS/WP.29/GRSG/2020/21</vt:lpstr>
    </vt:vector>
  </TitlesOfParts>
  <Company>DCM</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ECE/TRANS/WP.29/GRSG/2020/21</dc:title>
  <dc:subject/>
  <dc:creator>Valerie BERTIN</dc:creator>
  <cp:keywords/>
  <cp:lastModifiedBy>Secretariat</cp:lastModifiedBy>
  <cp:revision>2</cp:revision>
  <cp:lastPrinted>2020-08-17T07:16:00Z</cp:lastPrinted>
  <dcterms:created xsi:type="dcterms:W3CDTF">2020-08-25T07:55:00Z</dcterms:created>
  <dcterms:modified xsi:type="dcterms:W3CDTF">2020-08-25T07:55:00Z</dcterms:modified>
</cp:coreProperties>
</file>